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color w:val="FF0000"/>
          <w:w w:val="50"/>
          <w:kern w:val="0"/>
          <w:sz w:val="138"/>
          <w:szCs w:val="138"/>
        </w:rPr>
      </w:pPr>
      <w:r>
        <w:rPr>
          <w:rFonts w:hint="eastAsia" w:ascii="方正小标宋简体" w:hAnsi="方正小标宋简体" w:eastAsia="方正小标宋简体" w:cs="方正小标宋简体"/>
          <w:b w:val="0"/>
          <w:bCs/>
          <w:color w:val="FF0000"/>
          <w:w w:val="50"/>
          <w:kern w:val="0"/>
          <w:sz w:val="138"/>
          <w:szCs w:val="138"/>
        </w:rPr>
        <w:t>金川县马奈</w:t>
      </w:r>
      <w:r>
        <w:rPr>
          <w:rFonts w:hint="eastAsia" w:ascii="方正小标宋简体" w:hAnsi="方正小标宋简体" w:eastAsia="方正小标宋简体" w:cs="方正小标宋简体"/>
          <w:b w:val="0"/>
          <w:bCs/>
          <w:color w:val="FF0000"/>
          <w:w w:val="50"/>
          <w:kern w:val="0"/>
          <w:sz w:val="138"/>
          <w:szCs w:val="138"/>
          <w:lang w:eastAsia="zh-CN"/>
        </w:rPr>
        <w:t>镇人民政府</w:t>
      </w:r>
      <w:r>
        <w:rPr>
          <w:rFonts w:hint="eastAsia" w:ascii="方正小标宋简体" w:hAnsi="方正小标宋简体" w:eastAsia="方正小标宋简体" w:cs="方正小标宋简体"/>
          <w:b w:val="0"/>
          <w:bCs/>
          <w:color w:val="FF0000"/>
          <w:w w:val="50"/>
          <w:kern w:val="0"/>
          <w:sz w:val="138"/>
          <w:szCs w:val="138"/>
        </w:rPr>
        <w:t>文件</w:t>
      </w:r>
    </w:p>
    <w:p>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color w:val="000000"/>
          <w:sz w:val="32"/>
          <w:szCs w:val="32"/>
          <w:lang w:val="en-US" w:eastAsia="zh-CN"/>
        </w:rPr>
      </w:pPr>
      <w:r>
        <w:rPr>
          <w:color w:val="000000"/>
          <w:sz w:val="42"/>
        </w:rPr>
        <mc:AlternateContent>
          <mc:Choice Requires="wps">
            <w:drawing>
              <wp:anchor distT="0" distB="0" distL="114300" distR="114300" simplePos="0" relativeHeight="251661312" behindDoc="0" locked="0" layoutInCell="1" allowOverlap="1">
                <wp:simplePos x="0" y="0"/>
                <wp:positionH relativeFrom="column">
                  <wp:posOffset>2556510</wp:posOffset>
                </wp:positionH>
                <wp:positionV relativeFrom="paragraph">
                  <wp:posOffset>357505</wp:posOffset>
                </wp:positionV>
                <wp:extent cx="295275" cy="257175"/>
                <wp:effectExtent l="7620" t="7620" r="20955" b="20955"/>
                <wp:wrapNone/>
                <wp:docPr id="2" name="任意多边形 2"/>
                <wp:cNvGraphicFramePr/>
                <a:graphic xmlns:a="http://schemas.openxmlformats.org/drawingml/2006/main">
                  <a:graphicData uri="http://schemas.microsoft.com/office/word/2010/wordprocessingShape">
                    <wps:wsp>
                      <wps:cNvSpPr/>
                      <wps:spPr>
                        <a:xfrm>
                          <a:off x="0" y="0"/>
                          <a:ext cx="295275" cy="257175"/>
                        </a:xfrm>
                        <a:custGeom>
                          <a:avLst/>
                          <a:gdLst/>
                          <a:ahLst/>
                          <a:cxnLst>
                            <a:cxn ang="0">
                              <a:pos x="2" y="727643"/>
                            </a:cxn>
                            <a:cxn ang="0">
                              <a:pos x="727649" y="727649"/>
                            </a:cxn>
                            <a:cxn ang="0">
                              <a:pos x="952500" y="0"/>
                            </a:cxn>
                            <a:cxn ang="0">
                              <a:pos x="1177351" y="727649"/>
                            </a:cxn>
                            <a:cxn ang="0">
                              <a:pos x="1904998" y="727643"/>
                            </a:cxn>
                            <a:cxn ang="0">
                              <a:pos x="1316316" y="1177350"/>
                            </a:cxn>
                            <a:cxn ang="0">
                              <a:pos x="1541176" y="1904995"/>
                            </a:cxn>
                            <a:cxn ang="0">
                              <a:pos x="952500" y="1455280"/>
                            </a:cxn>
                            <a:cxn ang="0">
                              <a:pos x="363824" y="1904995"/>
                            </a:cxn>
                            <a:cxn ang="0">
                              <a:pos x="588684" y="1177350"/>
                            </a:cxn>
                            <a:cxn ang="0">
                              <a:pos x="2" y="727643"/>
                            </a:cxn>
                          </a:cxnLst>
                          <a:pathLst>
                            <a:path w="1905000" h="1905000">
                              <a:moveTo>
                                <a:pt x="2" y="727643"/>
                              </a:moveTo>
                              <a:lnTo>
                                <a:pt x="727649" y="727649"/>
                              </a:lnTo>
                              <a:lnTo>
                                <a:pt x="952500" y="0"/>
                              </a:lnTo>
                              <a:lnTo>
                                <a:pt x="1177351" y="727649"/>
                              </a:lnTo>
                              <a:lnTo>
                                <a:pt x="1904998" y="727643"/>
                              </a:lnTo>
                              <a:lnTo>
                                <a:pt x="1316316" y="1177350"/>
                              </a:lnTo>
                              <a:lnTo>
                                <a:pt x="1541176" y="1904995"/>
                              </a:lnTo>
                              <a:lnTo>
                                <a:pt x="952500" y="1455280"/>
                              </a:lnTo>
                              <a:lnTo>
                                <a:pt x="363824" y="1904995"/>
                              </a:lnTo>
                              <a:lnTo>
                                <a:pt x="588684" y="1177350"/>
                              </a:lnTo>
                              <a:lnTo>
                                <a:pt x="2" y="727643"/>
                              </a:lnTo>
                              <a:close/>
                            </a:path>
                          </a:pathLst>
                        </a:custGeom>
                        <a:solidFill>
                          <a:srgbClr val="FF0000"/>
                        </a:solidFill>
                        <a:ln w="15875" cap="flat" cmpd="sng">
                          <a:solidFill>
                            <a:srgbClr val="FF0000"/>
                          </a:solidFill>
                          <a:prstDash val="solid"/>
                          <a:headEnd type="none" w="med" len="med"/>
                          <a:tailEnd type="none" w="med" len="med"/>
                        </a:ln>
                        <a:effectLst/>
                      </wps:spPr>
                      <wps:bodyPr anchor="ctr" anchorCtr="0" upright="1"/>
                    </wps:wsp>
                  </a:graphicData>
                </a:graphic>
              </wp:anchor>
            </w:drawing>
          </mc:Choice>
          <mc:Fallback>
            <w:pict>
              <v:shape id="_x0000_s1026" o:spid="_x0000_s1026" o:spt="100" style="position:absolute;left:0pt;margin-left:201.3pt;margin-top:28.15pt;height:20.25pt;width:23.25pt;z-index:251661312;v-text-anchor:middle;mso-width-relative:page;mso-height-relative:page;" fillcolor="#FF0000" filled="t" stroked="t" coordsize="1905000,1905000" o:gfxdata="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wdHZ4NoAAAAJAQAADwAAAAAAAAABACAAAAAiAAAAZHJzL2Rvd25y&#10;ZXYueG1sUEsBAhQAFAAAAAgAh07iQCIP/zoZAwAA5ggAAA4AAAAAAAAAAQAgAAAAKQEAAGRycy9l&#10;Mm9Eb2MueG1sUEsFBgAAAAAGAAYAWQEAALQGAAAAAA==&#10;" path="m2,727643l727649,727649,952500,0,1177351,727649,1904998,727643,1316316,1177350,1541176,1904995,952500,1455280,363824,1904995,588684,1177350,2,727643xe">
                <v:path o:connectlocs="2,727643;727649,727649;952500,0;1177351,727649;1904998,727643;1316316,1177350;1541176,1904995;952500,1455280;363824,1904995;588684,1177350;2,727643" o:connectangles="0,0,0,0,0,0,0,0,0,0,0"/>
                <v:fill on="t" focussize="0,0"/>
                <v:stroke weight="1.25pt" color="#FF0000" joinstyle="round"/>
                <v:imagedata o:title=""/>
                <o:lock v:ext="edit" aspectratio="f"/>
              </v:shape>
            </w:pict>
          </mc:Fallback>
        </mc:AlternateContent>
      </w:r>
      <w:r>
        <w:rPr>
          <w:rFonts w:hint="eastAsia" w:ascii="仿宋_GB2312" w:hAnsi="仿宋_GB2312" w:eastAsia="仿宋_GB2312" w:cs="仿宋_GB2312"/>
          <w:color w:val="000000"/>
          <w:kern w:val="0"/>
          <w:sz w:val="32"/>
          <w:szCs w:val="32"/>
        </w:rPr>
        <w:t>金马</w:t>
      </w:r>
      <w:r>
        <w:rPr>
          <w:rFonts w:hint="eastAsia" w:ascii="仿宋_GB2312" w:hAnsi="仿宋_GB2312" w:eastAsia="仿宋_GB2312" w:cs="仿宋_GB2312"/>
          <w:color w:val="000000"/>
          <w:kern w:val="0"/>
          <w:sz w:val="32"/>
          <w:szCs w:val="32"/>
          <w:lang w:eastAsia="zh-CN"/>
        </w:rPr>
        <w:t>府</w:t>
      </w: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22</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13</w:t>
      </w:r>
      <w:r>
        <w:rPr>
          <w:rFonts w:hint="eastAsia" w:ascii="仿宋_GB2312" w:hAnsi="仿宋_GB2312" w:eastAsia="仿宋_GB2312" w:cs="仿宋_GB2312"/>
          <w:color w:val="000000"/>
          <w:kern w:val="0"/>
          <w:sz w:val="32"/>
          <w:szCs w:val="32"/>
        </w:rPr>
        <w:t>号</w:t>
      </w:r>
      <w:r>
        <w:rPr>
          <w:rFonts w:hint="eastAsia" w:ascii="仿宋_GB2312" w:hAnsi="仿宋_GB2312" w:eastAsia="仿宋_GB2312" w:cs="仿宋_GB2312"/>
          <w:color w:val="000000"/>
          <w:kern w:val="0"/>
          <w:sz w:val="32"/>
          <w:szCs w:val="32"/>
          <w:lang w:val="en-US" w:eastAsia="zh-CN"/>
        </w:rPr>
        <w:t xml:space="preserve">                    签发人：张安君</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000000"/>
          <w:kern w:val="0"/>
          <w:sz w:val="24"/>
        </w:rPr>
      </w:pPr>
      <w:r>
        <w:rPr>
          <w:color w:val="000000"/>
          <w:sz w:val="42"/>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102235</wp:posOffset>
                </wp:positionV>
                <wp:extent cx="25146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2514600" cy="635"/>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226.05pt;margin-top:8.05pt;height:0.05pt;width:198pt;z-index:251660288;mso-width-relative:page;mso-height-relative:page;" filled="f" stroked="t" coordsize="21600,21600" o:gfxdata="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mP5rtYAAAAJAQAADwAAAAAAAAABACAAAAAiAAAAZHJzL2Rvd25yZXYueG1s&#10;UEsBAhQAFAAAAAgAh07iQMweANH6AQAA9QMAAA4AAAAAAAAAAQAgAAAAJQEAAGRycy9lMm9Eb2Mu&#10;eG1sUEsFBgAAAAAGAAYAWQEAAJEFAAAAAA==&#10;">
                <v:fill on="f" focussize="0,0"/>
                <v:stroke weight="2pt" color="#FF0000" joinstyle="round"/>
                <v:imagedata o:title=""/>
                <o:lock v:ext="edit" aspectratio="f"/>
              </v:line>
            </w:pict>
          </mc:Fallback>
        </mc:AlternateContent>
      </w:r>
      <w:r>
        <w:rPr>
          <w:color w:val="000000"/>
          <w:sz w:val="42"/>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102235</wp:posOffset>
                </wp:positionV>
                <wp:extent cx="25146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514600" cy="635"/>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05pt;margin-top:8.05pt;height:0.05pt;width:198pt;z-index:251659264;mso-width-relative:page;mso-height-relative:page;" filled="f" stroked="t" coordsize="21600,21600" o:gfxdata="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S6aKXUAAAABwEAAA8AAAAAAAAAAQAgAAAAIgAAAGRycy9kb3ducmV2LnhtbFBL&#10;AQIUABQAAAAIAIdO4kAgSRDR+gEAAPUDAAAOAAAAAAAAAAEAIAAAACMBAABkcnMvZTJvRG9jLnht&#10;bFBLBQYAAAAABgAGAFkBAACPBQ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马奈镇人民政府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关于2021年度法治建设工作情况的</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2"/>
          <w:szCs w:val="32"/>
        </w:rPr>
      </w:pPr>
      <w:r>
        <w:rPr>
          <w:rFonts w:hint="eastAsia" w:ascii="方正小标宋简体" w:hAnsi="方正小标宋简体" w:eastAsia="方正小标宋简体" w:cs="方正小标宋简体"/>
          <w:b/>
          <w:bCs/>
          <w:sz w:val="44"/>
          <w:szCs w:val="44"/>
        </w:rPr>
        <w:t>报告</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val="0"/>
          <w:bCs w:val="0"/>
          <w:sz w:val="32"/>
          <w:szCs w:val="32"/>
          <w:lang w:val="en-US" w:eastAsia="zh-CN"/>
        </w:rPr>
        <w:t>金川县人民政府：</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2020年以来，在县委、县政府的坚强领导下，在县委依法治</w:t>
      </w:r>
      <w:r>
        <w:rPr>
          <w:rFonts w:hint="eastAsia" w:ascii="仿宋_GB2312" w:hAnsi="仿宋_GB2312" w:eastAsia="仿宋_GB2312" w:cs="仿宋_GB2312"/>
          <w:kern w:val="2"/>
          <w:sz w:val="32"/>
          <w:szCs w:val="32"/>
          <w:lang w:val="en-US" w:eastAsia="zh-CN" w:bidi="ar-SA"/>
        </w:rPr>
        <w:t>县</w:t>
      </w:r>
      <w:r>
        <w:rPr>
          <w:rFonts w:hint="eastAsia" w:ascii="仿宋_GB2312" w:hAnsi="仿宋_GB2312" w:eastAsia="仿宋_GB2312" w:cs="仿宋_GB2312"/>
          <w:kern w:val="2"/>
          <w:sz w:val="32"/>
          <w:szCs w:val="32"/>
          <w:lang w:val="en-US" w:eastAsia="zh-CN" w:bidi="ar-SA"/>
        </w:rPr>
        <w:t>办的正确指导下，</w:t>
      </w:r>
      <w:r>
        <w:rPr>
          <w:rFonts w:hint="eastAsia" w:ascii="仿宋_GB2312" w:hAnsi="仿宋_GB2312" w:eastAsia="仿宋_GB2312" w:cs="仿宋_GB2312"/>
          <w:kern w:val="2"/>
          <w:sz w:val="32"/>
          <w:szCs w:val="32"/>
          <w:lang w:val="en-US" w:eastAsia="zh-CN" w:bidi="ar-SA"/>
        </w:rPr>
        <w:t>马奈</w:t>
      </w:r>
      <w:r>
        <w:rPr>
          <w:rFonts w:hint="eastAsia" w:ascii="仿宋_GB2312" w:hAnsi="仿宋_GB2312" w:eastAsia="仿宋_GB2312" w:cs="仿宋_GB2312"/>
          <w:kern w:val="2"/>
          <w:sz w:val="32"/>
          <w:szCs w:val="32"/>
          <w:lang w:val="en-US" w:eastAsia="zh-CN" w:bidi="ar-SA"/>
        </w:rPr>
        <w:t>镇对照</w:t>
      </w:r>
      <w:r>
        <w:rPr>
          <w:rFonts w:hint="eastAsia" w:ascii="仿宋_GB2312" w:hAnsi="仿宋_GB2312" w:eastAsia="仿宋_GB2312" w:cs="仿宋_GB2312"/>
          <w:kern w:val="2"/>
          <w:sz w:val="32"/>
          <w:szCs w:val="32"/>
          <w:lang w:val="en-US" w:eastAsia="zh-CN" w:bidi="ar-SA"/>
        </w:rPr>
        <w:t>相关文件目</w:t>
      </w:r>
      <w:r>
        <w:rPr>
          <w:rFonts w:hint="eastAsia" w:ascii="仿宋_GB2312" w:hAnsi="仿宋_GB2312" w:eastAsia="仿宋_GB2312" w:cs="仿宋_GB2312"/>
          <w:kern w:val="2"/>
          <w:sz w:val="32"/>
          <w:szCs w:val="32"/>
          <w:lang w:val="en-US" w:eastAsia="zh-CN" w:bidi="ar-SA"/>
        </w:rPr>
        <w:t>标任务，全面推进依法行政，</w:t>
      </w:r>
      <w:r>
        <w:rPr>
          <w:rFonts w:hint="eastAsia" w:ascii="仿宋_GB2312" w:hAnsi="仿宋_GB2312" w:eastAsia="仿宋_GB2312" w:cs="仿宋_GB2312"/>
          <w:kern w:val="2"/>
          <w:sz w:val="32"/>
          <w:szCs w:val="32"/>
          <w:lang w:val="en-US" w:eastAsia="zh-CN" w:bidi="ar-SA"/>
        </w:rPr>
        <w:t>贯彻落实法治政府建设各项工作要求，并取得了显著的成效。</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一、2021年度推进法治政府建设的主要举措和成效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2021年我镇加大法治政府建设工作力度，法治政府建设工作宣传力度不断加大，法治政府建设做到常抓不懈，工作取得了一定成绩，具体表现在：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一是健全科学民主决策机制，强化依法决策意识。</w:t>
      </w:r>
      <w:r>
        <w:rPr>
          <w:rFonts w:hint="eastAsia" w:ascii="仿宋_GB2312" w:hAnsi="仿宋_GB2312" w:eastAsia="仿宋_GB2312" w:cs="仿宋_GB2312"/>
          <w:kern w:val="2"/>
          <w:sz w:val="32"/>
          <w:szCs w:val="32"/>
          <w:lang w:val="en-US" w:eastAsia="zh-CN" w:bidi="ar-SA"/>
        </w:rPr>
        <w:t>镇领导高度重视决策前的调查研究，牢固树立依法决策意识，严格遵守法定权限和程序，注重听取法律顾问的意见。继续强化重大决策的审查制度，在涉及镇域内经济社会发展和群众利益的重大问题上，始终坚持由分管和经办人员提出议案，主要领导先期审查，最后提交镇政府党政班子讨论决定的制度和程序，防止了行政决策的随意性，提高了行政决策的水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二是加快推进政府治理规范化程序化法治化。</w:t>
      </w:r>
      <w:r>
        <w:rPr>
          <w:rFonts w:hint="eastAsia" w:ascii="仿宋_GB2312" w:hAnsi="仿宋_GB2312" w:eastAsia="仿宋_GB2312" w:cs="仿宋_GB2312"/>
          <w:kern w:val="2"/>
          <w:sz w:val="32"/>
          <w:szCs w:val="32"/>
          <w:lang w:val="en-US" w:eastAsia="zh-CN" w:bidi="ar-SA"/>
        </w:rPr>
        <w:t>1.积极建立健全了一整套较完整的政务信息公开办法、细则及相关各项制度，确保行政权力公开透明；2.加强行政规范性文件制定监督管理，建立健全行政规范性文件制定协调机制，健全行政规范性文件动态清理工作机制。</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三是全面推进严格规范公正文明执法。</w:t>
      </w:r>
      <w:r>
        <w:rPr>
          <w:rFonts w:hint="eastAsia" w:ascii="仿宋_GB2312" w:hAnsi="仿宋_GB2312" w:eastAsia="仿宋_GB2312" w:cs="仿宋_GB2312"/>
          <w:kern w:val="2"/>
          <w:sz w:val="32"/>
          <w:szCs w:val="32"/>
          <w:lang w:val="en-US" w:eastAsia="zh-CN" w:bidi="ar-SA"/>
        </w:rPr>
        <w:t>1.严格落实行政执法责任制，切实抓好执法依据梳理和执法职权的层层分解，做到了岗位到人、责任到人，进一步明确了行政执法机关的执法目标和执法责任，规范了执法行为。2.认真开展行政裁量基准动态调整工作，有效防止权力的滥用，减少行政执法的随意性，提升了公信力。</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四是落实法治政府建设保障措施。</w:t>
      </w:r>
      <w:r>
        <w:rPr>
          <w:rFonts w:hint="eastAsia" w:ascii="仿宋_GB2312" w:hAnsi="仿宋_GB2312" w:eastAsia="仿宋_GB2312" w:cs="仿宋_GB2312"/>
          <w:kern w:val="2"/>
          <w:sz w:val="32"/>
          <w:szCs w:val="32"/>
          <w:lang w:val="en-US" w:eastAsia="zh-CN" w:bidi="ar-SA"/>
        </w:rPr>
        <w:t>1.切实加强法治宣传教育。我镇建立健全领导干部、一般干部学法制度，对《行政处罚法》、《行政复议法》、《国务院办公厅关于全面推行行政执法公示制度执法全过程记录制度重大执法决定法制审核制度的指导意见》和《国务院办公厅关于全面推行证明事项和涉企经营许可事项告知承诺制的指导意见》等行政执法方面的法律法规和政策规定，实现常规性学习，使全体执法干部在具体操作中能够熟练运用有关法律、法规和政策。2.组织人员参加全区行政执法人员岗位培训和考核，着力提高行政执法人员的整体素质。截至目前，我镇有7名干部持有执法证。</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五是积极开展普法宣传工作。</w:t>
      </w:r>
      <w:r>
        <w:rPr>
          <w:rFonts w:hint="eastAsia" w:ascii="仿宋_GB2312" w:hAnsi="仿宋_GB2312" w:eastAsia="仿宋_GB2312" w:cs="仿宋_GB2312"/>
          <w:kern w:val="2"/>
          <w:sz w:val="32"/>
          <w:szCs w:val="32"/>
          <w:lang w:val="en-US" w:eastAsia="zh-CN" w:bidi="ar-SA"/>
        </w:rPr>
        <w:t>我镇紧紧抓住各项大的活动开展了普法工作，开展了宪法、打假、“平安金川”、防止电信诈骗、禁毒宣传等系列宣传活动。发放宣传资料3000余份，悬挂宣传横幅10余条，各村、社宣传海报70余幅，接待法律咨询10余人次，营造了“法在我身边”的法治氛围，较好地提升了群众的法律意识，收到良好的法治宣传效果。</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六是加强维稳建设，构建和谐马奈。</w:t>
      </w:r>
      <w:r>
        <w:rPr>
          <w:rFonts w:hint="eastAsia" w:ascii="仿宋_GB2312" w:hAnsi="仿宋_GB2312" w:eastAsia="仿宋_GB2312" w:cs="仿宋_GB2312"/>
          <w:kern w:val="2"/>
          <w:sz w:val="32"/>
          <w:szCs w:val="32"/>
          <w:lang w:val="en-US" w:eastAsia="zh-CN" w:bidi="ar-SA"/>
        </w:rPr>
        <w:t>积极发挥综治信访维稳机构在化解社会矛盾中的主渠道作用，建立了党政一把手负总责，一级抓一级，一级对一级负责的综治信访维稳工作运行机制。联片调解有效有序开展，截至12月共调解成功27起矛盾纠纷。严格按照《信访条例》的有关规定，坚持执政为民，全面推进社会各项事业稳步发展。</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二、2021年度推进法治政府存在的不足和原因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年来，我镇在法治政府建设上取得了一定的成绩，但从自查情况看，法治政府建设工作仍然存在一些问题，与经济社会发展要求和建设法治政府的目标还存在一定的差距。主要表现在：一是执法队伍建设不够完善，全镇在编人员38名，</w:t>
      </w:r>
      <w:r>
        <w:rPr>
          <w:rFonts w:hint="eastAsia" w:ascii="仿宋_GB2312" w:hAnsi="仿宋_GB2312" w:eastAsia="仿宋_GB2312" w:cs="仿宋_GB2312"/>
          <w:kern w:val="2"/>
          <w:sz w:val="32"/>
          <w:szCs w:val="32"/>
          <w:lang w:val="en-US" w:eastAsia="zh-CN" w:bidi="ar-SA"/>
        </w:rPr>
        <w:t>仅有7名工作人员持有</w:t>
      </w:r>
      <w:r>
        <w:rPr>
          <w:rFonts w:hint="eastAsia" w:ascii="仿宋_GB2312" w:hAnsi="仿宋_GB2312" w:eastAsia="仿宋_GB2312" w:cs="仿宋_GB2312"/>
          <w:kern w:val="2"/>
          <w:sz w:val="32"/>
          <w:szCs w:val="32"/>
          <w:lang w:val="en-US" w:eastAsia="zh-CN" w:bidi="ar-SA"/>
        </w:rPr>
        <w:t>执法证；二是法治政府建设机制还不够完善，在制度建设上还有待进一步加强。</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三、2021年度党政主要负责人履行推进法治建设第一责任人职责，加强法治政府建设的有关情况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0"/>
        <w:textAlignment w:val="auto"/>
        <w:rPr>
          <w:rFonts w:hint="eastAsia" w:ascii="仿宋_GB2312" w:hAnsi="仿宋_GB2312" w:eastAsia="仿宋_GB2312" w:cs="仿宋_GB2312"/>
          <w:i w:val="0"/>
          <w:iCs w:val="0"/>
          <w:caps w:val="0"/>
          <w:color w:val="000000"/>
          <w:spacing w:val="0"/>
          <w:sz w:val="32"/>
          <w:szCs w:val="32"/>
        </w:rPr>
      </w:pPr>
      <w:r>
        <w:rPr>
          <w:rFonts w:ascii="仿宋_GB2312" w:hAnsi="微软雅黑" w:eastAsia="仿宋_GB2312" w:cs="仿宋_GB2312"/>
          <w:i w:val="0"/>
          <w:iCs w:val="0"/>
          <w:caps w:val="0"/>
          <w:color w:val="000000"/>
          <w:spacing w:val="0"/>
          <w:sz w:val="31"/>
          <w:szCs w:val="31"/>
          <w:bdr w:val="none" w:color="auto" w:sz="0" w:space="0"/>
        </w:rPr>
        <w:t> </w:t>
      </w:r>
      <w:r>
        <w:rPr>
          <w:rFonts w:hint="eastAsia" w:ascii="仿宋_GB2312" w:hAnsi="微软雅黑" w:eastAsia="仿宋_GB2312" w:cs="仿宋_GB2312"/>
          <w:i w:val="0"/>
          <w:iCs w:val="0"/>
          <w:caps w:val="0"/>
          <w:color w:val="000000"/>
          <w:spacing w:val="0"/>
          <w:sz w:val="31"/>
          <w:szCs w:val="31"/>
          <w:bdr w:val="none" w:color="auto" w:sz="0" w:space="0"/>
          <w:lang w:val="en-US" w:eastAsia="zh-CN"/>
        </w:rPr>
        <w:t xml:space="preserve"> </w:t>
      </w:r>
      <w:r>
        <w:rPr>
          <w:rFonts w:hint="eastAsia" w:ascii="仿宋_GB2312" w:hAnsi="微软雅黑" w:eastAsia="仿宋_GB2312" w:cs="仿宋_GB2312"/>
          <w:b/>
          <w:bCs/>
          <w:i w:val="0"/>
          <w:iCs w:val="0"/>
          <w:caps w:val="0"/>
          <w:color w:val="000000"/>
          <w:spacing w:val="0"/>
          <w:sz w:val="31"/>
          <w:szCs w:val="31"/>
          <w:bdr w:val="none" w:color="auto" w:sz="0" w:space="0"/>
          <w:lang w:val="en-US" w:eastAsia="zh-CN"/>
        </w:rPr>
        <w:t xml:space="preserve"> </w:t>
      </w:r>
      <w:r>
        <w:rPr>
          <w:rFonts w:hint="eastAsia" w:ascii="仿宋_GB2312" w:hAnsi="仿宋_GB2312" w:eastAsia="仿宋_GB2312" w:cs="仿宋_GB2312"/>
          <w:b/>
          <w:bCs/>
          <w:i w:val="0"/>
          <w:iCs w:val="0"/>
          <w:caps w:val="0"/>
          <w:color w:val="000000"/>
          <w:spacing w:val="0"/>
          <w:sz w:val="32"/>
          <w:szCs w:val="32"/>
          <w:bdr w:val="none" w:color="auto" w:sz="0" w:space="0"/>
        </w:rPr>
        <w:t>一</w:t>
      </w:r>
      <w:r>
        <w:rPr>
          <w:rFonts w:hint="eastAsia" w:ascii="仿宋_GB2312" w:hAnsi="仿宋_GB2312" w:eastAsia="仿宋_GB2312" w:cs="仿宋_GB2312"/>
          <w:b/>
          <w:bCs/>
          <w:i w:val="0"/>
          <w:iCs w:val="0"/>
          <w:caps w:val="0"/>
          <w:color w:val="000000"/>
          <w:spacing w:val="0"/>
          <w:sz w:val="32"/>
          <w:szCs w:val="32"/>
          <w:bdr w:val="none" w:color="auto" w:sz="0" w:space="0"/>
          <w:lang w:eastAsia="zh-CN"/>
        </w:rPr>
        <w:t>是</w:t>
      </w:r>
      <w:r>
        <w:rPr>
          <w:rFonts w:hint="eastAsia" w:ascii="仿宋_GB2312" w:hAnsi="仿宋_GB2312" w:eastAsia="仿宋_GB2312" w:cs="仿宋_GB2312"/>
          <w:b/>
          <w:bCs/>
          <w:i w:val="0"/>
          <w:iCs w:val="0"/>
          <w:caps w:val="0"/>
          <w:color w:val="000000"/>
          <w:spacing w:val="0"/>
          <w:sz w:val="32"/>
          <w:szCs w:val="32"/>
          <w:bdr w:val="none" w:color="auto" w:sz="0" w:space="0"/>
        </w:rPr>
        <w:t>学习依法治国新理论，加强法治建设组织领导</w:t>
      </w:r>
      <w:r>
        <w:rPr>
          <w:rFonts w:hint="eastAsia" w:ascii="仿宋_GB2312" w:hAnsi="仿宋_GB2312" w:eastAsia="仿宋_GB2312" w:cs="仿宋_GB2312"/>
          <w:b/>
          <w:bCs/>
          <w:i w:val="0"/>
          <w:iCs w:val="0"/>
          <w:caps w:val="0"/>
          <w:color w:val="000000"/>
          <w:spacing w:val="0"/>
          <w:sz w:val="32"/>
          <w:szCs w:val="32"/>
          <w:bdr w:val="none" w:color="auto" w:sz="0" w:space="0"/>
          <w:lang w:eastAsia="zh-CN"/>
        </w:rPr>
        <w:t>。</w:t>
      </w:r>
      <w:r>
        <w:rPr>
          <w:rFonts w:hint="eastAsia" w:ascii="仿宋_GB2312" w:hAnsi="仿宋_GB2312" w:eastAsia="仿宋_GB2312" w:cs="仿宋_GB2312"/>
          <w:i w:val="0"/>
          <w:iCs w:val="0"/>
          <w:caps w:val="0"/>
          <w:color w:val="000000"/>
          <w:spacing w:val="0"/>
          <w:sz w:val="32"/>
          <w:szCs w:val="32"/>
          <w:bdr w:val="none" w:color="auto" w:sz="0" w:space="0"/>
        </w:rPr>
        <w:t>认真组织学习，树牢法治观念。通过党委理论中心组学习、个人自学等方式，主要领导率先垂范，并系统学习宪法和习近平总书记关于全面依法治国的重要论述，学习掌握中国特色社会主义法律体系和社会主义核心价值观，牢固树立“四个意识”，切实增强贯彻落实党中央关于法治建设重大决策部署的思想自觉和行动自觉，不断提升运用法治思维和法治方式深化改革、推动发展、化解矛盾、维护稳定的能力和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right="0" w:firstLine="643" w:firstLineChars="200"/>
        <w:textAlignment w:val="auto"/>
        <w:rPr>
          <w:rFonts w:hint="eastAsia" w:ascii="仿宋_GB2312" w:hAnsi="仿宋_GB2312" w:eastAsia="仿宋_GB2312" w:cs="仿宋_GB2312"/>
          <w:i w:val="0"/>
          <w:iCs w:val="0"/>
          <w:caps w:val="0"/>
          <w:color w:val="000000"/>
          <w:spacing w:val="0"/>
          <w:sz w:val="32"/>
          <w:szCs w:val="32"/>
          <w:bdr w:val="none" w:color="auto" w:sz="0" w:space="0"/>
        </w:rPr>
      </w:pPr>
      <w:r>
        <w:rPr>
          <w:rFonts w:hint="eastAsia" w:ascii="仿宋_GB2312" w:hAnsi="仿宋_GB2312" w:eastAsia="仿宋_GB2312" w:cs="仿宋_GB2312"/>
          <w:b/>
          <w:bCs/>
          <w:i w:val="0"/>
          <w:iCs w:val="0"/>
          <w:caps w:val="0"/>
          <w:color w:val="000000"/>
          <w:spacing w:val="0"/>
          <w:sz w:val="32"/>
          <w:szCs w:val="32"/>
          <w:bdr w:val="none" w:color="auto" w:sz="0" w:space="0"/>
          <w:lang w:eastAsia="zh-CN"/>
        </w:rPr>
        <w:t>二是</w:t>
      </w:r>
      <w:r>
        <w:rPr>
          <w:rFonts w:hint="eastAsia" w:ascii="仿宋_GB2312" w:hAnsi="仿宋_GB2312" w:eastAsia="仿宋_GB2312" w:cs="仿宋_GB2312"/>
          <w:b/>
          <w:bCs/>
          <w:i w:val="0"/>
          <w:iCs w:val="0"/>
          <w:caps w:val="0"/>
          <w:color w:val="000000"/>
          <w:spacing w:val="0"/>
          <w:sz w:val="32"/>
          <w:szCs w:val="32"/>
          <w:bdr w:val="none" w:color="auto" w:sz="0" w:space="0"/>
        </w:rPr>
        <w:t>切实落实责任，深入依法治镇工作</w:t>
      </w:r>
      <w:r>
        <w:rPr>
          <w:rFonts w:hint="eastAsia" w:ascii="仿宋_GB2312" w:hAnsi="仿宋_GB2312" w:eastAsia="仿宋_GB2312" w:cs="仿宋_GB2312"/>
          <w:b/>
          <w:bCs/>
          <w:i w:val="0"/>
          <w:iCs w:val="0"/>
          <w:caps w:val="0"/>
          <w:color w:val="000000"/>
          <w:spacing w:val="0"/>
          <w:sz w:val="32"/>
          <w:szCs w:val="32"/>
          <w:bdr w:val="none" w:color="auto" w:sz="0" w:space="0"/>
          <w:lang w:eastAsia="zh-CN"/>
        </w:rPr>
        <w:t>。</w:t>
      </w:r>
      <w:r>
        <w:rPr>
          <w:rFonts w:hint="eastAsia" w:ascii="仿宋_GB2312" w:hAnsi="仿宋_GB2312" w:eastAsia="仿宋_GB2312" w:cs="仿宋_GB2312"/>
          <w:i w:val="0"/>
          <w:iCs w:val="0"/>
          <w:caps w:val="0"/>
          <w:color w:val="000000"/>
          <w:spacing w:val="0"/>
          <w:sz w:val="32"/>
          <w:szCs w:val="32"/>
          <w:bdr w:val="none" w:color="auto" w:sz="0" w:space="0"/>
        </w:rPr>
        <w:t>充分发挥镇党委、政府在推进法治建设中的领导核心作用，将法治建设纳入年度工作计划。每年听取</w:t>
      </w:r>
      <w:r>
        <w:rPr>
          <w:rFonts w:hint="eastAsia" w:ascii="仿宋_GB2312" w:hAnsi="仿宋_GB2312" w:eastAsia="仿宋_GB2312" w:cs="仿宋_GB2312"/>
          <w:i w:val="0"/>
          <w:iCs w:val="0"/>
          <w:caps w:val="0"/>
          <w:color w:val="000000"/>
          <w:spacing w:val="0"/>
          <w:sz w:val="32"/>
          <w:szCs w:val="32"/>
          <w:bdr w:val="none" w:color="auto" w:sz="0" w:space="0"/>
          <w:lang w:val="en-US" w:eastAsia="zh-CN"/>
        </w:rPr>
        <w:t>2</w:t>
      </w:r>
      <w:r>
        <w:rPr>
          <w:rFonts w:hint="eastAsia" w:ascii="仿宋_GB2312" w:hAnsi="仿宋_GB2312" w:eastAsia="仿宋_GB2312" w:cs="仿宋_GB2312"/>
          <w:i w:val="0"/>
          <w:iCs w:val="0"/>
          <w:caps w:val="0"/>
          <w:color w:val="000000"/>
          <w:spacing w:val="0"/>
          <w:sz w:val="32"/>
          <w:szCs w:val="32"/>
          <w:bdr w:val="none" w:color="auto" w:sz="0" w:space="0"/>
        </w:rPr>
        <w:t>次</w:t>
      </w:r>
      <w:r>
        <w:rPr>
          <w:rFonts w:hint="eastAsia" w:ascii="仿宋_GB2312" w:hAnsi="仿宋_GB2312" w:eastAsia="仿宋_GB2312" w:cs="仿宋_GB2312"/>
          <w:i w:val="0"/>
          <w:iCs w:val="0"/>
          <w:caps w:val="0"/>
          <w:color w:val="000000"/>
          <w:spacing w:val="0"/>
          <w:sz w:val="32"/>
          <w:szCs w:val="32"/>
          <w:bdr w:val="none" w:color="auto" w:sz="0" w:space="0"/>
          <w:lang w:eastAsia="zh-CN"/>
        </w:rPr>
        <w:t>以上</w:t>
      </w:r>
      <w:r>
        <w:rPr>
          <w:rFonts w:hint="eastAsia" w:ascii="仿宋_GB2312" w:hAnsi="仿宋_GB2312" w:eastAsia="仿宋_GB2312" w:cs="仿宋_GB2312"/>
          <w:i w:val="0"/>
          <w:iCs w:val="0"/>
          <w:caps w:val="0"/>
          <w:color w:val="000000"/>
          <w:spacing w:val="0"/>
          <w:sz w:val="32"/>
          <w:szCs w:val="32"/>
          <w:bdr w:val="none" w:color="auto" w:sz="0" w:space="0"/>
        </w:rPr>
        <w:t>法治建设工作情况汇报，及时研究解决法治建设中的有关重大问题。严格依法依规决策，重大决策集体讨论决定前，严格实行合法合规性审查，提高依法决策水平。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right="0"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i w:val="0"/>
          <w:iCs w:val="0"/>
          <w:caps w:val="0"/>
          <w:color w:val="000000"/>
          <w:spacing w:val="0"/>
          <w:sz w:val="32"/>
          <w:szCs w:val="32"/>
          <w:bdr w:val="none" w:color="auto" w:sz="0" w:space="0"/>
          <w:lang w:eastAsia="zh-CN"/>
        </w:rPr>
        <w:t>三是</w:t>
      </w:r>
      <w:r>
        <w:rPr>
          <w:rFonts w:hint="eastAsia" w:ascii="仿宋_GB2312" w:hAnsi="仿宋_GB2312" w:eastAsia="仿宋_GB2312" w:cs="仿宋_GB2312"/>
          <w:b/>
          <w:bCs/>
          <w:i w:val="0"/>
          <w:iCs w:val="0"/>
          <w:caps w:val="0"/>
          <w:color w:val="000000"/>
          <w:spacing w:val="0"/>
          <w:sz w:val="32"/>
          <w:szCs w:val="32"/>
          <w:bdr w:val="none" w:color="auto" w:sz="0" w:space="0"/>
        </w:rPr>
        <w:t>认真实施普法规划，深入推进法治入户</w:t>
      </w:r>
      <w:r>
        <w:rPr>
          <w:rFonts w:hint="eastAsia" w:ascii="仿宋_GB2312" w:hAnsi="仿宋_GB2312" w:eastAsia="仿宋_GB2312" w:cs="仿宋_GB2312"/>
          <w:b/>
          <w:bCs/>
          <w:i w:val="0"/>
          <w:iCs w:val="0"/>
          <w:caps w:val="0"/>
          <w:color w:val="000000"/>
          <w:spacing w:val="0"/>
          <w:sz w:val="32"/>
          <w:szCs w:val="32"/>
          <w:bdr w:val="none" w:color="auto" w:sz="0" w:space="0"/>
          <w:lang w:eastAsia="zh-CN"/>
        </w:rPr>
        <w:t>。</w:t>
      </w:r>
      <w:r>
        <w:rPr>
          <w:rFonts w:hint="eastAsia" w:ascii="仿宋_GB2312" w:hAnsi="仿宋_GB2312" w:eastAsia="仿宋_GB2312" w:cs="仿宋_GB2312"/>
          <w:i w:val="0"/>
          <w:iCs w:val="0"/>
          <w:caps w:val="0"/>
          <w:color w:val="000000"/>
          <w:spacing w:val="0"/>
          <w:sz w:val="32"/>
          <w:szCs w:val="32"/>
          <w:bdr w:val="none" w:color="auto" w:sz="0" w:space="0"/>
        </w:rPr>
        <w:t>我镇党政主要负责人认真制定“</w:t>
      </w:r>
      <w:r>
        <w:rPr>
          <w:rFonts w:hint="eastAsia" w:ascii="仿宋_GB2312" w:hAnsi="仿宋_GB2312" w:eastAsia="仿宋_GB2312" w:cs="仿宋_GB2312"/>
          <w:i w:val="0"/>
          <w:iCs w:val="0"/>
          <w:caps w:val="0"/>
          <w:color w:val="000000"/>
          <w:spacing w:val="0"/>
          <w:sz w:val="32"/>
          <w:szCs w:val="32"/>
          <w:bdr w:val="none" w:color="auto" w:sz="0" w:space="0"/>
          <w:lang w:eastAsia="zh-CN"/>
        </w:rPr>
        <w:t>八</w:t>
      </w:r>
      <w:r>
        <w:rPr>
          <w:rFonts w:hint="eastAsia" w:ascii="仿宋_GB2312" w:hAnsi="仿宋_GB2312" w:eastAsia="仿宋_GB2312" w:cs="仿宋_GB2312"/>
          <w:i w:val="0"/>
          <w:iCs w:val="0"/>
          <w:caps w:val="0"/>
          <w:color w:val="000000"/>
          <w:spacing w:val="0"/>
          <w:sz w:val="32"/>
          <w:szCs w:val="32"/>
          <w:bdr w:val="none" w:color="auto" w:sz="0" w:space="0"/>
        </w:rPr>
        <w:t>五”法制宣传规划和年度工作计划，建立普法依法治理工作领导机构及其办事机构，建立完善各种普法工作规章制度，每年召开一次专题会议进行动员部署。结合“6.26”国际禁毒日、“12.4”宪法宣传、等重要时间节点</w:t>
      </w:r>
      <w:r>
        <w:rPr>
          <w:rFonts w:hint="eastAsia" w:ascii="仿宋_GB2312" w:hAnsi="仿宋_GB2312" w:eastAsia="仿宋_GB2312" w:cs="仿宋_GB2312"/>
          <w:i w:val="0"/>
          <w:iCs w:val="0"/>
          <w:caps w:val="0"/>
          <w:color w:val="000000"/>
          <w:spacing w:val="0"/>
          <w:sz w:val="32"/>
          <w:szCs w:val="32"/>
          <w:bdr w:val="none" w:color="auto" w:sz="0" w:space="0"/>
          <w:lang w:eastAsia="zh-CN"/>
        </w:rPr>
        <w:t>以及</w:t>
      </w:r>
      <w:r>
        <w:rPr>
          <w:rFonts w:hint="eastAsia" w:ascii="仿宋_GB2312" w:hAnsi="仿宋_GB2312" w:eastAsia="仿宋_GB2312" w:cs="仿宋_GB2312"/>
          <w:i w:val="0"/>
          <w:iCs w:val="0"/>
          <w:caps w:val="0"/>
          <w:color w:val="000000"/>
          <w:spacing w:val="0"/>
          <w:sz w:val="32"/>
          <w:szCs w:val="32"/>
          <w:lang w:eastAsia="zh-CN"/>
        </w:rPr>
        <w:t>“</w:t>
      </w:r>
      <w:r>
        <w:rPr>
          <w:rFonts w:hint="eastAsia" w:ascii="仿宋_GB2312" w:hAnsi="仿宋_GB2312" w:eastAsia="仿宋_GB2312" w:cs="仿宋_GB2312"/>
          <w:i w:val="0"/>
          <w:iCs w:val="0"/>
          <w:caps w:val="0"/>
          <w:color w:val="000000"/>
          <w:spacing w:val="0"/>
          <w:sz w:val="32"/>
          <w:szCs w:val="32"/>
          <w:lang w:eastAsia="zh-CN"/>
        </w:rPr>
        <w:t>两联一进</w:t>
      </w:r>
      <w:r>
        <w:rPr>
          <w:rFonts w:hint="eastAsia" w:ascii="仿宋_GB2312" w:hAnsi="仿宋_GB2312" w:eastAsia="仿宋_GB2312" w:cs="仿宋_GB2312"/>
          <w:i w:val="0"/>
          <w:iCs w:val="0"/>
          <w:caps w:val="0"/>
          <w:color w:val="000000"/>
          <w:spacing w:val="0"/>
          <w:sz w:val="32"/>
          <w:szCs w:val="32"/>
          <w:lang w:eastAsia="zh-CN"/>
        </w:rPr>
        <w:t>”群众工作</w:t>
      </w:r>
      <w:r>
        <w:rPr>
          <w:rFonts w:hint="eastAsia" w:ascii="仿宋_GB2312" w:hAnsi="仿宋_GB2312" w:eastAsia="仿宋_GB2312" w:cs="仿宋_GB2312"/>
          <w:i w:val="0"/>
          <w:iCs w:val="0"/>
          <w:caps w:val="0"/>
          <w:color w:val="000000"/>
          <w:spacing w:val="0"/>
          <w:sz w:val="32"/>
          <w:szCs w:val="32"/>
          <w:bdr w:val="none" w:color="auto" w:sz="0" w:space="0"/>
        </w:rPr>
        <w:t>，多角度多形式开展普法宣传</w:t>
      </w:r>
      <w:r>
        <w:rPr>
          <w:rFonts w:hint="eastAsia" w:ascii="仿宋_GB2312" w:hAnsi="仿宋_GB2312" w:eastAsia="仿宋_GB2312" w:cs="仿宋_GB2312"/>
          <w:i w:val="0"/>
          <w:iCs w:val="0"/>
          <w:caps w:val="0"/>
          <w:color w:val="000000"/>
          <w:spacing w:val="0"/>
          <w:sz w:val="32"/>
          <w:szCs w:val="32"/>
          <w:bdr w:val="none" w:color="auto" w:sz="0" w:space="0"/>
          <w:lang w:eastAsia="zh-CN"/>
        </w:rPr>
        <w:t>。</w:t>
      </w:r>
      <w:r>
        <w:rPr>
          <w:rFonts w:hint="eastAsia" w:ascii="仿宋_GB2312" w:hAnsi="仿宋_GB2312" w:eastAsia="仿宋_GB2312" w:cs="仿宋_GB2312"/>
          <w:i w:val="0"/>
          <w:iCs w:val="0"/>
          <w:caps w:val="0"/>
          <w:color w:val="000000"/>
          <w:spacing w:val="0"/>
          <w:sz w:val="32"/>
          <w:szCs w:val="32"/>
          <w:bdr w:val="none" w:color="auto" w:sz="0" w:space="0"/>
        </w:rPr>
        <w:t>大力宣传习近平总书记关于全面依法治国的重要论述，深入宣传宪法和以宪法为核心的中国特色社会主义法律体系，教育引导全社会增强法治观念，形成全民自觉守法、遇事找法、解决问题靠法和依法办事的良好氛围。</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四、下一年度推进法治政府建设的主要安排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通过采取有针对性的整改措施，使目前法治政府建设工作中存在的不足和薄弱环节得到改进和解决，推动法治政府建设工作整体水平的提高。</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b/>
          <w:bCs/>
          <w:kern w:val="2"/>
          <w:sz w:val="32"/>
          <w:szCs w:val="32"/>
          <w:lang w:val="en-US" w:eastAsia="zh-CN" w:bidi="ar-SA"/>
        </w:rPr>
        <w:t>加强组织领导，完善机制建设。</w:t>
      </w:r>
      <w:r>
        <w:rPr>
          <w:rFonts w:hint="eastAsia" w:ascii="仿宋_GB2312" w:hAnsi="仿宋_GB2312" w:eastAsia="仿宋_GB2312" w:cs="仿宋_GB2312"/>
          <w:kern w:val="2"/>
          <w:sz w:val="32"/>
          <w:szCs w:val="32"/>
          <w:lang w:val="en-US" w:eastAsia="zh-CN" w:bidi="ar-SA"/>
        </w:rPr>
        <w:t>镇党委、政府高度重视法治政府建设工作，切实加强领导按照“主要领导抓总、分管领导抓块、经办人员包项、领导小组协调”的原则，成立法治政府建设工作领导小组，完善各项规章制度，针对在法治政府建设考核中发现的问题，由分管领导亲自抓落实，认真制定和落实整改目标措施。建立健全科学民主依法决策机制，提高制度建设质量。</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二是加强学习宣传，提高法治政府建设意识。</w:t>
      </w:r>
      <w:r>
        <w:rPr>
          <w:rFonts w:hint="eastAsia" w:ascii="仿宋_GB2312" w:hAnsi="仿宋_GB2312" w:eastAsia="仿宋_GB2312" w:cs="仿宋_GB2312"/>
          <w:kern w:val="2"/>
          <w:sz w:val="32"/>
          <w:szCs w:val="32"/>
          <w:lang w:val="en-US" w:eastAsia="zh-CN" w:bidi="ar-SA"/>
        </w:rPr>
        <w:t>进一步抓好对国务院《纲要》、《决定》、《意见》和《关于加强法治政府建设的实施意见》、《法治政府建设考核办法》及《行政执法监督办法》的学习宣传，使领导干部和行政执法人员充分认识法治政府建设的重要性，进一步增强依法执政、法治政府建设、依法办事的观念和自觉性。</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金川县马奈镇人民政府</w:t>
      </w:r>
    </w:p>
    <w:p>
      <w:pPr>
        <w:keepNext w:val="0"/>
        <w:keepLines w:val="0"/>
        <w:pageBreakBefore w:val="0"/>
        <w:widowControl w:val="0"/>
        <w:kinsoku/>
        <w:wordWrap/>
        <w:overflowPunct/>
        <w:topLinePunct w:val="0"/>
        <w:autoSpaceDE/>
        <w:autoSpaceDN/>
        <w:bidi w:val="0"/>
        <w:adjustRightInd/>
        <w:snapToGrid/>
        <w:spacing w:line="576"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2022年2月22日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514AF1"/>
    <w:rsid w:val="278E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2022-02-23T04:21:00Z</dcterms:created>
  <dc:creator>Administrator</dc:creator>
  <cp:lastModifiedBy>智美旺杰</cp:lastModifiedBy>
  <dcterms:modified xsi:type="dcterms:W3CDTF">2022-02-23T05:57:56Z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39D739F55F894039AA35C67DE91B5AC2</vt:lpwstr>
  </property>
</Properties>
</file>