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ECCFC">
      <w:pPr>
        <w:jc w:val="center"/>
        <w:rPr>
          <w:rFonts w:ascii="仿宋_GB2312" w:eastAsia="仿宋_GB2312"/>
          <w:sz w:val="32"/>
          <w:szCs w:val="32"/>
        </w:rPr>
      </w:pPr>
      <w:bookmarkStart w:id="0" w:name="_GoBack"/>
      <w:bookmarkEnd w:id="0"/>
      <w:r>
        <w:rPr>
          <w:rFonts w:ascii="仿宋_GB2312" w:eastAsia="仿宋_GB2312"/>
          <w:sz w:val="32"/>
          <w:szCs w:val="32"/>
        </w:rPr>
        <w:pict>
          <v:shape id="_x0000_i1025" o:spt="136" type="#_x0000_t136" style="height:57.75pt;width:419.25pt;" fillcolor="#FF0000" filled="t" stroked="t" coordsize="21600,21600">
            <v:path/>
            <v:fill on="t" focussize="0,0"/>
            <v:stroke color="#FF0000"/>
            <v:imagedata o:title=""/>
            <o:lock v:ext="edit"/>
            <v:textpath on="t" fitshape="t" fitpath="t" trim="t" xscale="f" string="阿坝藏族羌族自治州金川生态环境局" style="font-family:方正小标宋简体;font-size:36pt;v-text-align:center;"/>
            <w10:wrap type="none"/>
            <w10:anchorlock/>
          </v:shape>
        </w:pict>
      </w:r>
    </w:p>
    <w:p w14:paraId="3D3248DA">
      <w:pPr>
        <w:jc w:val="center"/>
        <w:rPr>
          <w:rFonts w:ascii="仿宋_GB2312" w:eastAsia="仿宋_GB2312"/>
          <w:sz w:val="32"/>
          <w:szCs w:val="32"/>
        </w:rPr>
      </w:pPr>
    </w:p>
    <w:p w14:paraId="6C5D03D6">
      <w:pPr>
        <w:spacing w:line="578" w:lineRule="exact"/>
        <w:rPr>
          <w:rFonts w:hint="eastAsia" w:ascii="方正小标宋_GBK" w:hAnsi="方正小标宋_GBK" w:eastAsia="方正小标宋_GBK" w:cs="方正小标宋_GBK"/>
          <w:sz w:val="44"/>
          <w:szCs w:val="52"/>
        </w:rPr>
      </w:pPr>
      <w:r>
        <mc:AlternateContent>
          <mc:Choice Requires="wps">
            <w:drawing>
              <wp:anchor distT="0" distB="0" distL="114300" distR="114300" simplePos="0" relativeHeight="251659264" behindDoc="0" locked="0" layoutInCell="1" allowOverlap="1">
                <wp:simplePos x="0" y="0"/>
                <wp:positionH relativeFrom="column">
                  <wp:posOffset>-287655</wp:posOffset>
                </wp:positionH>
                <wp:positionV relativeFrom="paragraph">
                  <wp:posOffset>99060</wp:posOffset>
                </wp:positionV>
                <wp:extent cx="6191885" cy="0"/>
                <wp:effectExtent l="0" t="13970" r="18415" b="24130"/>
                <wp:wrapNone/>
                <wp:docPr id="1" name="直线 2"/>
                <wp:cNvGraphicFramePr/>
                <a:graphic xmlns:a="http://schemas.openxmlformats.org/drawingml/2006/main">
                  <a:graphicData uri="http://schemas.microsoft.com/office/word/2010/wordprocessingShape">
                    <wps:wsp>
                      <wps:cNvCnPr/>
                      <wps:spPr>
                        <a:xfrm>
                          <a:off x="0" y="0"/>
                          <a:ext cx="6191885" cy="0"/>
                        </a:xfrm>
                        <a:prstGeom prst="line">
                          <a:avLst/>
                        </a:prstGeom>
                        <a:ln w="28575" cap="flat" cmpd="sng">
                          <a:solidFill>
                            <a:srgbClr val="FF0000"/>
                          </a:solidFill>
                          <a:prstDash val="solid"/>
                          <a:headEnd type="none" w="med" len="med"/>
                          <a:tailEnd type="none" w="med" len="med"/>
                        </a:ln>
                        <a:effectLst/>
                      </wps:spPr>
                      <wps:bodyPr upright="1"/>
                    </wps:wsp>
                  </a:graphicData>
                </a:graphic>
              </wp:anchor>
            </w:drawing>
          </mc:Choice>
          <mc:Fallback>
            <w:pict>
              <v:line id="直线 2" o:spid="_x0000_s1026" o:spt="20" style="position:absolute;left:0pt;margin-left:-22.65pt;margin-top:7.8pt;height:0pt;width:487.55pt;z-index:251659264;mso-width-relative:page;mso-height-relative:page;" filled="f" stroked="t" coordsize="21600,21600" o:gfxdata="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zEgNtcAAAAJAQAADwAAAAAAAAABACAAAAAiAAAAZHJzL2Rvd25yZXYueG1sUEsBAhQAFAAA&#10;AAgAh07iQNTHcrnwAQAA6gMAAA4AAAAAAAAAAQAgAAAAJgEAAGRycy9lMm9Eb2MueG1sUEsFBgAA&#10;AAAGAAYAWQEAAIgFAAAAAA==&#10;">
                <v:fill on="f" focussize="0,0"/>
                <v:stroke weight="2.25pt" color="#FF0000" joinstyle="round"/>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157480</wp:posOffset>
                </wp:positionV>
                <wp:extent cx="6191885" cy="0"/>
                <wp:effectExtent l="0" t="0" r="0" b="0"/>
                <wp:wrapNone/>
                <wp:docPr id="2" name="直线 3"/>
                <wp:cNvGraphicFramePr/>
                <a:graphic xmlns:a="http://schemas.openxmlformats.org/drawingml/2006/main">
                  <a:graphicData uri="http://schemas.microsoft.com/office/word/2010/wordprocessingShape">
                    <wps:wsp>
                      <wps:cNvCnPr/>
                      <wps:spPr>
                        <a:xfrm>
                          <a:off x="0" y="0"/>
                          <a:ext cx="6191885" cy="0"/>
                        </a:xfrm>
                        <a:prstGeom prst="line">
                          <a:avLst/>
                        </a:prstGeom>
                        <a:ln w="12700" cap="flat" cmpd="sng">
                          <a:solidFill>
                            <a:srgbClr val="FF0000"/>
                          </a:solidFill>
                          <a:prstDash val="solid"/>
                          <a:headEnd type="none" w="med" len="med"/>
                          <a:tailEnd type="none" w="med" len="med"/>
                        </a:ln>
                        <a:effectLst/>
                      </wps:spPr>
                      <wps:bodyPr upright="1"/>
                    </wps:wsp>
                  </a:graphicData>
                </a:graphic>
              </wp:anchor>
            </w:drawing>
          </mc:Choice>
          <mc:Fallback>
            <w:pict>
              <v:line id="直线 3" o:spid="_x0000_s1026" o:spt="20" style="position:absolute;left:0pt;margin-left:-22.65pt;margin-top:12.4pt;height:0pt;width:487.55pt;z-index:251660288;mso-width-relative:page;mso-height-relative:page;" filled="f" stroked="t" coordsize="21600,21600" o:gfxdata="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PnRqfYAAAACQEAAA8AAAAAAAAAAQAgAAAAIgAAAGRycy9kb3ducmV2LnhtbFBLAQIUABQA&#10;AAAIAIdO4kDqoIxg8AEAAOoDAAAOAAAAAAAAAAEAIAAAACcBAABkcnMvZTJvRG9jLnhtbFBLBQYA&#10;AAAABgAGAFkBAACJBQAAAAA=&#10;">
                <v:fill on="f" focussize="0,0"/>
                <v:stroke weight="1pt" color="#FF0000" joinstyle="round"/>
                <v:imagedata o:title=""/>
                <o:lock v:ext="edit" aspectratio="f"/>
              </v:line>
            </w:pict>
          </mc:Fallback>
        </mc:AlternateContent>
      </w:r>
    </w:p>
    <w:p w14:paraId="36834E70">
      <w:pPr>
        <w:pStyle w:val="3"/>
        <w:jc w:val="center"/>
        <w:rPr>
          <w:rFonts w:ascii="方正小标宋_GBK" w:hAnsi="方正小标宋_GBK" w:eastAsia="方正小标宋_GBK" w:cs="方正小标宋_GBK"/>
          <w:sz w:val="44"/>
          <w:szCs w:val="52"/>
        </w:rPr>
      </w:pPr>
      <w:r>
        <w:rPr>
          <w:rFonts w:hint="eastAsia" w:ascii="方正小标宋_GBK" w:hAnsi="方正小标宋_GBK" w:eastAsia="方正小标宋_GBK" w:cs="方正小标宋_GBK"/>
          <w:sz w:val="44"/>
          <w:szCs w:val="52"/>
        </w:rPr>
        <w:t>阿坝州金川生态环境局</w:t>
      </w:r>
    </w:p>
    <w:p w14:paraId="22F53C55">
      <w:pPr>
        <w:pStyle w:val="3"/>
        <w:jc w:val="center"/>
        <w:rPr>
          <w:rFonts w:ascii="方正小标宋_GBK" w:hAnsi="方正小标宋_GBK" w:eastAsia="方正小标宋_GBK" w:cs="方正小标宋_GBK"/>
          <w:sz w:val="44"/>
          <w:szCs w:val="52"/>
        </w:rPr>
      </w:pPr>
      <w:r>
        <w:rPr>
          <w:rFonts w:hint="eastAsia" w:ascii="方正小标宋_GBK" w:hAnsi="方正小标宋_GBK" w:eastAsia="方正小标宋_GBK" w:cs="方正小标宋_GBK"/>
          <w:sz w:val="44"/>
          <w:szCs w:val="52"/>
        </w:rPr>
        <w:t>2021年法治政府建设年度报告</w:t>
      </w:r>
    </w:p>
    <w:p w14:paraId="4A6D63F5">
      <w:pPr>
        <w:pStyle w:val="3"/>
        <w:spacing w:line="576" w:lineRule="exact"/>
        <w:rPr>
          <w:rFonts w:ascii="仿宋_GB2312" w:hAnsi="仿宋_GB2312" w:eastAsia="仿宋_GB2312" w:cs="仿宋_GB2312"/>
          <w:sz w:val="32"/>
          <w:szCs w:val="40"/>
        </w:rPr>
      </w:pPr>
    </w:p>
    <w:p w14:paraId="48D5F6C5">
      <w:pPr>
        <w:pStyle w:val="3"/>
        <w:spacing w:line="576" w:lineRule="exact"/>
        <w:rPr>
          <w:rFonts w:ascii="仿宋_GB2312" w:hAnsi="仿宋_GB2312" w:eastAsia="仿宋_GB2312" w:cs="仿宋_GB2312"/>
          <w:sz w:val="32"/>
          <w:szCs w:val="40"/>
        </w:rPr>
      </w:pPr>
      <w:r>
        <w:rPr>
          <w:rFonts w:hint="eastAsia" w:ascii="仿宋_GB2312" w:hAnsi="仿宋_GB2312" w:eastAsia="仿宋_GB2312" w:cs="仿宋_GB2312"/>
          <w:sz w:val="32"/>
          <w:szCs w:val="40"/>
        </w:rPr>
        <w:t>金川县人民政府：</w:t>
      </w:r>
    </w:p>
    <w:p w14:paraId="4642A291">
      <w:pPr>
        <w:pStyle w:val="3"/>
        <w:spacing w:line="576"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2021年，在县委县政府的正确领导下，在县依法治县办的具体指导下，紧紧围绕法治政府建设的总体目标，不断完善制度建设、规范权力运行、加强法制监督，扎实推进法治</w:t>
      </w:r>
      <w:r>
        <w:rPr>
          <w:rFonts w:hint="eastAsia" w:ascii="仿宋_GB2312" w:hAnsi="仿宋_GB2312" w:eastAsia="仿宋_GB2312" w:cs="仿宋_GB2312"/>
          <w:sz w:val="32"/>
          <w:szCs w:val="40"/>
          <w:lang w:val="en-US" w:eastAsia="zh-CN"/>
        </w:rPr>
        <w:t>政府</w:t>
      </w:r>
      <w:r>
        <w:rPr>
          <w:rFonts w:hint="eastAsia" w:ascii="仿宋_GB2312" w:hAnsi="仿宋_GB2312" w:eastAsia="仿宋_GB2312" w:cs="仿宋_GB2312"/>
          <w:sz w:val="32"/>
          <w:szCs w:val="40"/>
        </w:rPr>
        <w:t>建设，有效推动了生态环境执法工作科学、有序发展。现将我局2021年度法治政府建设工作情况总结如下：</w:t>
      </w:r>
    </w:p>
    <w:p w14:paraId="106759FF">
      <w:pPr>
        <w:pStyle w:val="3"/>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一、2021年推进法治政府建设的主要举措和成效</w:t>
      </w:r>
    </w:p>
    <w:p w14:paraId="66768A58">
      <w:pPr>
        <w:pStyle w:val="3"/>
        <w:spacing w:line="576" w:lineRule="exact"/>
        <w:ind w:firstLine="643" w:firstLineChars="200"/>
        <w:rPr>
          <w:rFonts w:ascii="楷体_GB2312" w:hAnsi="楷体_GB2312" w:eastAsia="楷体_GB2312" w:cs="楷体_GB2312"/>
          <w:b/>
          <w:bCs/>
          <w:sz w:val="32"/>
          <w:szCs w:val="40"/>
        </w:rPr>
      </w:pPr>
      <w:r>
        <w:rPr>
          <w:rFonts w:hint="eastAsia" w:ascii="楷体_GB2312" w:hAnsi="楷体_GB2312" w:eastAsia="楷体_GB2312" w:cs="楷体_GB2312"/>
          <w:b/>
          <w:bCs/>
          <w:sz w:val="32"/>
          <w:szCs w:val="40"/>
        </w:rPr>
        <w:t>（一）加强领导，确保法治</w:t>
      </w:r>
      <w:r>
        <w:rPr>
          <w:rFonts w:hint="eastAsia" w:ascii="楷体_GB2312" w:hAnsi="楷体_GB2312" w:eastAsia="楷体_GB2312" w:cs="楷体_GB2312"/>
          <w:b/>
          <w:bCs/>
          <w:sz w:val="32"/>
          <w:szCs w:val="40"/>
          <w:lang w:val="en-US" w:eastAsia="zh-CN"/>
        </w:rPr>
        <w:t>政府</w:t>
      </w:r>
      <w:r>
        <w:rPr>
          <w:rFonts w:hint="eastAsia" w:ascii="楷体_GB2312" w:hAnsi="楷体_GB2312" w:eastAsia="楷体_GB2312" w:cs="楷体_GB2312"/>
          <w:b/>
          <w:bCs/>
          <w:sz w:val="32"/>
          <w:szCs w:val="40"/>
        </w:rPr>
        <w:t>建设工作落到实处</w:t>
      </w:r>
    </w:p>
    <w:p w14:paraId="6C4470CA">
      <w:pPr>
        <w:pStyle w:val="3"/>
        <w:spacing w:line="576"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提高政治站位，加强组织领导。充分发挥局党支部总揽全局的领导核心作用，全面加强局党组对生态环境工作法治政府建设的领导。坚持将法治</w:t>
      </w:r>
      <w:r>
        <w:rPr>
          <w:rFonts w:hint="eastAsia" w:ascii="仿宋_GB2312" w:hAnsi="仿宋_GB2312" w:eastAsia="仿宋_GB2312" w:cs="仿宋_GB2312"/>
          <w:sz w:val="32"/>
          <w:szCs w:val="40"/>
          <w:lang w:val="en-US" w:eastAsia="zh-CN"/>
        </w:rPr>
        <w:t>政府</w:t>
      </w:r>
      <w:r>
        <w:rPr>
          <w:rFonts w:hint="eastAsia" w:ascii="仿宋_GB2312" w:hAnsi="仿宋_GB2312" w:eastAsia="仿宋_GB2312" w:cs="仿宋_GB2312"/>
          <w:sz w:val="32"/>
          <w:szCs w:val="40"/>
        </w:rPr>
        <w:t>建设纳入年度工作计划，与重点工作同部署、同安排、同推进。坚持定期专题召开局党支部会议，研究、贯彻落实党中央涉及法治领域的决策部署，以实际行动拥护法治政府建设。在全局形成局长亲自抓、分管领导具体抓、领导小组牵头抓、执法中队配合抓的工作机制，为加强法治</w:t>
      </w:r>
      <w:r>
        <w:rPr>
          <w:rFonts w:hint="eastAsia" w:ascii="仿宋_GB2312" w:hAnsi="仿宋_GB2312" w:eastAsia="仿宋_GB2312" w:cs="仿宋_GB2312"/>
          <w:sz w:val="32"/>
          <w:szCs w:val="40"/>
          <w:lang w:val="en-US" w:eastAsia="zh-CN"/>
        </w:rPr>
        <w:t>政府</w:t>
      </w:r>
      <w:r>
        <w:rPr>
          <w:rFonts w:hint="eastAsia" w:ascii="仿宋_GB2312" w:hAnsi="仿宋_GB2312" w:eastAsia="仿宋_GB2312" w:cs="仿宋_GB2312"/>
          <w:sz w:val="32"/>
          <w:szCs w:val="40"/>
        </w:rPr>
        <w:t>建设提供了强有力的保障。</w:t>
      </w:r>
    </w:p>
    <w:p w14:paraId="52729000">
      <w:pPr>
        <w:pStyle w:val="3"/>
        <w:spacing w:line="576" w:lineRule="exact"/>
        <w:ind w:firstLine="643" w:firstLineChars="200"/>
        <w:rPr>
          <w:rFonts w:ascii="楷体_GB2312" w:hAnsi="楷体_GB2312" w:eastAsia="楷体_GB2312" w:cs="楷体_GB2312"/>
          <w:b/>
          <w:bCs/>
          <w:sz w:val="32"/>
          <w:szCs w:val="40"/>
        </w:rPr>
      </w:pPr>
      <w:r>
        <w:rPr>
          <w:rFonts w:hint="eastAsia" w:ascii="楷体_GB2312" w:hAnsi="楷体_GB2312" w:eastAsia="楷体_GB2312" w:cs="楷体_GB2312"/>
          <w:b/>
          <w:bCs/>
          <w:sz w:val="32"/>
          <w:szCs w:val="40"/>
        </w:rPr>
        <w:t>（二）依法履职，主动服务经济社会发展</w:t>
      </w:r>
    </w:p>
    <w:p w14:paraId="2B32E9F9">
      <w:pPr>
        <w:pStyle w:val="3"/>
        <w:spacing w:line="576"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1.落实责任，风险防范攻坚战显成效。落实项目施工备案，与所有施工工地签订安全责任书、环境卫生施工承诺书，建立施工工地监管清单，保证工地施工安全。</w:t>
      </w:r>
    </w:p>
    <w:p w14:paraId="1625055A">
      <w:pPr>
        <w:pStyle w:val="3"/>
        <w:spacing w:line="576"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2.扎实推进，提升文明执法水平。一是落实文明执法培训制度，通过专业文明执法培训及专业法律知识培训，提高执法人员文明执法水平，提高群众对环保执法工作满意度。二是落实会前总结制度，每次会前对近段时间执法工作进行总结，查漏补缺对下一阶段执法工作作出新的要求。三是落实集中执法制度，对砂石、小水电、矿山、大型水电开发开展专项检查，为我县的绿水青山提供更好的保障。</w:t>
      </w:r>
    </w:p>
    <w:p w14:paraId="4E2DE4CA">
      <w:pPr>
        <w:pStyle w:val="3"/>
        <w:spacing w:line="576"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3.优化服务，做好放管服工作。一是落实“放管服”改革要求，做好一网通办事项时限缩短、材料减免、便民问题等清单内容的编辑。二是落实依申请服务事项入驻政务服务大厅工作，让群众、企业可以一件事跑一次，足不出户办事项。</w:t>
      </w:r>
    </w:p>
    <w:p w14:paraId="575DACC2">
      <w:pPr>
        <w:pStyle w:val="3"/>
        <w:spacing w:line="576"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4.履职尽责，行政执法取得突出实效。聚焦重点行业领域，扎实开展环境执法工作，</w:t>
      </w:r>
      <w:r>
        <w:rPr>
          <w:rFonts w:hint="eastAsia" w:ascii="仿宋" w:hAnsi="仿宋" w:eastAsia="仿宋" w:cs="仿宋"/>
          <w:sz w:val="32"/>
          <w:szCs w:val="32"/>
        </w:rPr>
        <w:t>立案7起，下达处罚决定书7件，处罚总金额33.5165万元，下达限期整改决定书40份，问题整改交办单5份，受理并办结环境投诉案件9件，调查处理率100%。</w:t>
      </w:r>
    </w:p>
    <w:p w14:paraId="58CD98BC">
      <w:pPr>
        <w:pStyle w:val="3"/>
        <w:spacing w:line="576" w:lineRule="exact"/>
        <w:ind w:firstLine="643" w:firstLineChars="200"/>
        <w:rPr>
          <w:rFonts w:ascii="楷体_GB2312" w:hAnsi="楷体_GB2312" w:eastAsia="楷体_GB2312" w:cs="楷体_GB2312"/>
          <w:b/>
          <w:bCs/>
          <w:sz w:val="32"/>
          <w:szCs w:val="40"/>
        </w:rPr>
      </w:pPr>
      <w:r>
        <w:rPr>
          <w:rFonts w:hint="eastAsia" w:ascii="楷体_GB2312" w:hAnsi="楷体_GB2312" w:eastAsia="楷体_GB2312" w:cs="楷体_GB2312"/>
          <w:b/>
          <w:bCs/>
          <w:sz w:val="32"/>
          <w:szCs w:val="40"/>
        </w:rPr>
        <w:t>（三）筑牢基础，全面提升法治思维和队伍素质</w:t>
      </w:r>
    </w:p>
    <w:p w14:paraId="4E1633D5">
      <w:pPr>
        <w:pStyle w:val="3"/>
        <w:spacing w:line="576" w:lineRule="exact"/>
        <w:ind w:firstLine="643" w:firstLineChars="200"/>
        <w:rPr>
          <w:rFonts w:ascii="仿宋_GB2312" w:hAnsi="仿宋_GB2312" w:eastAsia="仿宋_GB2312" w:cs="仿宋_GB2312"/>
          <w:sz w:val="32"/>
          <w:szCs w:val="40"/>
        </w:rPr>
      </w:pPr>
      <w:r>
        <w:rPr>
          <w:rFonts w:hint="eastAsia" w:ascii="仿宋_GB2312" w:hAnsi="仿宋_GB2312" w:eastAsia="仿宋_GB2312" w:cs="仿宋_GB2312"/>
          <w:b/>
          <w:bCs/>
          <w:sz w:val="32"/>
          <w:szCs w:val="40"/>
        </w:rPr>
        <w:t>一是</w:t>
      </w:r>
      <w:r>
        <w:rPr>
          <w:rFonts w:hint="eastAsia" w:ascii="仿宋_GB2312" w:hAnsi="仿宋_GB2312" w:eastAsia="仿宋_GB2312" w:cs="仿宋_GB2312"/>
          <w:sz w:val="32"/>
          <w:szCs w:val="40"/>
        </w:rPr>
        <w:t>完善工作机制。成立法治政府建设工作领导小组，确保各项工作落实到位。把法治教育纳入干部教育培训计划，不断探索学习培训长效机制，通过组织专题学法、上岗培训、定期培训、在线学习等方式开展法律法规的学习。</w:t>
      </w:r>
    </w:p>
    <w:p w14:paraId="598EBFD2">
      <w:pPr>
        <w:pStyle w:val="3"/>
        <w:spacing w:line="576" w:lineRule="exact"/>
        <w:ind w:firstLine="643" w:firstLineChars="200"/>
        <w:rPr>
          <w:rFonts w:ascii="仿宋_GB2312" w:hAnsi="仿宋_GB2312" w:eastAsia="仿宋_GB2312" w:cs="仿宋_GB2312"/>
          <w:sz w:val="32"/>
          <w:szCs w:val="40"/>
        </w:rPr>
      </w:pPr>
      <w:r>
        <w:rPr>
          <w:rFonts w:hint="eastAsia" w:ascii="仿宋_GB2312" w:hAnsi="仿宋_GB2312" w:eastAsia="仿宋_GB2312" w:cs="仿宋_GB2312"/>
          <w:b/>
          <w:bCs/>
          <w:sz w:val="32"/>
          <w:szCs w:val="40"/>
        </w:rPr>
        <w:t>二是</w:t>
      </w:r>
      <w:r>
        <w:rPr>
          <w:rFonts w:hint="eastAsia" w:ascii="仿宋_GB2312" w:hAnsi="仿宋_GB2312" w:eastAsia="仿宋_GB2312" w:cs="仿宋_GB2312"/>
          <w:sz w:val="32"/>
          <w:szCs w:val="40"/>
        </w:rPr>
        <w:t>抓好 “关键少数”。金川生态环境局始终将领导干部作为法治</w:t>
      </w:r>
      <w:r>
        <w:rPr>
          <w:rFonts w:hint="eastAsia" w:ascii="仿宋_GB2312" w:hAnsi="仿宋_GB2312" w:eastAsia="仿宋_GB2312" w:cs="仿宋_GB2312"/>
          <w:sz w:val="32"/>
          <w:szCs w:val="40"/>
          <w:lang w:val="en-US" w:eastAsia="zh-CN"/>
        </w:rPr>
        <w:t>政府</w:t>
      </w:r>
      <w:r>
        <w:rPr>
          <w:rFonts w:hint="eastAsia" w:ascii="仿宋_GB2312" w:hAnsi="仿宋_GB2312" w:eastAsia="仿宋_GB2312" w:cs="仿宋_GB2312"/>
          <w:sz w:val="32"/>
          <w:szCs w:val="40"/>
        </w:rPr>
        <w:t>建设的重点，要求班子成员当好知法、学法、懂法的带头人，把法律法规作为日常学习培训的内容，结合</w:t>
      </w:r>
      <w:r>
        <w:rPr>
          <w:rFonts w:hint="eastAsia" w:ascii="仿宋_GB2312" w:hAnsi="仿宋_GB2312" w:eastAsia="仿宋_GB2312" w:cs="仿宋_GB2312"/>
          <w:sz w:val="32"/>
          <w:szCs w:val="40"/>
          <w:lang w:eastAsia="zh-CN"/>
        </w:rPr>
        <w:t>“不忘初心、牢记使命”主题教育</w:t>
      </w:r>
      <w:r>
        <w:rPr>
          <w:rFonts w:hint="eastAsia" w:ascii="仿宋_GB2312" w:hAnsi="仿宋_GB2312" w:eastAsia="仿宋_GB2312" w:cs="仿宋_GB2312"/>
          <w:sz w:val="32"/>
          <w:szCs w:val="40"/>
        </w:rPr>
        <w:t>，由主要领导带头学习党章党规、讲授廉政党课，并及时传达环境保护方面的新政策、新制度。</w:t>
      </w:r>
    </w:p>
    <w:p w14:paraId="2ECFA541">
      <w:pPr>
        <w:pStyle w:val="3"/>
        <w:spacing w:line="576" w:lineRule="exact"/>
        <w:ind w:firstLine="643" w:firstLineChars="200"/>
        <w:rPr>
          <w:rFonts w:ascii="仿宋_GB2312" w:hAnsi="仿宋_GB2312" w:eastAsia="仿宋_GB2312" w:cs="仿宋_GB2312"/>
          <w:sz w:val="32"/>
          <w:szCs w:val="40"/>
        </w:rPr>
      </w:pPr>
      <w:r>
        <w:rPr>
          <w:rFonts w:hint="eastAsia" w:ascii="仿宋_GB2312" w:hAnsi="仿宋_GB2312" w:eastAsia="仿宋_GB2312" w:cs="仿宋_GB2312"/>
          <w:b/>
          <w:bCs/>
          <w:sz w:val="32"/>
          <w:szCs w:val="40"/>
        </w:rPr>
        <w:t>三是</w:t>
      </w:r>
      <w:r>
        <w:rPr>
          <w:rFonts w:hint="eastAsia" w:ascii="仿宋_GB2312" w:hAnsi="仿宋_GB2312" w:eastAsia="仿宋_GB2312" w:cs="仿宋_GB2312"/>
          <w:sz w:val="32"/>
          <w:szCs w:val="40"/>
        </w:rPr>
        <w:t>抓好“全员培训”。执法人员是执行法律的主体，执法人员水平和能力的高低，直接影响依法行政的效果。严格行政执法人员持证上岗和资格管理制度，定期开展公务员法律知识培训和考核工作，做好执法证件的更换，确保全员持证上岗，不断提高执法能力和执法水平，坚持做到规范公正文明执法。</w:t>
      </w:r>
    </w:p>
    <w:p w14:paraId="20DCC5D5">
      <w:pPr>
        <w:pStyle w:val="3"/>
        <w:spacing w:line="576" w:lineRule="exact"/>
        <w:ind w:firstLine="643" w:firstLineChars="200"/>
        <w:rPr>
          <w:rFonts w:ascii="楷体_GB2312" w:hAnsi="楷体_GB2312" w:eastAsia="楷体_GB2312" w:cs="楷体_GB2312"/>
          <w:b/>
          <w:bCs/>
          <w:sz w:val="32"/>
          <w:szCs w:val="40"/>
        </w:rPr>
      </w:pPr>
      <w:r>
        <w:rPr>
          <w:rFonts w:hint="eastAsia" w:ascii="楷体_GB2312" w:hAnsi="楷体_GB2312" w:eastAsia="楷体_GB2312" w:cs="楷体_GB2312"/>
          <w:b/>
          <w:bCs/>
          <w:sz w:val="32"/>
          <w:szCs w:val="40"/>
        </w:rPr>
        <w:t>（四）强化监督，规范行政执法行为</w:t>
      </w:r>
    </w:p>
    <w:p w14:paraId="15A65702">
      <w:pPr>
        <w:pStyle w:val="3"/>
        <w:spacing w:line="576" w:lineRule="exact"/>
        <w:ind w:firstLine="643" w:firstLineChars="200"/>
        <w:rPr>
          <w:rFonts w:ascii="仿宋_GB2312" w:hAnsi="仿宋_GB2312" w:eastAsia="仿宋_GB2312" w:cs="仿宋_GB2312"/>
          <w:sz w:val="32"/>
          <w:szCs w:val="40"/>
        </w:rPr>
      </w:pPr>
      <w:r>
        <w:rPr>
          <w:rFonts w:hint="eastAsia" w:ascii="仿宋_GB2312" w:hAnsi="仿宋_GB2312" w:eastAsia="仿宋_GB2312" w:cs="仿宋_GB2312"/>
          <w:b/>
          <w:bCs/>
          <w:sz w:val="32"/>
          <w:szCs w:val="40"/>
        </w:rPr>
        <w:t>一是</w:t>
      </w:r>
      <w:r>
        <w:rPr>
          <w:rFonts w:hint="eastAsia" w:ascii="仿宋_GB2312" w:hAnsi="仿宋_GB2312" w:eastAsia="仿宋_GB2312" w:cs="仿宋_GB2312"/>
          <w:sz w:val="32"/>
          <w:szCs w:val="40"/>
        </w:rPr>
        <w:t>完善了执法中队行政执法公示制度，进一步明确了执法公示的范围、内容、载体、程序、时限要求等。通过政务公开网站整改、处罚、随机检查等行政执法行为的详细信息，接受媒体和群众的监督。</w:t>
      </w:r>
    </w:p>
    <w:p w14:paraId="5AB7F963">
      <w:pPr>
        <w:pStyle w:val="3"/>
        <w:spacing w:line="576" w:lineRule="exact"/>
        <w:ind w:firstLine="643" w:firstLineChars="200"/>
        <w:rPr>
          <w:rFonts w:ascii="仿宋_GB2312" w:hAnsi="仿宋_GB2312" w:eastAsia="仿宋_GB2312" w:cs="仿宋_GB2312"/>
          <w:sz w:val="32"/>
          <w:szCs w:val="40"/>
        </w:rPr>
      </w:pPr>
      <w:r>
        <w:rPr>
          <w:rFonts w:hint="eastAsia" w:ascii="仿宋_GB2312" w:hAnsi="仿宋_GB2312" w:eastAsia="仿宋_GB2312" w:cs="仿宋_GB2312"/>
          <w:b/>
          <w:bCs/>
          <w:sz w:val="32"/>
          <w:szCs w:val="40"/>
        </w:rPr>
        <w:t>二是</w:t>
      </w:r>
      <w:r>
        <w:rPr>
          <w:rFonts w:hint="eastAsia" w:ascii="仿宋_GB2312" w:hAnsi="仿宋_GB2312" w:eastAsia="仿宋_GB2312" w:cs="仿宋_GB2312"/>
          <w:sz w:val="32"/>
          <w:szCs w:val="40"/>
        </w:rPr>
        <w:t>完善了行政执法全过程的信息收集、保存、管理、使用等工作制度。要求执法人员对调查取证、审查决定、送达执行、归档管理等行政执法全过程进行记录。通过文字、执法记录仪等方式对行政执法过程进行全记录，实现对执法行为的留痕和可回溯管理，规范执法程序，提高执法水平。</w:t>
      </w:r>
    </w:p>
    <w:p w14:paraId="654F8001">
      <w:pPr>
        <w:pStyle w:val="3"/>
        <w:spacing w:line="576" w:lineRule="exact"/>
        <w:ind w:firstLine="643" w:firstLineChars="200"/>
        <w:rPr>
          <w:rFonts w:ascii="仿宋_GB2312" w:hAnsi="仿宋_GB2312" w:eastAsia="仿宋_GB2312" w:cs="仿宋_GB2312"/>
          <w:sz w:val="32"/>
          <w:szCs w:val="40"/>
        </w:rPr>
      </w:pPr>
      <w:r>
        <w:rPr>
          <w:rFonts w:hint="eastAsia" w:ascii="仿宋_GB2312" w:hAnsi="仿宋_GB2312" w:eastAsia="仿宋_GB2312" w:cs="仿宋_GB2312"/>
          <w:b/>
          <w:bCs/>
          <w:sz w:val="32"/>
          <w:szCs w:val="40"/>
        </w:rPr>
        <w:t>三是</w:t>
      </w:r>
      <w:r>
        <w:rPr>
          <w:rFonts w:hint="eastAsia" w:ascii="仿宋_GB2312" w:hAnsi="仿宋_GB2312" w:eastAsia="仿宋_GB2312" w:cs="仿宋_GB2312"/>
          <w:sz w:val="32"/>
          <w:szCs w:val="40"/>
        </w:rPr>
        <w:t>完善了行政处罚案件审核工作，明确审核范围、内容、程序和责任，促进依法行政。实施采取以法规科审核为主，办案机构内部审核为补充的分层分类审核制度。同时做好案卷评查整改，认真分析案卷中存在的问题及原因，通过整改进一步提升案卷质量和执法水平，防控执法中的法律风险。</w:t>
      </w:r>
    </w:p>
    <w:p w14:paraId="28BA1389">
      <w:pPr>
        <w:pStyle w:val="3"/>
        <w:spacing w:line="576" w:lineRule="exact"/>
        <w:ind w:firstLine="643" w:firstLineChars="200"/>
        <w:rPr>
          <w:rFonts w:ascii="楷体_GB2312" w:hAnsi="楷体_GB2312" w:eastAsia="楷体_GB2312" w:cs="楷体_GB2312"/>
          <w:b/>
          <w:bCs/>
          <w:sz w:val="32"/>
          <w:szCs w:val="40"/>
        </w:rPr>
      </w:pPr>
      <w:r>
        <w:rPr>
          <w:rFonts w:hint="eastAsia" w:ascii="楷体_GB2312" w:hAnsi="楷体_GB2312" w:eastAsia="楷体_GB2312" w:cs="楷体_GB2312"/>
          <w:b/>
          <w:bCs/>
          <w:sz w:val="32"/>
          <w:szCs w:val="40"/>
        </w:rPr>
        <w:t>（五）强化宣传，营造法治建设良好氛围</w:t>
      </w:r>
    </w:p>
    <w:p w14:paraId="4C5A2B68">
      <w:pPr>
        <w:pStyle w:val="2"/>
        <w:spacing w:line="576"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结合“两联一进”群众工作、机关支部“固定党日”等活动，组织单位职工开展生态环境法律法规“七进”宣传活动15次，发放宣传资料500余册。以座谈讲、田间讲、入户讲“三讲”形式，开展《环境保护法》等法律法规宣传宣讲40次，发放宣传资料167册。注重发挥微信群、微信公众号信息推送功能，动态推送、转载生态环境保护法律法规、生态文明建设等新闻信息12次，在阿坝州金川生态环境局公众号发布环境空气质量数据及环保宣传信息共计20余条，在政府门户网站公开空气质量及水环境质量信息12条。</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全面安排部署六五环境日宣传活动。以“人与自然和谐共生”为主题，在金川县人民政府广场开展主场宣传活动，发放相关宣传资料1000余份，环保袋、文具盒等纪念品400余份，接受群众咨询100余人。</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制定《阿坝州金川生态环境局关于推进环保设施向公众开放的工作方案》，细化部署3个方面4项重点任务，全力做好宣传动员。结合实际，确定1个开放地点，让公众走近环境空气质量监测工作，了解空气自动监测程序，普及大气环境保护知识。</w:t>
      </w:r>
      <w:r>
        <w:rPr>
          <w:rFonts w:hint="eastAsia" w:ascii="仿宋_GB2312" w:hAnsi="仿宋_GB2312" w:eastAsia="仿宋_GB2312" w:cs="仿宋_GB2312"/>
          <w:b/>
          <w:bCs/>
          <w:sz w:val="32"/>
          <w:szCs w:val="32"/>
        </w:rPr>
        <w:t>四是</w:t>
      </w:r>
      <w:r>
        <w:rPr>
          <w:rFonts w:hint="eastAsia" w:ascii="仿宋_GB2312" w:hAnsi="仿宋_GB2312" w:eastAsia="仿宋_GB2312" w:cs="仿宋_GB2312"/>
          <w:sz w:val="32"/>
          <w:szCs w:val="32"/>
        </w:rPr>
        <w:t>联合县教育部门，组织开展“六·五环境日校园活动周”活动，在勒乌一小开设“生态环境保护科普课堂”，引导全县青少年积极参与环境教育实践，不断增强青少年生态环境保护意识，形成人人关心、支持、参与生态环境保护工作的局面。</w:t>
      </w:r>
    </w:p>
    <w:p w14:paraId="43304AE2">
      <w:pPr>
        <w:pStyle w:val="3"/>
        <w:spacing w:line="576" w:lineRule="exact"/>
        <w:ind w:firstLine="640" w:firstLineChars="200"/>
        <w:rPr>
          <w:rFonts w:ascii="仿宋_GB2312" w:hAnsi="仿宋_GB2312" w:eastAsia="黑体" w:cs="仿宋_GB2312"/>
          <w:sz w:val="32"/>
          <w:szCs w:val="40"/>
        </w:rPr>
      </w:pPr>
      <w:r>
        <w:rPr>
          <w:rFonts w:hint="eastAsia" w:ascii="黑体" w:hAnsi="黑体" w:eastAsia="黑体" w:cs="黑体"/>
          <w:sz w:val="32"/>
          <w:szCs w:val="40"/>
        </w:rPr>
        <w:t>二、存在的不足和原因</w:t>
      </w:r>
    </w:p>
    <w:p w14:paraId="6CFD8A24">
      <w:pPr>
        <w:pStyle w:val="3"/>
        <w:spacing w:line="576"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（一）法</w:t>
      </w:r>
      <w:r>
        <w:rPr>
          <w:rFonts w:hint="eastAsia" w:ascii="仿宋_GB2312" w:hAnsi="仿宋_GB2312" w:eastAsia="仿宋_GB2312" w:cs="仿宋_GB2312"/>
          <w:sz w:val="32"/>
          <w:szCs w:val="40"/>
          <w:lang w:val="en-US" w:eastAsia="zh-CN"/>
        </w:rPr>
        <w:t>治</w:t>
      </w:r>
      <w:r>
        <w:rPr>
          <w:rFonts w:hint="eastAsia" w:ascii="仿宋_GB2312" w:hAnsi="仿宋_GB2312" w:eastAsia="仿宋_GB2312" w:cs="仿宋_GB2312"/>
          <w:sz w:val="32"/>
          <w:szCs w:val="40"/>
        </w:rPr>
        <w:t>宣传、培训的工作力度有待进一步加强。</w:t>
      </w:r>
    </w:p>
    <w:p w14:paraId="4453C959">
      <w:pPr>
        <w:pStyle w:val="3"/>
        <w:spacing w:line="576"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（二）执法人员素质建设还需不断加强。</w:t>
      </w:r>
    </w:p>
    <w:p w14:paraId="5F387A40">
      <w:pPr>
        <w:pStyle w:val="3"/>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三、2021年度党政主要负责人履行推进法治建设第一责任人职责，加强法治政府建设的有关情况</w:t>
      </w:r>
    </w:p>
    <w:p w14:paraId="6E474CF8">
      <w:pPr>
        <w:numPr>
          <w:ilvl w:val="0"/>
          <w:numId w:val="1"/>
        </w:numPr>
        <w:spacing w:line="576" w:lineRule="exact"/>
        <w:ind w:left="-11" w:firstLine="643"/>
        <w:rPr>
          <w:rFonts w:ascii="仿宋_GB2312" w:hAnsi="仿宋_GB2312" w:eastAsia="仿宋_GB2312" w:cs="仿宋_GB2312"/>
          <w:sz w:val="32"/>
          <w:szCs w:val="40"/>
        </w:rPr>
      </w:pPr>
      <w:r>
        <w:rPr>
          <w:rFonts w:hint="eastAsia" w:ascii="仿宋_GB2312" w:hAnsi="仿宋_GB2312" w:eastAsia="仿宋_GB2312" w:cs="仿宋_GB2312"/>
          <w:sz w:val="32"/>
          <w:szCs w:val="40"/>
        </w:rPr>
        <w:t>加强组织领导，落实工作责任。为扎实推进我局的依法治县工作，确保依法治县工作实现预期目标，我局按照要求制定了《2021年推进依法治县工作计划》，并专门成立了领导小组，局长任组长，分管领导任副组长，各股室负责人为成员，下设办公室，明确由水土科具体负责依法治县工作，拟定依法治县工作任务和实施细则。</w:t>
      </w:r>
    </w:p>
    <w:p w14:paraId="134E7C9E">
      <w:pPr>
        <w:numPr>
          <w:ilvl w:val="0"/>
          <w:numId w:val="1"/>
        </w:numPr>
        <w:spacing w:line="576" w:lineRule="exact"/>
        <w:ind w:left="-11"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坚持领导干部学法用法考核制度。领导干部带头学法、守法、用法，牢固树立社会主义法治观念，模范遵守宪法和法律法规，自觉坚持在宪法和法律范围内活动，严格坚持依法办事，提高依法行政能力。定期组织执法人员对企业进行培训，2021年组织“固体废物申报登记工作专题培训会”，共有3</w:t>
      </w:r>
      <w:r>
        <w:rPr>
          <w:rFonts w:ascii="仿宋_GB2312" w:hAnsi="仿宋_GB2312" w:eastAsia="仿宋_GB2312" w:cs="仿宋_GB2312"/>
          <w:sz w:val="32"/>
          <w:szCs w:val="40"/>
        </w:rPr>
        <w:t>0余</w:t>
      </w:r>
      <w:r>
        <w:rPr>
          <w:rFonts w:hint="eastAsia" w:ascii="仿宋_GB2312" w:hAnsi="仿宋_GB2312" w:eastAsia="仿宋_GB2312" w:cs="仿宋_GB2312"/>
          <w:sz w:val="32"/>
          <w:szCs w:val="40"/>
        </w:rPr>
        <w:t>名相关负责人参加培训。派出2名执法人员参加阿坝州生态环境执法人员业务能力专题培训。</w:t>
      </w:r>
    </w:p>
    <w:p w14:paraId="23860F59">
      <w:pPr>
        <w:numPr>
          <w:ilvl w:val="0"/>
          <w:numId w:val="1"/>
        </w:numPr>
        <w:spacing w:line="576" w:lineRule="exact"/>
        <w:ind w:left="-11"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认真落实行政执法责任制。一是加强行政执法队伍建设，严禁未获得行政执法资格的人员从事行政执法活动，我局共计15名干部职工取得执法资格证。现场执法检查时，要求从事现场执法检查的执法人员不得少于2人，并出示执法证件，表明身份，说明执法事项，严格按照国家颁布的《环境监察办法》进行执法。目前，我局拥有执法资格人员15人，所有办案人员均取得行政执法资格，实行一职一岗一证管理制度。二是进一步强化环境保护行政程序意识，切实保障公民、法人及其他组织的陈述权、申辩权、申请行政复议和提起行政诉讼的权利，对重大、疑难的行政处罚和行政复议案件实行集体审议和决定制度。</w:t>
      </w:r>
    </w:p>
    <w:p w14:paraId="0BAFEB59">
      <w:pPr>
        <w:pStyle w:val="3"/>
        <w:numPr>
          <w:ilvl w:val="0"/>
          <w:numId w:val="2"/>
        </w:numPr>
        <w:spacing w:line="576" w:lineRule="exact"/>
        <w:ind w:firstLine="640" w:firstLineChars="200"/>
        <w:rPr>
          <w:rFonts w:ascii="黑体" w:hAnsi="黑体" w:eastAsia="黑体" w:cs="黑体"/>
          <w:sz w:val="32"/>
          <w:szCs w:val="40"/>
        </w:rPr>
      </w:pPr>
      <w:r>
        <w:rPr>
          <w:rFonts w:hint="eastAsia" w:ascii="黑体" w:hAnsi="黑体" w:eastAsia="黑体" w:cs="黑体"/>
          <w:sz w:val="32"/>
          <w:szCs w:val="40"/>
        </w:rPr>
        <w:t>下一年度推进法治政府建设的主要安排</w:t>
      </w:r>
    </w:p>
    <w:p w14:paraId="401C2AF8">
      <w:pPr>
        <w:pStyle w:val="3"/>
        <w:spacing w:line="576"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按照县委、县政府关于依法治县、法治政府建设的相关要求，结合我局职能，不断完善相关工作制度，切实开展好生态环境工作。</w:t>
      </w:r>
    </w:p>
    <w:p w14:paraId="7BA88ADA">
      <w:pPr>
        <w:pStyle w:val="3"/>
        <w:spacing w:line="576" w:lineRule="exact"/>
        <w:ind w:firstLine="643" w:firstLineChars="200"/>
        <w:rPr>
          <w:rFonts w:ascii="仿宋_GB2312" w:hAnsi="仿宋_GB2312" w:eastAsia="仿宋_GB2312" w:cs="仿宋_GB2312"/>
          <w:sz w:val="32"/>
          <w:szCs w:val="40"/>
        </w:rPr>
      </w:pPr>
      <w:r>
        <w:rPr>
          <w:rFonts w:hint="eastAsia" w:ascii="仿宋_GB2312" w:hAnsi="仿宋_GB2312" w:eastAsia="仿宋_GB2312" w:cs="仿宋_GB2312"/>
          <w:b/>
          <w:bCs/>
          <w:sz w:val="32"/>
          <w:szCs w:val="40"/>
        </w:rPr>
        <w:t>一是</w:t>
      </w:r>
      <w:r>
        <w:rPr>
          <w:rFonts w:hint="eastAsia" w:ascii="仿宋_GB2312" w:hAnsi="仿宋_GB2312" w:eastAsia="仿宋_GB2312" w:cs="仿宋_GB2312"/>
          <w:sz w:val="32"/>
          <w:szCs w:val="40"/>
        </w:rPr>
        <w:t>认真学习贯彻十九大、十九届六中全会会议精神和中央、省、州有关生态环境工作的部署要求。</w:t>
      </w:r>
    </w:p>
    <w:p w14:paraId="61091346">
      <w:pPr>
        <w:pStyle w:val="3"/>
        <w:spacing w:line="576" w:lineRule="exact"/>
        <w:ind w:firstLine="643" w:firstLineChars="200"/>
        <w:rPr>
          <w:rFonts w:ascii="仿宋_GB2312" w:hAnsi="仿宋_GB2312" w:eastAsia="仿宋_GB2312" w:cs="仿宋_GB2312"/>
          <w:sz w:val="32"/>
          <w:szCs w:val="40"/>
        </w:rPr>
      </w:pPr>
      <w:r>
        <w:rPr>
          <w:rFonts w:hint="eastAsia" w:ascii="仿宋_GB2312" w:hAnsi="仿宋_GB2312" w:eastAsia="仿宋_GB2312" w:cs="仿宋_GB2312"/>
          <w:b/>
          <w:bCs/>
          <w:sz w:val="32"/>
          <w:szCs w:val="40"/>
        </w:rPr>
        <w:t>二是</w:t>
      </w:r>
      <w:r>
        <w:rPr>
          <w:rFonts w:hint="eastAsia" w:ascii="仿宋_GB2312" w:hAnsi="仿宋_GB2312" w:eastAsia="仿宋_GB2312" w:cs="仿宋_GB2312"/>
          <w:sz w:val="32"/>
          <w:szCs w:val="40"/>
        </w:rPr>
        <w:t>严格执法，加强对生态环境执法力度，加大对</w:t>
      </w:r>
      <w:r>
        <w:rPr>
          <w:rFonts w:hint="eastAsia" w:ascii="仿宋" w:hAnsi="仿宋" w:eastAsia="仿宋" w:cs="仿宋"/>
          <w:sz w:val="32"/>
          <w:szCs w:val="32"/>
        </w:rPr>
        <w:t>重点行业和重点排污单位的监管力度，对小水电站、砂石料场、非煤矿山、建筑工地、旅游开发、自然保护区、重点企业、环保基础设施、入河排污口、农村污水处理设施等现场执法检查，采取县级领导带队、相关部门协同开展现场督导检查</w:t>
      </w:r>
      <w:r>
        <w:rPr>
          <w:rFonts w:hint="eastAsia" w:ascii="仿宋_GB2312" w:hAnsi="仿宋_GB2312" w:eastAsia="仿宋_GB2312" w:cs="仿宋_GB2312"/>
          <w:sz w:val="32"/>
          <w:szCs w:val="40"/>
        </w:rPr>
        <w:t>，提高执法队伍水平。</w:t>
      </w:r>
    </w:p>
    <w:p w14:paraId="29535FA3">
      <w:pPr>
        <w:pStyle w:val="3"/>
        <w:spacing w:line="576" w:lineRule="exact"/>
        <w:ind w:firstLine="643" w:firstLineChars="200"/>
        <w:rPr>
          <w:rFonts w:ascii="仿宋_GB2312" w:hAnsi="仿宋_GB2312" w:eastAsia="仿宋_GB2312" w:cs="仿宋_GB2312"/>
          <w:sz w:val="32"/>
          <w:szCs w:val="40"/>
        </w:rPr>
      </w:pPr>
      <w:r>
        <w:rPr>
          <w:rFonts w:hint="eastAsia" w:ascii="仿宋_GB2312" w:hAnsi="仿宋_GB2312" w:eastAsia="仿宋_GB2312" w:cs="仿宋_GB2312"/>
          <w:b/>
          <w:bCs/>
          <w:sz w:val="32"/>
          <w:szCs w:val="40"/>
        </w:rPr>
        <w:t>三是</w:t>
      </w:r>
      <w:r>
        <w:rPr>
          <w:rFonts w:hint="eastAsia" w:ascii="仿宋_GB2312" w:hAnsi="仿宋_GB2312" w:eastAsia="仿宋_GB2312" w:cs="仿宋_GB2312"/>
          <w:sz w:val="32"/>
          <w:szCs w:val="40"/>
        </w:rPr>
        <w:t>继续深化“八五”普法工作。按照“谁执法、谁普法”的要求，结合执法中队工作，充分利用“6.5”世界环境日、12.4宪法宣传日等活动，开展好普法宣传工作。开展好干部职工学法等活动，切实提高执法能力和水平。</w:t>
      </w:r>
    </w:p>
    <w:p w14:paraId="7F4401AF">
      <w:pPr>
        <w:pStyle w:val="3"/>
        <w:spacing w:line="576"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特此报告。</w:t>
      </w:r>
    </w:p>
    <w:p w14:paraId="552DEAFE">
      <w:pPr>
        <w:pStyle w:val="3"/>
        <w:spacing w:line="576" w:lineRule="exact"/>
        <w:jc w:val="right"/>
        <w:rPr>
          <w:rFonts w:ascii="仿宋_GB2312" w:hAnsi="仿宋_GB2312" w:eastAsia="仿宋_GB2312" w:cs="仿宋_GB2312"/>
          <w:sz w:val="32"/>
          <w:szCs w:val="40"/>
        </w:rPr>
      </w:pPr>
    </w:p>
    <w:p w14:paraId="636D5428">
      <w:pPr>
        <w:pStyle w:val="3"/>
        <w:spacing w:line="576" w:lineRule="exact"/>
        <w:jc w:val="right"/>
        <w:rPr>
          <w:rFonts w:ascii="仿宋_GB2312" w:hAnsi="仿宋_GB2312" w:eastAsia="仿宋_GB2312" w:cs="仿宋_GB2312"/>
          <w:sz w:val="32"/>
          <w:szCs w:val="40"/>
        </w:rPr>
      </w:pPr>
    </w:p>
    <w:p w14:paraId="7224D39D">
      <w:pPr>
        <w:pStyle w:val="3"/>
        <w:spacing w:line="576" w:lineRule="exact"/>
        <w:jc w:val="right"/>
        <w:rPr>
          <w:rFonts w:ascii="仿宋_GB2312" w:hAnsi="仿宋_GB2312" w:eastAsia="仿宋_GB2312" w:cs="仿宋_GB2312"/>
          <w:sz w:val="32"/>
          <w:szCs w:val="40"/>
        </w:rPr>
      </w:pPr>
      <w:r>
        <w:rPr>
          <w:rFonts w:hint="eastAsia" w:ascii="仿宋_GB2312" w:hAnsi="仿宋_GB2312" w:eastAsia="仿宋_GB2312" w:cs="仿宋_GB2312"/>
          <w:sz w:val="32"/>
          <w:szCs w:val="40"/>
        </w:rPr>
        <w:t>阿坝州金川生态环境局</w:t>
      </w:r>
    </w:p>
    <w:p w14:paraId="7700FB64">
      <w:pPr>
        <w:pStyle w:val="3"/>
        <w:spacing w:line="576" w:lineRule="exact"/>
        <w:ind w:firstLine="5440" w:firstLineChars="1700"/>
        <w:rPr>
          <w:rFonts w:ascii="仿宋_GB2312" w:hAnsi="仿宋_GB2312" w:eastAsia="仿宋_GB2312" w:cs="仿宋_GB2312"/>
          <w:sz w:val="32"/>
          <w:szCs w:val="40"/>
        </w:rPr>
      </w:pPr>
      <w:r>
        <w:rPr>
          <w:rFonts w:hint="eastAsia" w:ascii="仿宋_GB2312" w:hAnsi="仿宋_GB2312" w:eastAsia="仿宋_GB2312" w:cs="仿宋_GB2312"/>
          <w:sz w:val="32"/>
          <w:szCs w:val="40"/>
        </w:rPr>
        <w:t>2022年2月22日</w:t>
      </w:r>
    </w:p>
    <w:sectPr>
      <w:footerReference r:id="rId3" w:type="default"/>
      <w:pgSz w:w="12240" w:h="15840"/>
      <w:pgMar w:top="1440" w:right="1800" w:bottom="1440" w:left="1800" w:header="720" w:footer="72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9188"/>
      <w:docPartObj>
        <w:docPartGallery w:val="autotext"/>
      </w:docPartObj>
    </w:sdtPr>
    <w:sdtContent>
      <w:p w14:paraId="1F1B8EC0">
        <w:pPr>
          <w:pStyle w:val="4"/>
          <w:jc w:val="center"/>
        </w:pPr>
        <w:r>
          <w:rPr>
            <w:sz w:val="32"/>
            <w:szCs w:val="32"/>
          </w:rPr>
          <w:fldChar w:fldCharType="begin"/>
        </w:r>
        <w:r>
          <w:rPr>
            <w:sz w:val="32"/>
            <w:szCs w:val="32"/>
          </w:rPr>
          <w:instrText xml:space="preserve"> PAGE   \* MERGEFORMAT </w:instrText>
        </w:r>
        <w:r>
          <w:rPr>
            <w:sz w:val="32"/>
            <w:szCs w:val="32"/>
          </w:rPr>
          <w:fldChar w:fldCharType="separate"/>
        </w:r>
        <w:r>
          <w:rPr>
            <w:sz w:val="32"/>
            <w:szCs w:val="32"/>
            <w:lang w:val="zh-CN"/>
          </w:rPr>
          <w:t>7</w:t>
        </w:r>
        <w:r>
          <w:rPr>
            <w:sz w:val="32"/>
            <w:szCs w:val="32"/>
          </w:rPr>
          <w:fldChar w:fldCharType="end"/>
        </w:r>
      </w:p>
    </w:sdtContent>
  </w:sdt>
  <w:p w14:paraId="4E871588">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23D6D8"/>
    <w:multiLevelType w:val="singleLevel"/>
    <w:tmpl w:val="0723D6D8"/>
    <w:lvl w:ilvl="0" w:tentative="0">
      <w:start w:val="3"/>
      <w:numFmt w:val="chineseCounting"/>
      <w:suff w:val="nothing"/>
      <w:lvlText w:val="%1、"/>
      <w:lvlJc w:val="left"/>
      <w:rPr>
        <w:rFonts w:hint="eastAsia"/>
      </w:rPr>
    </w:lvl>
  </w:abstractNum>
  <w:abstractNum w:abstractNumId="1">
    <w:nsid w:val="2198DD1D"/>
    <w:multiLevelType w:val="singleLevel"/>
    <w:tmpl w:val="2198DD1D"/>
    <w:lvl w:ilvl="0" w:tentative="0">
      <w:start w:val="1"/>
      <w:numFmt w:val="chineseCounting"/>
      <w:suff w:val="nothing"/>
      <w:lvlText w:val="（%1）"/>
      <w:lvlJc w:val="left"/>
      <w:pPr>
        <w:ind w:left="426"/>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43E"/>
    <w:rsid w:val="000B4D13"/>
    <w:rsid w:val="00210FF0"/>
    <w:rsid w:val="00496638"/>
    <w:rsid w:val="00516801"/>
    <w:rsid w:val="0052643E"/>
    <w:rsid w:val="00913614"/>
    <w:rsid w:val="009B7198"/>
    <w:rsid w:val="00A17E7B"/>
    <w:rsid w:val="00B61C8D"/>
    <w:rsid w:val="09FA6A4D"/>
    <w:rsid w:val="1A41696D"/>
    <w:rsid w:val="54F5533F"/>
    <w:rsid w:val="5D077CC2"/>
    <w:rsid w:val="65D4607E"/>
    <w:rsid w:val="736534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rPr>
      <w:rFonts w:ascii="Arial" w:hAnsi="Arial"/>
      <w:sz w:val="24"/>
    </w:rPr>
  </w:style>
  <w:style w:type="paragraph" w:styleId="3">
    <w:name w:val="Plain Text"/>
    <w:basedOn w:val="1"/>
    <w:uiPriority w:val="0"/>
    <w:rPr>
      <w:rFonts w:ascii="宋体" w:hAnsi="Courier New"/>
    </w:rPr>
  </w:style>
  <w:style w:type="paragraph" w:styleId="4">
    <w:name w:val="footer"/>
    <w:basedOn w:val="1"/>
    <w:link w:val="9"/>
    <w:uiPriority w:val="99"/>
    <w:pPr>
      <w:tabs>
        <w:tab w:val="center" w:pos="4153"/>
        <w:tab w:val="right" w:pos="8306"/>
      </w:tabs>
      <w:snapToGrid w:val="0"/>
      <w:jc w:val="left"/>
    </w:pPr>
    <w:rPr>
      <w:sz w:val="18"/>
      <w:szCs w:val="18"/>
    </w:rPr>
  </w:style>
  <w:style w:type="paragraph" w:styleId="5">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uiPriority w:val="0"/>
    <w:rPr>
      <w:kern w:val="2"/>
      <w:sz w:val="18"/>
      <w:szCs w:val="18"/>
    </w:rPr>
  </w:style>
  <w:style w:type="character" w:customStyle="1" w:styleId="9">
    <w:name w:val="页脚 Char"/>
    <w:basedOn w:val="7"/>
    <w:link w:val="4"/>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3231</Words>
  <Characters>3294</Characters>
  <Lines>23</Lines>
  <Paragraphs>6</Paragraphs>
  <TotalTime>7</TotalTime>
  <ScaleCrop>false</ScaleCrop>
  <LinksUpToDate>false</LinksUpToDate>
  <CharactersWithSpaces>3295</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2022-02-23T01:51:00Z</dcterms:created>
  <dc:creator>lenovo</dc:creator>
  <cp:lastModifiedBy>盐星星</cp:lastModifiedBy>
  <dcterms:modified xsi:type="dcterms:W3CDTF">2026-07-17T09:17:33Z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99F18B48BC3E458F820D43518F60863A</vt:lpwstr>
  </property>
  <property fmtid="{D5CDD505-2E9C-101B-9397-08002B2CF9AE}" pid="4" name="KSOTemplateDocerSaveRecord">
    <vt:lpwstr>eyJoZGlkIjoiNzkyYzRhOGNmZjI2NTRmMmU4ZjYwMzM3MDcwMmEzMWYiLCJ1c2VySWQiOiIxMDYwOTQ0NDM1In0=</vt:lpwstr>
  </property>
</Properties>
</file>