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A82AA">
      <w:pPr>
        <w:spacing w:before="58"/>
        <w:ind w:left="0" w:right="259" w:firstLine="0"/>
        <w:jc w:val="center"/>
        <w:rPr>
          <w:rFonts w:ascii="方正小标宋简体" w:eastAsia="方正小标宋简体" w:cs="方正小标宋简体"/>
          <w:color w:val="FF0000"/>
          <w:spacing w:val="-20"/>
          <w:w w:val="33"/>
          <w:sz w:val="52"/>
          <w:szCs w:val="52"/>
        </w:rPr>
      </w:pPr>
      <w:bookmarkStart w:id="0" w:name="_GoBack"/>
      <w:bookmarkEnd w:id="0"/>
    </w:p>
    <w:p w14:paraId="0B271FBD">
      <w:pPr>
        <w:pStyle w:val="2"/>
        <w:ind w:left="632" w:leftChars="200" w:firstLine="412" w:firstLineChars="200"/>
      </w:pPr>
    </w:p>
    <w:p w14:paraId="7B96D2BD">
      <w:pPr>
        <w:pStyle w:val="2"/>
        <w:ind w:left="632" w:leftChars="200" w:firstLine="412" w:firstLineChars="200"/>
      </w:pPr>
    </w:p>
    <w:p w14:paraId="2C47DD47">
      <w:pPr>
        <w:spacing w:before="58"/>
        <w:ind w:left="0" w:right="259" w:firstLine="0"/>
        <w:jc w:val="center"/>
        <w:rPr>
          <w:rFonts w:hint="eastAsia" w:ascii="方正小标宋简体" w:eastAsia="方正小标宋简体" w:cs="方正小标宋简体"/>
          <w:color w:val="FF0000"/>
          <w:spacing w:val="-20"/>
          <w:w w:val="33"/>
          <w:sz w:val="200"/>
          <w:szCs w:val="36"/>
          <w:lang w:eastAsia="zh-CN"/>
        </w:rPr>
      </w:pPr>
      <w:r>
        <w:rPr>
          <w:rFonts w:hint="eastAsia" w:ascii="方正小标宋简体" w:eastAsia="方正小标宋简体" w:cs="方正小标宋简体"/>
          <w:color w:val="FF0000"/>
          <w:spacing w:val="-20"/>
          <w:w w:val="33"/>
          <w:sz w:val="200"/>
          <w:szCs w:val="36"/>
          <w:lang w:eastAsia="zh-CN"/>
        </w:rPr>
        <w:t>金川县防震减灾事务中心文件</w:t>
      </w:r>
    </w:p>
    <w:p w14:paraId="4663B52A">
      <w:pPr>
        <w:ind w:firstLine="316" w:firstLineChars="100"/>
        <w:rPr>
          <w:rFonts w:hint="eastAsia" w:ascii="楷体" w:eastAsia="楷体" w:cs="仿宋"/>
          <w:sz w:val="32"/>
          <w:szCs w:val="32"/>
          <w:lang w:val="en-US" w:eastAsia="zh-CN"/>
        </w:rPr>
      </w:pPr>
      <w:r>
        <w:rPr>
          <w:rFonts w:hint="eastAsia" w:ascii="仿宋_GB2312" w:eastAsia="仿宋_GB2312" w:cs="仿宋_GB2312"/>
          <w:sz w:val="32"/>
          <w:szCs w:val="32"/>
          <w:lang w:eastAsia="zh-CN"/>
        </w:rPr>
        <w:t>金防震</w:t>
      </w:r>
      <w:r>
        <w:rPr>
          <w:rFonts w:hint="eastAsia" w:ascii="仿宋_GB2312" w:eastAsia="仿宋_GB2312" w:cs="仿宋_GB2312"/>
          <w:sz w:val="32"/>
          <w:szCs w:val="32"/>
        </w:rPr>
        <w:t>〔202</w:t>
      </w:r>
      <w:r>
        <w:rPr>
          <w:rFonts w:hint="eastAsia" w:ascii="仿宋_GB2312" w:cs="仿宋_GB2312"/>
          <w:sz w:val="32"/>
          <w:szCs w:val="32"/>
          <w:lang w:val="en-US" w:eastAsia="zh-CN"/>
        </w:rPr>
        <w:t>2</w:t>
      </w:r>
      <w:r>
        <w:rPr>
          <w:rFonts w:hint="eastAsia" w:ascii="仿宋_GB2312" w:eastAsia="仿宋_GB2312" w:cs="仿宋_GB2312"/>
          <w:sz w:val="32"/>
          <w:szCs w:val="32"/>
        </w:rPr>
        <w:t>〕</w:t>
      </w:r>
      <w:r>
        <w:rPr>
          <w:rFonts w:hint="eastAsia" w:ascii="仿宋_GB2312" w:cs="仿宋_GB2312"/>
          <w:sz w:val="32"/>
          <w:szCs w:val="32"/>
          <w:lang w:val="en-US" w:eastAsia="zh-CN"/>
        </w:rPr>
        <w:t>7</w:t>
      </w:r>
      <w:r>
        <w:rPr>
          <w:rFonts w:hint="eastAsia" w:ascii="仿宋_GB2312" w:eastAsia="仿宋_GB2312" w:cs="仿宋_GB2312"/>
          <w:sz w:val="32"/>
          <w:szCs w:val="32"/>
        </w:rPr>
        <w:t>号</w:t>
      </w:r>
      <w:r>
        <w:rPr>
          <w:rFonts w:ascii="仿宋_GB2312" w:eastAsia="仿宋_GB2312" w:cs="仿宋_GB2312"/>
          <w:sz w:val="32"/>
          <w:szCs w:val="32"/>
        </w:rPr>
        <w:t xml:space="preserve">                  </w:t>
      </w:r>
      <w:r>
        <w:rPr>
          <w:rFonts w:hint="eastAsia" w:ascii="仿宋_GB2312" w:eastAsia="仿宋_GB2312" w:cs="仿宋"/>
          <w:sz w:val="32"/>
          <w:szCs w:val="32"/>
          <w:lang w:val="en-US" w:eastAsia="zh-CN"/>
        </w:rPr>
        <w:t xml:space="preserve"> </w:t>
      </w:r>
      <w:r>
        <w:rPr>
          <w:rFonts w:hint="eastAsia" w:ascii="仿宋_GB2312" w:eastAsia="仿宋_GB2312" w:cs="楷体"/>
          <w:sz w:val="32"/>
          <w:szCs w:val="32"/>
          <w:lang w:val="en-US" w:eastAsia="zh-CN"/>
        </w:rPr>
        <w:t>签发人：</w:t>
      </w:r>
      <w:r>
        <w:rPr>
          <w:rFonts w:hint="eastAsia" w:ascii="楷体" w:eastAsia="楷体" w:cs="楷体"/>
          <w:sz w:val="32"/>
          <w:szCs w:val="32"/>
          <w:lang w:val="en-US" w:eastAsia="zh-CN"/>
        </w:rPr>
        <w:t>秦永莲</w:t>
      </w:r>
    </w:p>
    <w:p w14:paraId="7B12B5A8">
      <w:pPr>
        <w:keepNext w:val="0"/>
        <w:keepLines w:val="0"/>
        <w:pageBreakBefore w:val="0"/>
        <w:widowControl w:val="0"/>
        <w:kinsoku/>
        <w:wordWrap/>
        <w:overflowPunct/>
        <w:topLinePunct w:val="0"/>
        <w:autoSpaceDE/>
        <w:autoSpaceDN/>
        <w:bidi w:val="0"/>
        <w:adjustRightInd/>
        <w:snapToGrid/>
        <w:spacing w:line="700" w:lineRule="exact"/>
        <w:jc w:val="both"/>
        <w:textAlignment w:val="auto"/>
        <w:rPr>
          <w:sz w:val="44"/>
        </w:rPr>
      </w:pPr>
    </w:p>
    <w:p w14:paraId="5AE35E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eastAsia="方正小标宋简体" w:cs="方正小标宋简体"/>
          <w:sz w:val="44"/>
          <w:szCs w:val="44"/>
        </w:rPr>
      </w:pPr>
      <w:r>
        <w:rPr>
          <w:sz w:val="44"/>
        </w:rPr>
        <mc:AlternateContent>
          <mc:Choice Requires="wps">
            <w:drawing>
              <wp:anchor distT="0" distB="0" distL="113665" distR="113665" simplePos="0" relativeHeight="251659264" behindDoc="0" locked="0" layoutInCell="1" allowOverlap="1">
                <wp:simplePos x="0" y="0"/>
                <wp:positionH relativeFrom="column">
                  <wp:posOffset>-35560</wp:posOffset>
                </wp:positionH>
                <wp:positionV relativeFrom="paragraph">
                  <wp:posOffset>-356235</wp:posOffset>
                </wp:positionV>
                <wp:extent cx="5615940" cy="14605"/>
                <wp:effectExtent l="0" t="0" r="0" b="0"/>
                <wp:wrapNone/>
                <wp:docPr id="1" name="直接连接符 3"/>
                <wp:cNvGraphicFramePr/>
                <a:graphic xmlns:a="http://schemas.openxmlformats.org/drawingml/2006/main">
                  <a:graphicData uri="http://schemas.microsoft.com/office/word/2010/wordprocessingShape">
                    <wps:wsp>
                      <wps:cNvCnPr/>
                      <wps:spPr>
                        <a:xfrm>
                          <a:off x="0" y="0"/>
                          <a:ext cx="5615940" cy="14604"/>
                        </a:xfrm>
                        <a:prstGeom prst="line">
                          <a:avLst/>
                        </a:prstGeom>
                        <a:noFill/>
                        <a:ln w="19050" cap="flat" cmpd="sng">
                          <a:solidFill>
                            <a:srgbClr val="FF0000"/>
                          </a:solidFill>
                          <a:prstDash val="solid"/>
                          <a:round/>
                        </a:ln>
                      </wps:spPr>
                      <wps:bodyPr vert="horz" wrap="square" lIns="91440" tIns="45720" rIns="91440" bIns="45720" anchor="t" anchorCtr="0" upright="1">
                        <a:noAutofit/>
                      </wps:bodyPr>
                    </wps:wsp>
                  </a:graphicData>
                </a:graphic>
              </wp:anchor>
            </w:drawing>
          </mc:Choice>
          <mc:Fallback>
            <w:pict>
              <v:line id="直接连接符 3" o:spid="_x0000_s1026" o:spt="20" style="position:absolute;left:0pt;margin-left:-2.8pt;margin-top:-28.05pt;height:1.15pt;width:442.2pt;z-index:251659264;mso-width-relative:page;mso-height-relative:page;" filled="f" stroked="t" coordsize="21600,21600" o:gfxdata="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T&#10;zIMa2QAAAAoBAAAPAAAAAAAAAAEAIAAAACIAAABkcnMvZG93bnJldi54bWxQSwECFAAUAAAACACH&#10;TuJAjqGPsSMCAAArBAAADgAAAAAAAAABACAAAAAoAQAAZHJzL2Uyb0RvYy54bWxQSwUGAAAAAAYA&#10;BgBZAQAAvQUAAAAA&#10;">
                <v:fill on="f" focussize="0,0"/>
                <v:stroke weight="1.5pt" color="#FF0000" joinstyle="round"/>
                <v:imagedata o:title=""/>
                <o:lock v:ext="edit" aspectratio="f"/>
              </v:line>
            </w:pict>
          </mc:Fallback>
        </mc:AlternateContent>
      </w:r>
      <w:r>
        <w:rPr>
          <w:rFonts w:hint="eastAsia" w:ascii="方正小标宋简体" w:eastAsia="方正小标宋简体" w:cs="方正小标宋简体"/>
          <w:sz w:val="44"/>
          <w:szCs w:val="44"/>
        </w:rPr>
        <w:t>金川县</w:t>
      </w:r>
      <w:r>
        <w:rPr>
          <w:rFonts w:ascii="方正小标宋简体" w:eastAsia="方正小标宋简体" w:cs="方正小标宋简体"/>
          <w:sz w:val="44"/>
          <w:szCs w:val="44"/>
        </w:rPr>
        <w:t>防震减灾事务中心</w:t>
      </w:r>
    </w:p>
    <w:p w14:paraId="35020AB8">
      <w:pPr>
        <w:pStyle w:val="4"/>
        <w:pageBreakBefore w:val="0"/>
        <w:widowControl w:val="0"/>
        <w:kinsoku/>
        <w:wordWrap/>
        <w:overflowPunct/>
        <w:topLinePunct w:val="0"/>
        <w:autoSpaceDE/>
        <w:autoSpaceDN/>
        <w:bidi w:val="0"/>
        <w:adjustRightInd/>
        <w:snapToGrid/>
        <w:spacing w:line="240" w:lineRule="auto"/>
        <w:jc w:val="center"/>
        <w:textAlignment w:val="auto"/>
        <w:rPr>
          <w:rFonts w:hint="eastAsia"/>
          <w:lang w:val="en-US" w:eastAsia="zh-CN"/>
        </w:rPr>
      </w:pPr>
      <w:r>
        <w:rPr>
          <w:rFonts w:hint="eastAsia"/>
          <w:lang w:val="en-US" w:eastAsia="zh-CN"/>
        </w:rPr>
        <w:t>关于2021年度法治政府建设工作情况的</w:t>
      </w:r>
    </w:p>
    <w:p w14:paraId="4C724849">
      <w:pPr>
        <w:pStyle w:val="4"/>
        <w:pageBreakBefore w:val="0"/>
        <w:widowControl w:val="0"/>
        <w:kinsoku/>
        <w:wordWrap/>
        <w:overflowPunct/>
        <w:topLinePunct w:val="0"/>
        <w:autoSpaceDE/>
        <w:autoSpaceDN/>
        <w:bidi w:val="0"/>
        <w:adjustRightInd/>
        <w:snapToGrid/>
        <w:spacing w:line="240" w:lineRule="auto"/>
        <w:jc w:val="center"/>
        <w:textAlignment w:val="auto"/>
        <w:rPr>
          <w:rFonts w:hint="eastAsia"/>
          <w:lang w:val="en-US" w:eastAsia="zh-CN"/>
        </w:rPr>
      </w:pPr>
      <w:r>
        <w:rPr>
          <w:rFonts w:hint="eastAsia"/>
          <w:lang w:val="en-US" w:eastAsia="zh-CN"/>
        </w:rPr>
        <w:t>报告</w:t>
      </w:r>
    </w:p>
    <w:p w14:paraId="36840053">
      <w:pPr>
        <w:pStyle w:val="2"/>
        <w:spacing w:line="500" w:lineRule="exact"/>
        <w:rPr>
          <w:rFonts w:hint="eastAsia"/>
        </w:rPr>
      </w:pPr>
    </w:p>
    <w:p w14:paraId="5B159789">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坚持以习近平新时代中国特色社会主义思想为指导，全面贯彻党的十九大和十九届历次全会精神，在</w:t>
      </w:r>
      <w:r>
        <w:rPr>
          <w:rFonts w:hint="eastAsia" w:ascii="仿宋_GB2312" w:hAnsi="仿宋_GB2312" w:eastAsia="仿宋_GB2312" w:cs="仿宋_GB2312"/>
          <w:sz w:val="32"/>
          <w:szCs w:val="32"/>
          <w:lang w:eastAsia="zh-CN"/>
        </w:rPr>
        <w:t>县委</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县政府</w:t>
      </w:r>
      <w:r>
        <w:rPr>
          <w:rFonts w:hint="eastAsia" w:ascii="仿宋_GB2312" w:hAnsi="仿宋_GB2312" w:eastAsia="仿宋_GB2312" w:cs="仿宋_GB2312"/>
          <w:sz w:val="32"/>
          <w:szCs w:val="32"/>
        </w:rPr>
        <w:t>的正确领导和</w:t>
      </w:r>
      <w:r>
        <w:rPr>
          <w:rFonts w:hint="eastAsia" w:ascii="仿宋_GB2312" w:hAnsi="仿宋_GB2312" w:eastAsia="仿宋_GB2312" w:cs="仿宋_GB2312"/>
          <w:sz w:val="32"/>
          <w:szCs w:val="32"/>
          <w:lang w:eastAsia="zh-CN"/>
        </w:rPr>
        <w:t>县司法局</w:t>
      </w:r>
      <w:r>
        <w:rPr>
          <w:rFonts w:hint="eastAsia" w:ascii="仿宋_GB2312" w:hAnsi="仿宋_GB2312" w:eastAsia="仿宋_GB2312" w:cs="仿宋_GB2312"/>
          <w:sz w:val="32"/>
          <w:szCs w:val="32"/>
        </w:rPr>
        <w:t>的有力指导下，认真贯彻落实</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法治政府建设实施方案的要求，不断推进法治政府建设工作。现将主要工作情况报告如下：</w:t>
      </w:r>
    </w:p>
    <w:p w14:paraId="54252948">
      <w:pPr>
        <w:bidi w:val="0"/>
        <w:ind w:firstLine="632" w:firstLineChars="200"/>
        <w:rPr>
          <w:rFonts w:hint="eastAsia" w:ascii="宋体" w:hAnsi="宋体" w:eastAsia="宋体" w:cs="宋体"/>
          <w:b/>
          <w:bCs/>
          <w:sz w:val="32"/>
          <w:szCs w:val="32"/>
        </w:rPr>
      </w:pPr>
      <w:r>
        <w:rPr>
          <w:rFonts w:hint="eastAsia" w:ascii="宋体" w:hAnsi="宋体" w:eastAsia="宋体" w:cs="宋体"/>
          <w:b/>
          <w:bCs/>
          <w:sz w:val="32"/>
          <w:szCs w:val="32"/>
        </w:rPr>
        <w:t>一、2021年度推进法治政府建设的主要举措和成效</w:t>
      </w:r>
    </w:p>
    <w:p w14:paraId="2C0575B0">
      <w:pPr>
        <w:bidi w:val="0"/>
        <w:ind w:firstLine="63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（一）切实加强对法治政府建设工作的领导</w:t>
      </w:r>
    </w:p>
    <w:p w14:paraId="365AB972">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高度重视法治政府建设工作，一年来多次召开</w:t>
      </w:r>
      <w:r>
        <w:rPr>
          <w:rFonts w:hint="eastAsia" w:ascii="仿宋_GB2312" w:hAnsi="仿宋_GB2312" w:eastAsia="仿宋_GB2312" w:cs="仿宋_GB2312"/>
          <w:sz w:val="32"/>
          <w:szCs w:val="32"/>
          <w:lang w:eastAsia="zh-CN"/>
        </w:rPr>
        <w:t>职工会议</w:t>
      </w:r>
      <w:r>
        <w:rPr>
          <w:rFonts w:hint="eastAsia" w:ascii="仿宋_GB2312" w:hAnsi="仿宋_GB2312" w:eastAsia="仿宋_GB2312" w:cs="仿宋_GB2312"/>
          <w:sz w:val="32"/>
          <w:szCs w:val="32"/>
        </w:rPr>
        <w:t>研究法治政府建设工作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开展宪法、防震减灾法等各种法律法规的学习。对领导职责分工、法定职责履行、依法行政、民主决策、政务公开、监督制度等作出了明确规定，确保重大问题的决策过程程序化、格式化、标准化，全面提升决策科学性，最大限度降低决策风险。</w:t>
      </w:r>
    </w:p>
    <w:p w14:paraId="7AB58F24">
      <w:pPr>
        <w:bidi w:val="0"/>
        <w:ind w:firstLine="63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（二）努力增强领导干部法治意识</w:t>
      </w:r>
    </w:p>
    <w:p w14:paraId="779E9372">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一是组织法律法规学习。2021年，</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开展法治专题学习5次。3月23日学习《习近平谈防灾减灾：从源头上防范 把问题解决在萌芽之时》、《中华人民共和国防震减灾法》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四川</w:t>
      </w:r>
      <w:r>
        <w:rPr>
          <w:rFonts w:hint="eastAsia" w:ascii="仿宋_GB2312" w:hAnsi="仿宋_GB2312" w:eastAsia="仿宋_GB2312" w:cs="仿宋_GB2312"/>
          <w:sz w:val="32"/>
          <w:szCs w:val="32"/>
        </w:rPr>
        <w:t>省</w:t>
      </w:r>
      <w:r>
        <w:rPr>
          <w:rFonts w:hint="eastAsia" w:ascii="仿宋_GB2312" w:hAnsi="仿宋_GB2312" w:eastAsia="仿宋_GB2312" w:cs="仿宋_GB2312"/>
          <w:sz w:val="32"/>
          <w:szCs w:val="32"/>
          <w:lang w:eastAsia="zh-CN"/>
        </w:rPr>
        <w:t>防震减灾管理条例</w:t>
      </w:r>
      <w:r>
        <w:rPr>
          <w:rFonts w:hint="eastAsia" w:ascii="仿宋_GB2312" w:hAnsi="仿宋_GB2312" w:eastAsia="仿宋_GB2312" w:cs="仿宋_GB2312"/>
          <w:sz w:val="32"/>
          <w:szCs w:val="32"/>
        </w:rPr>
        <w:t>》；4月15日学习《中华人民共和国宪法》中有关国家安全的规定、《中华人民共和国国家安全法》、《中华人民共和国网络安全法》；5月18日学习民法典对行政执法的新要求、最高法民法典继承编、物权编最新解释；6月28日学习习近平：坚定不移走中国特色社会主义法治道路 为全面建设社会主义现代化国家提供有力法治保障；中共中央 国务院转发《中央宣传部、司法部关于开展法治宣传教育的第八个五年规划（2021－2025年）》；7月23日进行习近平总书记关于全面依法治国重要论述专题学习；中国共产党章程、中国共产党廉洁自律准则、中国共产党纪律处分条例、中共中央印发《中国共产党宣传工作条例》、中国共产党统一战线工作条例、中国共产党政法工作条例等党内法规专题学习。</w:t>
      </w:r>
    </w:p>
    <w:p w14:paraId="5D0D7E09">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二是积极参加法律测试。7月23日，</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组织开展学习习近平总书记在庆祝中国共产党成立一百周年大会上的重要讲话精神知识测试，12月上旬，组织干部</w:t>
      </w:r>
      <w:r>
        <w:rPr>
          <w:rFonts w:hint="eastAsia" w:ascii="仿宋_GB2312" w:hAnsi="仿宋_GB2312" w:eastAsia="仿宋_GB2312" w:cs="仿宋_GB2312"/>
          <w:sz w:val="32"/>
          <w:szCs w:val="32"/>
          <w:lang w:eastAsia="zh-CN"/>
        </w:rPr>
        <w:t>职工进行</w:t>
      </w:r>
      <w:r>
        <w:rPr>
          <w:rFonts w:hint="eastAsia" w:ascii="仿宋_GB2312" w:hAnsi="仿宋_GB2312" w:eastAsia="仿宋_GB2312" w:cs="仿宋_GB2312"/>
          <w:sz w:val="32"/>
          <w:szCs w:val="32"/>
        </w:rPr>
        <w:t>宪法法律知识测试，考试通过率达到100%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领导班子在年度述职中都对履行法治建设责任人职责情况进行了汇报。</w:t>
      </w:r>
    </w:p>
    <w:p w14:paraId="73E27051">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三是强化防震减灾法</w:t>
      </w:r>
      <w:r>
        <w:rPr>
          <w:rFonts w:hint="eastAsia" w:ascii="仿宋_GB2312" w:hAnsi="仿宋_GB2312" w:cs="仿宋_GB2312"/>
          <w:sz w:val="32"/>
          <w:szCs w:val="32"/>
          <w:lang w:val="en-US" w:eastAsia="zh-CN"/>
        </w:rPr>
        <w:t>治</w:t>
      </w:r>
      <w:r>
        <w:rPr>
          <w:rFonts w:hint="eastAsia" w:ascii="仿宋_GB2312" w:hAnsi="仿宋_GB2312" w:eastAsia="仿宋_GB2312" w:cs="仿宋_GB2312"/>
          <w:sz w:val="32"/>
          <w:szCs w:val="32"/>
        </w:rPr>
        <w:t>建设。</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具有</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名防震减灾行政执法资格人员，开展建设工程</w:t>
      </w:r>
      <w:r>
        <w:rPr>
          <w:rFonts w:hint="eastAsia" w:ascii="仿宋_GB2312" w:hAnsi="仿宋_GB2312" w:eastAsia="仿宋_GB2312" w:cs="仿宋_GB2312"/>
          <w:sz w:val="32"/>
          <w:szCs w:val="32"/>
          <w:lang w:eastAsia="zh-CN"/>
        </w:rPr>
        <w:t>抗震设防</w:t>
      </w:r>
      <w:r>
        <w:rPr>
          <w:rFonts w:hint="eastAsia" w:ascii="仿宋_GB2312" w:hAnsi="仿宋_GB2312" w:eastAsia="仿宋_GB2312" w:cs="仿宋_GB2312"/>
          <w:sz w:val="32"/>
          <w:szCs w:val="32"/>
        </w:rPr>
        <w:t>检查、防灾减灾日科普宣传活动等多种方式，深入宣传。</w:t>
      </w:r>
    </w:p>
    <w:p w14:paraId="4E6EFEAB">
      <w:pPr>
        <w:bidi w:val="0"/>
        <w:ind w:firstLine="63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）落实防震减灾法，聚焦主责主业，强化防震减灾基础工作</w:t>
      </w:r>
    </w:p>
    <w:p w14:paraId="3E107D03">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一是强化监测预报工作。加强台网运维，确保监测数据质量。2021年，</w:t>
      </w:r>
      <w:r>
        <w:rPr>
          <w:rFonts w:hint="eastAsia" w:ascii="仿宋_GB2312" w:hAnsi="仿宋_GB2312" w:eastAsia="仿宋_GB2312" w:cs="仿宋_GB2312"/>
          <w:sz w:val="32"/>
          <w:szCs w:val="32"/>
          <w:lang w:eastAsia="zh-CN"/>
        </w:rPr>
        <w:t>全县</w:t>
      </w:r>
      <w:r>
        <w:rPr>
          <w:rFonts w:hint="eastAsia" w:ascii="仿宋_GB2312" w:hAnsi="仿宋_GB2312" w:eastAsia="仿宋_GB2312" w:cs="仿宋_GB2312"/>
          <w:sz w:val="32"/>
          <w:szCs w:val="32"/>
        </w:rPr>
        <w:t>地震监测台网运行情况良好，运行率超过95%。</w:t>
      </w:r>
    </w:p>
    <w:p w14:paraId="77CBC5C1">
      <w:pPr>
        <w:bidi w:val="0"/>
        <w:ind w:firstLine="632"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二是强化工程建设项目抗震设防</w:t>
      </w:r>
      <w:r>
        <w:rPr>
          <w:rFonts w:hint="eastAsia" w:ascii="仿宋_GB2312" w:hAnsi="仿宋_GB2312" w:eastAsia="仿宋_GB2312" w:cs="仿宋_GB2312"/>
          <w:sz w:val="32"/>
          <w:szCs w:val="32"/>
          <w:lang w:eastAsia="zh-CN"/>
        </w:rPr>
        <w:t>备案</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运用</w:t>
      </w:r>
      <w:r>
        <w:rPr>
          <w:rFonts w:hint="eastAsia" w:ascii="仿宋_GB2312" w:hAnsi="仿宋_GB2312" w:eastAsia="仿宋_GB2312" w:cs="仿宋_GB2312"/>
          <w:sz w:val="32"/>
          <w:szCs w:val="32"/>
          <w:lang w:eastAsia="zh-CN"/>
        </w:rPr>
        <w:t>四川省</w:t>
      </w:r>
      <w:r>
        <w:rPr>
          <w:rFonts w:hint="eastAsia" w:ascii="仿宋_GB2312" w:hAnsi="仿宋_GB2312" w:eastAsia="仿宋_GB2312" w:cs="仿宋_GB2312"/>
          <w:sz w:val="32"/>
          <w:szCs w:val="32"/>
        </w:rPr>
        <w:t>政务服务网开展新、改、扩建建设工程抗震设防要求</w:t>
      </w:r>
      <w:r>
        <w:rPr>
          <w:rFonts w:hint="eastAsia" w:ascii="仿宋_GB2312" w:hAnsi="仿宋_GB2312" w:eastAsia="仿宋_GB2312" w:cs="仿宋_GB2312"/>
          <w:sz w:val="32"/>
          <w:szCs w:val="32"/>
          <w:lang w:eastAsia="zh-CN"/>
        </w:rPr>
        <w:t>备案</w:t>
      </w:r>
      <w:r>
        <w:rPr>
          <w:rFonts w:hint="eastAsia" w:ascii="仿宋_GB2312" w:hAnsi="仿宋_GB2312" w:eastAsia="仿宋_GB2312" w:cs="仿宋_GB2312"/>
          <w:sz w:val="32"/>
          <w:szCs w:val="32"/>
        </w:rPr>
        <w:t>工作。2021年新建、改建、扩建建设工程抗震设防要求</w:t>
      </w:r>
      <w:r>
        <w:rPr>
          <w:rFonts w:hint="eastAsia" w:ascii="仿宋_GB2312" w:hAnsi="仿宋_GB2312" w:eastAsia="仿宋_GB2312" w:cs="仿宋_GB2312"/>
          <w:sz w:val="32"/>
          <w:szCs w:val="32"/>
          <w:lang w:eastAsia="zh-CN"/>
        </w:rPr>
        <w:t>备案</w:t>
      </w:r>
      <w:r>
        <w:rPr>
          <w:rFonts w:hint="eastAsia" w:ascii="仿宋_GB2312" w:hAnsi="仿宋_GB2312" w:eastAsia="仿宋_GB2312" w:cs="仿宋_GB2312"/>
          <w:sz w:val="32"/>
          <w:szCs w:val="32"/>
        </w:rPr>
        <w:t>办件</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件。</w:t>
      </w:r>
    </w:p>
    <w:p w14:paraId="7C0F06B0">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是切实增强公共服务能力。2021年积极开展防震减灾科普宣教和法律法规知识“进机关、进学校、进企业、进社区、进农村、进家庭、进公共场所”七进活动。</w:t>
      </w:r>
    </w:p>
    <w:p w14:paraId="4823C685">
      <w:pPr>
        <w:bidi w:val="0"/>
        <w:ind w:firstLine="632" w:firstLineChars="200"/>
        <w:rPr>
          <w:rFonts w:hint="eastAsia" w:ascii="宋体" w:hAnsi="宋体" w:eastAsia="宋体" w:cs="宋体"/>
          <w:b/>
          <w:bCs/>
          <w:sz w:val="32"/>
          <w:szCs w:val="32"/>
        </w:rPr>
      </w:pPr>
      <w:r>
        <w:rPr>
          <w:rFonts w:hint="eastAsia" w:ascii="宋体" w:hAnsi="宋体" w:eastAsia="宋体" w:cs="宋体"/>
          <w:b/>
          <w:bCs/>
          <w:sz w:val="32"/>
          <w:szCs w:val="32"/>
        </w:rPr>
        <w:t>二、2021年度推进法治政府建设存在的不足和原因</w:t>
      </w:r>
    </w:p>
    <w:p w14:paraId="742B739D">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2021年以来，我</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在法治政府建设中取得一定成效，但还存在一些不足，主要是依法行政意识和能力有待提高，防震减灾法律法规宣教覆盖面有待拓宽，防震减灾行政执法还有待进一步加强，在今后工作中，我们将努力改进和提高。</w:t>
      </w:r>
    </w:p>
    <w:p w14:paraId="764AADC2">
      <w:pPr>
        <w:bidi w:val="0"/>
        <w:ind w:firstLine="632" w:firstLineChars="200"/>
        <w:rPr>
          <w:rFonts w:hint="eastAsia" w:ascii="宋体" w:hAnsi="宋体" w:eastAsia="宋体" w:cs="宋体"/>
          <w:b/>
          <w:bCs/>
          <w:sz w:val="32"/>
          <w:szCs w:val="32"/>
        </w:rPr>
      </w:pPr>
      <w:r>
        <w:rPr>
          <w:rFonts w:hint="eastAsia" w:ascii="宋体" w:hAnsi="宋体" w:eastAsia="宋体" w:cs="宋体"/>
          <w:b/>
          <w:bCs/>
          <w:sz w:val="32"/>
          <w:szCs w:val="32"/>
        </w:rPr>
        <w:t>三、2021年度主要负责人履行推进法治建设第一责任人职责，加强法治政府建设情况</w:t>
      </w:r>
    </w:p>
    <w:p w14:paraId="61296A2B">
      <w:pPr>
        <w:bidi w:val="0"/>
        <w:ind w:firstLine="63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（一）学习贯彻习近平法治思想，加强法治建设组织领导</w:t>
      </w:r>
    </w:p>
    <w:p w14:paraId="765CC224">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认真组织学习，树牢法治观念。通过</w:t>
      </w:r>
      <w:r>
        <w:rPr>
          <w:rFonts w:hint="eastAsia" w:ascii="仿宋_GB2312" w:hAnsi="仿宋_GB2312" w:eastAsia="仿宋_GB2312" w:cs="仿宋_GB2312"/>
          <w:sz w:val="32"/>
          <w:szCs w:val="32"/>
          <w:lang w:eastAsia="zh-CN"/>
        </w:rPr>
        <w:t>集中</w:t>
      </w:r>
      <w:r>
        <w:rPr>
          <w:rFonts w:hint="eastAsia" w:ascii="仿宋_GB2312" w:hAnsi="仿宋_GB2312" w:eastAsia="仿宋_GB2312" w:cs="仿宋_GB2312"/>
          <w:sz w:val="32"/>
          <w:szCs w:val="32"/>
        </w:rPr>
        <w:t>学习、个人自学等方式，主要领导率先垂范，并系统学习宪法和习近平法治思想，学习掌握中国特色社会主义法律体系和社会主义核心价值观，牢固树立“四个意识”，切实增强贯彻落实党中央关于法治建设重大决策部署的思想自觉和行动自觉，不断提升运用法治思维和法治方式深化改革、推动发展、化解矛盾、维护稳定的能力和水平。</w:t>
      </w:r>
    </w:p>
    <w:p w14:paraId="0AD64ABA">
      <w:pPr>
        <w:bidi w:val="0"/>
        <w:ind w:firstLine="63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（二）推进行政决策科学化民主化法治化</w:t>
      </w:r>
    </w:p>
    <w:p w14:paraId="6DB17A54">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健全科学、民主、依法决策机制，使各项政策制定更接地气、更有质量、更加有效。落实重大决策社会稳定风险评估机制，提高专家论证和风险评估质量，提升科学民主依法决策水平。</w:t>
      </w:r>
    </w:p>
    <w:p w14:paraId="629C459B">
      <w:pPr>
        <w:bidi w:val="0"/>
        <w:ind w:firstLine="63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（三）坚持严格规范公正文明执法</w:t>
      </w:r>
    </w:p>
    <w:p w14:paraId="315508F2">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全面推行行政执法公示、执法全过程记录、重大执法决定法制审核“三项制度”，本年度</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无行政执法事项发生。</w:t>
      </w:r>
    </w:p>
    <w:p w14:paraId="5D034E60">
      <w:pPr>
        <w:bidi w:val="0"/>
        <w:ind w:firstLine="63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（四）强化对行政权力的制约和监督</w:t>
      </w:r>
    </w:p>
    <w:p w14:paraId="77AAF96E">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月10日，</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召开春节前党风廉政建设提醒谈话会；3月18日，</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召开党史学习教育动员部署会；4月2日，</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召开2021年党的建设暨党风廉政工作会议，认真履行全面从严治党主体责任和“一岗双责”，推动政府系统党风廉政建设和反腐败斗争向纵深发展。全面推进政务公开工作。坚持以公开为常态、不公开为例外原则，推进决策公开、执行公开、管理公开、服务公开、结果公开。</w:t>
      </w:r>
    </w:p>
    <w:p w14:paraId="4A7D4BA5">
      <w:pPr>
        <w:bidi w:val="0"/>
        <w:ind w:firstLine="63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（五）全面提升政府工作人员法治思维和依法行政能力</w:t>
      </w:r>
    </w:p>
    <w:p w14:paraId="2DD2FB51">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持续深化学法用法工作。落实《关于完善国家工作人员学法用法制度的意见》。努力营造办事依法、遇事找法、解决问题用法、化解矛盾靠法的良好法治环境。</w:t>
      </w:r>
    </w:p>
    <w:p w14:paraId="2778AC5E">
      <w:pPr>
        <w:bidi w:val="0"/>
        <w:rPr>
          <w:rFonts w:hint="eastAsia" w:ascii="宋体" w:hAnsi="宋体" w:eastAsia="宋体" w:cs="宋体"/>
          <w:b/>
          <w:bCs/>
          <w:sz w:val="32"/>
          <w:szCs w:val="32"/>
        </w:rPr>
      </w:pPr>
      <w:r>
        <w:rPr>
          <w:rFonts w:hint="eastAsia" w:ascii="宋体" w:hAnsi="宋体" w:eastAsia="宋体" w:cs="宋体"/>
          <w:b/>
          <w:bCs/>
          <w:sz w:val="32"/>
          <w:szCs w:val="32"/>
        </w:rPr>
        <w:t> </w:t>
      </w:r>
      <w:r>
        <w:rPr>
          <w:rFonts w:hint="eastAsia" w:ascii="宋体" w:hAnsi="宋体" w:eastAsia="宋体" w:cs="宋体"/>
          <w:b/>
          <w:bCs/>
          <w:sz w:val="32"/>
          <w:szCs w:val="32"/>
          <w:lang w:val="en-US" w:eastAsia="zh-CN"/>
        </w:rPr>
        <w:t xml:space="preserve">  </w:t>
      </w:r>
      <w:r>
        <w:rPr>
          <w:rFonts w:hint="eastAsia" w:ascii="宋体" w:hAnsi="宋体" w:eastAsia="宋体" w:cs="宋体"/>
          <w:b/>
          <w:bCs/>
          <w:sz w:val="32"/>
          <w:szCs w:val="32"/>
        </w:rPr>
        <w:t>四、2022年度推进法治政府建设主要安排</w:t>
      </w:r>
    </w:p>
    <w:p w14:paraId="4FE034CA">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2022年，</w:t>
      </w:r>
      <w:r>
        <w:rPr>
          <w:rFonts w:hint="eastAsia" w:ascii="仿宋_GB2312" w:hAnsi="仿宋_GB2312" w:eastAsia="仿宋_GB2312" w:cs="仿宋_GB2312"/>
          <w:sz w:val="32"/>
          <w:szCs w:val="32"/>
          <w:lang w:eastAsia="zh-CN"/>
        </w:rPr>
        <w:t>县防震减灾事务中心</w:t>
      </w:r>
      <w:r>
        <w:rPr>
          <w:rFonts w:hint="eastAsia" w:ascii="仿宋_GB2312" w:hAnsi="仿宋_GB2312" w:eastAsia="仿宋_GB2312" w:cs="仿宋_GB2312"/>
          <w:sz w:val="32"/>
          <w:szCs w:val="32"/>
        </w:rPr>
        <w:t>将继续贯彻落实国务院《全面推进依法行政实施纲要》，加快推进依法行政，建设法治政府的进程，重点抓好以下几项工作：</w:t>
      </w:r>
    </w:p>
    <w:p w14:paraId="3234B0B2">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一是学习宣传贯彻习近平法治思想，将习近平法治思想纳入理论学习中心组重点学习内容。普及宪法知识，弘扬宪法精神，树立宪法信仰。</w:t>
      </w:r>
    </w:p>
    <w:p w14:paraId="14999D47">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二是系统部署推进“八五”普法工作，加强法治学习宣传教育，加强《中华人民共和国防震减灾法》《</w:t>
      </w:r>
      <w:r>
        <w:rPr>
          <w:rFonts w:hint="eastAsia" w:ascii="仿宋_GB2312" w:hAnsi="仿宋_GB2312" w:eastAsia="仿宋_GB2312" w:cs="仿宋_GB2312"/>
          <w:sz w:val="32"/>
          <w:szCs w:val="32"/>
          <w:lang w:eastAsia="zh-CN"/>
        </w:rPr>
        <w:t>四川</w:t>
      </w:r>
      <w:r>
        <w:rPr>
          <w:rFonts w:hint="eastAsia" w:ascii="仿宋_GB2312" w:hAnsi="仿宋_GB2312" w:eastAsia="仿宋_GB2312" w:cs="仿宋_GB2312"/>
          <w:sz w:val="32"/>
          <w:szCs w:val="32"/>
        </w:rPr>
        <w:t>省防震减灾条例》《</w:t>
      </w:r>
      <w:r>
        <w:rPr>
          <w:rFonts w:hint="eastAsia" w:ascii="仿宋_GB2312" w:hAnsi="仿宋_GB2312" w:eastAsia="仿宋_GB2312" w:cs="仿宋_GB2312"/>
          <w:sz w:val="32"/>
          <w:szCs w:val="32"/>
          <w:lang w:eastAsia="zh-CN"/>
        </w:rPr>
        <w:t>四川</w:t>
      </w:r>
      <w:r>
        <w:rPr>
          <w:rFonts w:hint="eastAsia" w:ascii="仿宋_GB2312" w:hAnsi="仿宋_GB2312" w:eastAsia="仿宋_GB2312" w:cs="仿宋_GB2312"/>
          <w:sz w:val="32"/>
          <w:szCs w:val="32"/>
        </w:rPr>
        <w:t>省建设工程地震安全性评价管理办法》宣贯，新修订的《中华人民共和国行政处罚法》学习，组织做好“全国宪法日”等时段的普法宣传，落实“谁执法谁普法”责任制，制定普法计划和责任清单，持续深入推进</w:t>
      </w:r>
      <w:r>
        <w:rPr>
          <w:rFonts w:hint="eastAsia" w:ascii="仿宋_GB2312" w:hAnsi="仿宋_GB2312" w:cs="仿宋_GB2312"/>
          <w:sz w:val="32"/>
          <w:szCs w:val="32"/>
          <w:lang w:eastAsia="zh-CN"/>
        </w:rPr>
        <w:t>行政执法“三项制度”</w:t>
      </w:r>
      <w:r>
        <w:rPr>
          <w:rFonts w:hint="eastAsia" w:ascii="仿宋_GB2312" w:hAnsi="仿宋_GB2312" w:eastAsia="仿宋_GB2312" w:cs="仿宋_GB2312"/>
          <w:sz w:val="32"/>
          <w:szCs w:val="32"/>
        </w:rPr>
        <w:t>，完善健全行政裁量权基准制度。</w:t>
      </w:r>
    </w:p>
    <w:p w14:paraId="337767D4">
      <w:pPr>
        <w:bidi w:val="0"/>
        <w:ind w:firstLine="632"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三是落实</w:t>
      </w:r>
      <w:r>
        <w:rPr>
          <w:rFonts w:hint="eastAsia" w:ascii="仿宋_GB2312" w:hAnsi="仿宋_GB2312" w:eastAsia="仿宋_GB2312" w:cs="仿宋_GB2312"/>
          <w:sz w:val="32"/>
          <w:szCs w:val="32"/>
          <w:lang w:eastAsia="zh-CN"/>
        </w:rPr>
        <w:t>乡（镇）</w:t>
      </w:r>
      <w:r>
        <w:rPr>
          <w:rFonts w:hint="eastAsia" w:ascii="仿宋_GB2312" w:hAnsi="仿宋_GB2312" w:eastAsia="仿宋_GB2312" w:cs="仿宋_GB2312"/>
          <w:sz w:val="32"/>
          <w:szCs w:val="32"/>
        </w:rPr>
        <w:t>防震减灾工作责任，充分发挥他们在</w:t>
      </w:r>
      <w:r>
        <w:rPr>
          <w:rFonts w:hint="eastAsia" w:ascii="仿宋_GB2312" w:hAnsi="仿宋_GB2312" w:eastAsia="仿宋_GB2312" w:cs="仿宋_GB2312"/>
          <w:sz w:val="32"/>
          <w:szCs w:val="32"/>
          <w:lang w:eastAsia="zh-CN"/>
        </w:rPr>
        <w:t>动植物异常观测</w:t>
      </w:r>
      <w:r>
        <w:rPr>
          <w:rFonts w:hint="eastAsia" w:ascii="仿宋_GB2312" w:hAnsi="仿宋_GB2312" w:eastAsia="仿宋_GB2312" w:cs="仿宋_GB2312"/>
          <w:sz w:val="32"/>
          <w:szCs w:val="32"/>
        </w:rPr>
        <w:t>方面的职能作用，积极开展全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“三网一员”、防震减灾执法人员、法治建设</w:t>
      </w:r>
      <w:r>
        <w:rPr>
          <w:rFonts w:hint="eastAsia" w:ascii="仿宋_GB2312" w:hAnsi="仿宋_GB2312" w:eastAsia="仿宋_GB2312" w:cs="仿宋_GB2312"/>
          <w:sz w:val="32"/>
          <w:szCs w:val="32"/>
          <w:lang w:eastAsia="zh-CN"/>
        </w:rPr>
        <w:t>方面</w:t>
      </w:r>
      <w:r>
        <w:rPr>
          <w:rFonts w:hint="eastAsia" w:ascii="仿宋_GB2312" w:hAnsi="仿宋_GB2312" w:eastAsia="仿宋_GB2312" w:cs="仿宋_GB2312"/>
          <w:sz w:val="32"/>
          <w:szCs w:val="32"/>
        </w:rPr>
        <w:t>等的培训，提高人员队伍素质，建立</w:t>
      </w:r>
      <w:r>
        <w:rPr>
          <w:rFonts w:hint="eastAsia" w:ascii="仿宋_GB2312" w:hAnsi="仿宋_GB2312" w:eastAsia="仿宋_GB2312" w:cs="仿宋_GB2312"/>
          <w:sz w:val="32"/>
          <w:szCs w:val="32"/>
          <w:lang w:eastAsia="zh-CN"/>
        </w:rPr>
        <w:t>县乡（镇）</w:t>
      </w:r>
      <w:r>
        <w:rPr>
          <w:rFonts w:hint="eastAsia" w:ascii="仿宋_GB2312" w:hAnsi="仿宋_GB2312" w:eastAsia="仿宋_GB2312" w:cs="仿宋_GB2312"/>
          <w:sz w:val="32"/>
          <w:szCs w:val="32"/>
        </w:rPr>
        <w:t>两级抗震设防监管体系，为法治政府建设作出新的更大的贡献。        </w:t>
      </w:r>
    </w:p>
    <w:p w14:paraId="5E962BB1">
      <w:pPr>
        <w:ind w:firstLine="420"/>
        <w:rPr>
          <w:rFonts w:hint="eastAsia" w:ascii="仿宋_GB2312" w:eastAsia="仿宋_GB2312" w:cs="仿宋"/>
          <w:sz w:val="32"/>
          <w:szCs w:val="32"/>
          <w:lang w:val="en-US" w:eastAsia="zh-CN"/>
        </w:rPr>
      </w:pPr>
    </w:p>
    <w:p w14:paraId="4F8915B0">
      <w:pPr>
        <w:ind w:left="0"/>
        <w:rPr>
          <w:rFonts w:hint="eastAsia" w:ascii="仿宋_GB2312" w:eastAsia="仿宋_GB2312" w:cs="仿宋"/>
          <w:sz w:val="32"/>
          <w:szCs w:val="32"/>
          <w:lang w:val="en-US" w:eastAsia="zh-CN"/>
        </w:rPr>
      </w:pPr>
    </w:p>
    <w:p w14:paraId="7BDC73F0">
      <w:pPr>
        <w:ind w:firstLine="3160" w:firstLineChars="1000"/>
        <w:rPr>
          <w:rFonts w:hint="eastAsia" w:ascii="仿宋_GB2312" w:eastAsia="仿宋_GB2312" w:cs="仿宋"/>
          <w:sz w:val="32"/>
          <w:szCs w:val="32"/>
          <w:lang w:val="en-US" w:eastAsia="zh-CN"/>
        </w:rPr>
      </w:pPr>
      <w:r>
        <w:rPr>
          <w:rFonts w:hint="eastAsia" w:ascii="仿宋_GB2312" w:eastAsia="仿宋_GB2312" w:cs="仿宋"/>
          <w:sz w:val="32"/>
          <w:szCs w:val="32"/>
          <w:lang w:val="en-US" w:eastAsia="zh-CN"/>
        </w:rPr>
        <w:t xml:space="preserve">     金川县防震减灾事务中心</w:t>
      </w:r>
    </w:p>
    <w:p w14:paraId="31F564E7">
      <w:pPr>
        <w:ind w:firstLine="420"/>
        <w:rPr>
          <w:rFonts w:hint="eastAsia" w:ascii="仿宋_GB2312" w:eastAsia="仿宋_GB2312" w:cs="仿宋"/>
          <w:sz w:val="32"/>
          <w:szCs w:val="32"/>
          <w:lang w:val="en-US" w:eastAsia="zh-CN"/>
        </w:rPr>
      </w:pPr>
      <w:r>
        <w:rPr>
          <w:rFonts w:hint="eastAsia" w:ascii="仿宋_GB2312" w:eastAsia="仿宋_GB2312" w:cs="仿宋"/>
          <w:sz w:val="32"/>
          <w:szCs w:val="32"/>
          <w:lang w:val="en-US" w:eastAsia="zh-CN"/>
        </w:rPr>
        <w:t xml:space="preserve">                          202</w:t>
      </w:r>
      <w:r>
        <w:rPr>
          <w:rFonts w:hint="eastAsia" w:ascii="仿宋_GB2312" w:cs="仿宋"/>
          <w:sz w:val="32"/>
          <w:szCs w:val="32"/>
          <w:lang w:val="en-US" w:eastAsia="zh-CN"/>
        </w:rPr>
        <w:t>2</w:t>
      </w:r>
      <w:r>
        <w:rPr>
          <w:rFonts w:hint="eastAsia" w:ascii="仿宋_GB2312" w:eastAsia="仿宋_GB2312" w:cs="仿宋"/>
          <w:sz w:val="32"/>
          <w:szCs w:val="32"/>
          <w:lang w:val="en-US" w:eastAsia="zh-CN"/>
        </w:rPr>
        <w:t>年</w:t>
      </w:r>
      <w:r>
        <w:rPr>
          <w:rFonts w:hint="eastAsia" w:ascii="仿宋_GB2312" w:cs="仿宋"/>
          <w:sz w:val="32"/>
          <w:szCs w:val="32"/>
          <w:lang w:val="en-US" w:eastAsia="zh-CN"/>
        </w:rPr>
        <w:t>2</w:t>
      </w:r>
      <w:r>
        <w:rPr>
          <w:rFonts w:hint="eastAsia" w:ascii="仿宋_GB2312" w:eastAsia="仿宋_GB2312" w:cs="仿宋"/>
          <w:sz w:val="32"/>
          <w:szCs w:val="32"/>
          <w:lang w:val="en-US" w:eastAsia="zh-CN"/>
        </w:rPr>
        <w:t>月</w:t>
      </w:r>
      <w:r>
        <w:rPr>
          <w:rFonts w:hint="eastAsia" w:ascii="仿宋_GB2312" w:cs="仿宋"/>
          <w:sz w:val="32"/>
          <w:szCs w:val="32"/>
          <w:lang w:val="en-US" w:eastAsia="zh-CN"/>
        </w:rPr>
        <w:t>17</w:t>
      </w:r>
      <w:r>
        <w:rPr>
          <w:rFonts w:hint="eastAsia" w:ascii="仿宋_GB2312" w:eastAsia="仿宋_GB2312" w:cs="仿宋"/>
          <w:sz w:val="32"/>
          <w:szCs w:val="32"/>
          <w:lang w:val="en-US" w:eastAsia="zh-CN"/>
        </w:rPr>
        <w:t>日</w:t>
      </w:r>
    </w:p>
    <w:p w14:paraId="712A86D0">
      <w:pPr>
        <w:ind w:firstLine="420"/>
        <w:rPr>
          <w:rFonts w:hint="eastAsia" w:ascii="仿宋_GB2312" w:eastAsia="仿宋_GB2312" w:cs="仿宋"/>
          <w:sz w:val="32"/>
          <w:szCs w:val="32"/>
          <w:lang w:val="en-US" w:eastAsia="zh-CN"/>
        </w:rPr>
      </w:pPr>
    </w:p>
    <w:p w14:paraId="1C41ED90">
      <w:pPr>
        <w:rPr>
          <w:rFonts w:hint="eastAsia" w:ascii="仿宋_GB2312" w:eastAsia="仿宋_GB2312" w:cs="仿宋"/>
          <w:sz w:val="32"/>
          <w:szCs w:val="32"/>
          <w:lang w:val="en-US" w:eastAsia="zh-CN"/>
        </w:rPr>
      </w:pPr>
    </w:p>
    <w:p w14:paraId="138D695D">
      <w:pPr>
        <w:ind w:firstLine="420"/>
        <w:rPr>
          <w:rFonts w:hint="eastAsia" w:ascii="仿宋_GB2312" w:eastAsia="仿宋_GB2312" w:cs="仿宋"/>
          <w:sz w:val="32"/>
          <w:szCs w:val="32"/>
          <w:lang w:val="en-US" w:eastAsia="zh-CN"/>
        </w:rPr>
      </w:pPr>
    </w:p>
    <w:p w14:paraId="56BAA4D6">
      <w:pPr>
        <w:pStyle w:val="2"/>
        <w:ind w:left="0" w:leftChars="0" w:firstLine="0" w:firstLineChars="0"/>
        <w:rPr>
          <w:rFonts w:ascii="仿宋_GB2312" w:eastAsia="仿宋_GB2312" w:cs="仿宋"/>
          <w:sz w:val="32"/>
          <w:szCs w:val="32"/>
          <w:lang w:val="en-US" w:eastAsia="zh-CN"/>
        </w:rPr>
      </w:pPr>
      <w:r>
        <w:rPr>
          <w:rFonts w:ascii="仿宋_GB2312" w:eastAsia="仿宋_GB2312" w:cs="仿宋"/>
          <w:sz w:val="32"/>
          <w:szCs w:val="32"/>
          <w:lang w:val="en-US" w:eastAsia="zh-CN"/>
        </w:rPr>
        <w:t xml:space="preserve"> </w:t>
      </w:r>
    </w:p>
    <w:p w14:paraId="58375F64">
      <w:pPr>
        <w:pStyle w:val="2"/>
        <w:ind w:left="0" w:leftChars="0" w:firstLine="0" w:firstLineChars="0"/>
        <w:rPr>
          <w:rFonts w:ascii="仿宋_GB2312" w:eastAsia="仿宋_GB2312" w:cs="仿宋_GB2312"/>
          <w:sz w:val="32"/>
          <w:szCs w:val="32"/>
        </w:rPr>
      </w:pPr>
    </w:p>
    <w:p w14:paraId="24C50A28">
      <w:pPr>
        <w:pStyle w:val="2"/>
        <w:ind w:left="0" w:leftChars="0" w:firstLine="0" w:firstLineChars="0"/>
        <w:rPr>
          <w:rFonts w:ascii="仿宋_GB2312" w:eastAsia="仿宋_GB2312" w:cs="仿宋_GB2312"/>
          <w:sz w:val="32"/>
          <w:szCs w:val="32"/>
        </w:rPr>
      </w:pPr>
    </w:p>
    <w:p w14:paraId="74B95625">
      <w:pPr>
        <w:pStyle w:val="2"/>
        <w:ind w:left="0" w:leftChars="0" w:firstLine="0" w:firstLineChars="0"/>
        <w:rPr>
          <w:rFonts w:ascii="仿宋_GB2312" w:eastAsia="仿宋_GB2312" w:cs="仿宋_GB2312"/>
          <w:sz w:val="32"/>
          <w:szCs w:val="32"/>
        </w:rPr>
      </w:pPr>
    </w:p>
    <w:p w14:paraId="1533F105">
      <w:pPr>
        <w:pStyle w:val="2"/>
        <w:ind w:left="0" w:leftChars="0" w:firstLine="0" w:firstLineChars="0"/>
        <w:rPr>
          <w:rFonts w:ascii="仿宋_GB2312" w:eastAsia="仿宋_GB2312" w:cs="仿宋_GB2312"/>
          <w:sz w:val="32"/>
          <w:szCs w:val="32"/>
        </w:rPr>
      </w:pPr>
    </w:p>
    <w:p w14:paraId="7BAC7AF1">
      <w:pPr>
        <w:pStyle w:val="2"/>
        <w:ind w:left="0" w:leftChars="0" w:firstLine="0" w:firstLineChars="0"/>
        <w:rPr>
          <w:rFonts w:ascii="仿宋_GB2312" w:eastAsia="仿宋_GB2312" w:cs="仿宋_GB2312"/>
          <w:sz w:val="32"/>
          <w:szCs w:val="32"/>
        </w:rPr>
      </w:pPr>
    </w:p>
    <w:p w14:paraId="61004A8B">
      <w:pPr>
        <w:pStyle w:val="2"/>
        <w:ind w:left="0" w:leftChars="0" w:firstLine="0" w:firstLineChars="0"/>
        <w:rPr>
          <w:rFonts w:ascii="仿宋_GB2312" w:eastAsia="仿宋_GB2312" w:cs="仿宋_GB2312"/>
          <w:sz w:val="32"/>
          <w:szCs w:val="32"/>
        </w:rPr>
      </w:pPr>
    </w:p>
    <w:p w14:paraId="1EF9B7F6">
      <w:pPr>
        <w:pStyle w:val="2"/>
        <w:ind w:left="0" w:leftChars="0" w:firstLine="0" w:firstLineChars="0"/>
        <w:rPr>
          <w:rFonts w:ascii="仿宋_GB2312" w:eastAsia="仿宋_GB2312" w:cs="仿宋_GB2312"/>
          <w:sz w:val="32"/>
          <w:szCs w:val="32"/>
        </w:rPr>
      </w:pPr>
    </w:p>
    <w:p w14:paraId="6790D38A">
      <w:pPr>
        <w:pStyle w:val="2"/>
        <w:ind w:left="0" w:leftChars="0" w:firstLine="0" w:firstLineChars="0"/>
        <w:rPr>
          <w:rFonts w:hint="eastAsia"/>
        </w:rPr>
      </w:pPr>
    </w:p>
    <w:p w14:paraId="7B0F4B90">
      <w:pPr>
        <w:pStyle w:val="2"/>
        <w:ind w:left="0" w:leftChars="0" w:firstLine="0" w:firstLineChars="0"/>
        <w:rPr>
          <w:rFonts w:hint="eastAsia"/>
        </w:rPr>
      </w:pPr>
    </w:p>
    <w:p w14:paraId="4CC79ADE">
      <w:pPr>
        <w:pBdr>
          <w:top w:val="single" w:color="auto" w:sz="4" w:space="0"/>
          <w:bottom w:val="single" w:color="auto" w:sz="4" w:space="0"/>
        </w:pBdr>
        <w:ind w:firstLine="276" w:firstLineChars="100"/>
        <w:rPr>
          <w:rFonts w:hint="eastAsia" w:ascii="仿宋_GB2312" w:eastAsia="仿宋_GB2312" w:cs="仿宋_GB2312"/>
          <w:sz w:val="32"/>
          <w:szCs w:val="32"/>
        </w:rPr>
      </w:pPr>
      <w:r>
        <w:rPr>
          <w:rFonts w:hint="eastAsia" w:ascii="仿宋_GB2312" w:eastAsia="仿宋_GB2312" w:cs="仿宋_GB2312"/>
          <w:sz w:val="28"/>
          <w:szCs w:val="28"/>
        </w:rPr>
        <w:t xml:space="preserve">金川县防震减灾事务中心办公室        </w:t>
      </w:r>
      <w:r>
        <w:rPr>
          <w:rFonts w:hint="eastAsia" w:ascii="仿宋_GB2312" w:cs="仿宋_GB2312"/>
          <w:sz w:val="28"/>
          <w:szCs w:val="28"/>
          <w:lang w:val="en-US" w:eastAsia="zh-CN"/>
        </w:rPr>
        <w:t xml:space="preserve">   </w:t>
      </w:r>
      <w:r>
        <w:rPr>
          <w:rFonts w:hint="eastAsia" w:ascii="仿宋_GB2312" w:eastAsia="仿宋_GB2312" w:cs="仿宋_GB2312"/>
          <w:sz w:val="28"/>
          <w:szCs w:val="28"/>
        </w:rPr>
        <w:t xml:space="preserve"> 202</w:t>
      </w:r>
      <w:r>
        <w:rPr>
          <w:rFonts w:hint="eastAsia" w:ascii="仿宋_GB2312" w:cs="仿宋_GB2312"/>
          <w:sz w:val="28"/>
          <w:szCs w:val="28"/>
          <w:lang w:val="en-US" w:eastAsia="zh-CN"/>
        </w:rPr>
        <w:t>2</w:t>
      </w:r>
      <w:r>
        <w:rPr>
          <w:rFonts w:hint="eastAsia" w:ascii="仿宋_GB2312" w:eastAsia="仿宋_GB2312" w:cs="仿宋_GB2312"/>
          <w:sz w:val="28"/>
          <w:szCs w:val="28"/>
        </w:rPr>
        <w:t>年</w:t>
      </w:r>
      <w:r>
        <w:rPr>
          <w:rFonts w:hint="eastAsia" w:ascii="仿宋_GB2312" w:cs="仿宋_GB2312"/>
          <w:sz w:val="28"/>
          <w:szCs w:val="28"/>
          <w:lang w:val="en-US" w:eastAsia="zh-CN"/>
        </w:rPr>
        <w:t>2</w:t>
      </w:r>
      <w:r>
        <w:rPr>
          <w:rFonts w:hint="eastAsia" w:ascii="仿宋_GB2312" w:eastAsia="仿宋_GB2312" w:cs="仿宋_GB2312"/>
          <w:sz w:val="28"/>
          <w:szCs w:val="28"/>
        </w:rPr>
        <w:t>月</w:t>
      </w:r>
      <w:r>
        <w:rPr>
          <w:rFonts w:hint="eastAsia" w:ascii="仿宋_GB2312" w:cs="仿宋_GB2312"/>
          <w:sz w:val="28"/>
          <w:szCs w:val="28"/>
          <w:lang w:val="en-US" w:eastAsia="zh-CN"/>
        </w:rPr>
        <w:t>17</w:t>
      </w:r>
      <w:r>
        <w:rPr>
          <w:rFonts w:hint="eastAsia" w:ascii="仿宋_GB2312" w:eastAsia="仿宋_GB2312" w:cs="仿宋_GB2312"/>
          <w:sz w:val="28"/>
          <w:szCs w:val="28"/>
        </w:rPr>
        <w:t>日印发</w:t>
      </w:r>
    </w:p>
    <w:sectPr>
      <w:pgSz w:w="11906" w:h="16838"/>
      <w:pgMar w:top="2098" w:right="1474" w:bottom="1984" w:left="1587" w:header="851" w:footer="992" w:gutter="0"/>
      <w:cols w:space="720" w:num="1"/>
      <w:rtlGutter w:val="1"/>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58"/>
  <w:drawingGridVerticalSpacing w:val="290"/>
  <w:displayHorizontalDrawingGridEvery w:val="2"/>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000000"/>
    <w:rsid w:val="1CB46F31"/>
    <w:rsid w:val="2E5F2CBA"/>
    <w:rsid w:val="6A0624F4"/>
    <w:rsid w:val="715A15C8"/>
    <w:rsid w:val="77FE780C"/>
    <w:rsid w:val="797E32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Arial"/>
      <w:kern w:val="2"/>
      <w:sz w:val="32"/>
      <w:szCs w:val="24"/>
      <w:lang w:val="en-US" w:eastAsia="zh-CN" w:bidi="ar-SA"/>
    </w:rPr>
  </w:style>
  <w:style w:type="paragraph" w:styleId="4">
    <w:name w:val="heading 1"/>
    <w:basedOn w:val="1"/>
    <w:next w:val="1"/>
    <w:uiPriority w:val="0"/>
    <w:pPr>
      <w:keepNext/>
      <w:keepLines/>
      <w:widowControl w:val="0"/>
      <w:spacing w:before="340" w:after="330" w:line="578" w:lineRule="auto"/>
      <w:outlineLvl w:val="0"/>
    </w:pPr>
    <w:rPr>
      <w:b/>
      <w:bCs/>
      <w:kern w:val="44"/>
      <w:sz w:val="44"/>
    </w:rPr>
  </w:style>
  <w:style w:type="paragraph" w:styleId="5">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6">
    <w:name w:val="heading 3"/>
    <w:basedOn w:val="1"/>
    <w:next w:val="1"/>
    <w:uiPriority w:val="0"/>
    <w:pPr>
      <w:keepNext/>
      <w:keepLines/>
      <w:widowControl w:val="0"/>
      <w:spacing w:before="260" w:after="260" w:line="415" w:lineRule="auto"/>
      <w:outlineLvl w:val="2"/>
    </w:pPr>
    <w:rPr>
      <w:b/>
      <w:sz w:val="32"/>
    </w:rPr>
  </w:style>
  <w:style w:type="character" w:default="1" w:styleId="11">
    <w:name w:val="Default Paragraph Fon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keepNext w:val="0"/>
      <w:keepLines w:val="0"/>
      <w:widowControl w:val="0"/>
      <w:suppressLineNumbers w:val="0"/>
      <w:spacing w:before="0" w:beforeAutospacing="0" w:after="120" w:afterAutospacing="0"/>
      <w:ind w:left="200" w:leftChars="200" w:right="0" w:firstLine="200" w:firstLineChars="200"/>
      <w:jc w:val="both"/>
    </w:pPr>
    <w:rPr>
      <w:rFonts w:ascii="Times New Roman" w:hAnsi="Times New Roman" w:eastAsia="宋体" w:cs="Times New Roman"/>
      <w:kern w:val="2"/>
      <w:sz w:val="21"/>
      <w:szCs w:val="24"/>
      <w:lang w:val="en-US" w:eastAsia="zh-CN" w:bidi="ar-SA"/>
    </w:rPr>
  </w:style>
  <w:style w:type="paragraph" w:styleId="3">
    <w:name w:val="Body Text Indent"/>
    <w:basedOn w:val="1"/>
    <w:qFormat/>
    <w:uiPriority w:val="0"/>
    <w:pPr>
      <w:spacing w:line="500" w:lineRule="exact"/>
      <w:ind w:firstLine="240" w:firstLineChars="240"/>
    </w:pPr>
    <w:rPr>
      <w:rFonts w:ascii="仿宋_GB2312"/>
      <w:b/>
      <w:sz w:val="30"/>
      <w:szCs w:val="24"/>
    </w:rPr>
  </w:style>
  <w:style w:type="paragraph" w:styleId="7">
    <w:name w:val="Body Text"/>
    <w:basedOn w:val="1"/>
    <w:qFormat/>
    <w:uiPriority w:val="0"/>
    <w:rPr>
      <w:rFonts w:ascii="仿宋_GB2312" w:eastAsia="仿宋_GB2312" w:cs="仿宋_GB2312"/>
      <w:sz w:val="32"/>
      <w:szCs w:val="32"/>
      <w:lang w:val="zh-CN" w:eastAsia="zh-CN" w:bidi="zh-C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character" w:customStyle="1" w:styleId="12">
    <w:name w:val="font21"/>
    <w:basedOn w:val="11"/>
    <w:qFormat/>
    <w:uiPriority w:val="0"/>
    <w:rPr>
      <w:rFonts w:ascii="仿宋_GB2312" w:eastAsia="仿宋_GB2312" w:cs="仿宋_GB2312"/>
      <w:color w:val="000000"/>
      <w:sz w:val="20"/>
      <w:szCs w:val="20"/>
      <w:u w:val="none"/>
    </w:rPr>
  </w:style>
  <w:style w:type="character" w:customStyle="1" w:styleId="13">
    <w:name w:val="font11"/>
    <w:basedOn w:val="11"/>
    <w:qFormat/>
    <w:uiPriority w:val="0"/>
    <w:rPr>
      <w:rFonts w:asci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Pages>7</Pages>
  <Words>2553</Words>
  <Characters>2623</Characters>
  <Lines>36</Lines>
  <Paragraphs>11</Paragraphs>
  <TotalTime>9</TotalTime>
  <ScaleCrop>false</ScaleCrop>
  <LinksUpToDate>false</LinksUpToDate>
  <CharactersWithSpaces>2700</CharactersWithSpaces>
  <Application>WPS Office_12.1.0.26899_F1E327BC-269C-435d-A152-05C5408002CA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2021-02-04T02:51:00Z</dcterms:created>
  <dc:creator>难过版儿</dc:creator>
  <cp:lastModifiedBy>盐星星</cp:lastModifiedBy>
  <cp:lastPrinted>2022-01-24T02:36:00Z</cp:lastPrinted>
  <dcterms:modified xsi:type="dcterms:W3CDTF">2026-07-17T09:22:04Z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645C19C812DB4B8EA6B0979BA6733E47</vt:lpwstr>
  </property>
  <property fmtid="{D5CDD505-2E9C-101B-9397-08002B2CF9AE}" pid="4" name="KSOTemplateDocerSaveRecord">
    <vt:lpwstr>eyJoZGlkIjoiNzkyYzRhOGNmZjI2NTRmMmU4ZjYwMzM3MDcwMmEzMWYiLCJ1c2VySWQiOiIxMDYwOTQ0NDM1In0=</vt:lpwstr>
  </property>
</Properties>
</file>