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D985C">
      <w:pPr>
        <w:pStyle w:val="2"/>
        <w:rPr>
          <w:rFonts w:hint="eastAsia"/>
        </w:rPr>
      </w:pPr>
      <w:bookmarkStart w:id="0" w:name="_GoBack"/>
      <w:bookmarkEnd w:id="0"/>
    </w:p>
    <w:p w14:paraId="2D1A460C">
      <w:pPr>
        <w:jc w:val="center"/>
        <w:rPr>
          <w:rFonts w:hint="eastAsia" w:ascii="仿宋_GB2312" w:hAnsi="宋体" w:eastAsia="仿宋_GB2312"/>
          <w:sz w:val="32"/>
          <w:szCs w:val="32"/>
        </w:rPr>
      </w:pPr>
    </w:p>
    <w:p w14:paraId="0F48D567">
      <w:pPr>
        <w:jc w:val="center"/>
        <w:rPr>
          <w:rFonts w:hint="eastAsia" w:ascii="仿宋_GB2312" w:hAnsi="宋体" w:eastAsia="仿宋_GB2312"/>
          <w:sz w:val="32"/>
          <w:szCs w:val="32"/>
        </w:rPr>
      </w:pPr>
      <w:r>
        <w:rPr>
          <w:rFonts w:hint="eastAsia" w:ascii="仿宋_GB2312" w:hAnsi="宋体" w:eastAsia="仿宋_GB2312"/>
          <w:sz w:val="32"/>
          <w:szCs w:val="32"/>
        </w:rPr>
        <w:drawing>
          <wp:anchor distT="0" distB="0" distL="114300" distR="114300" simplePos="0" relativeHeight="251659264" behindDoc="1" locked="0" layoutInCell="1" allowOverlap="1">
            <wp:simplePos x="0" y="0"/>
            <wp:positionH relativeFrom="column">
              <wp:posOffset>-781050</wp:posOffset>
            </wp:positionH>
            <wp:positionV relativeFrom="paragraph">
              <wp:posOffset>287655</wp:posOffset>
            </wp:positionV>
            <wp:extent cx="6629400" cy="2533650"/>
            <wp:effectExtent l="0" t="0" r="0" b="0"/>
            <wp:wrapNone/>
            <wp:docPr id="1" name="图片 2" descr="文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文头"/>
                    <pic:cNvPicPr>
                      <a:picLocks noChangeAspect="1"/>
                    </pic:cNvPicPr>
                  </pic:nvPicPr>
                  <pic:blipFill>
                    <a:blip r:embed="rId5"/>
                    <a:stretch>
                      <a:fillRect/>
                    </a:stretch>
                  </pic:blipFill>
                  <pic:spPr>
                    <a:xfrm>
                      <a:off x="0" y="0"/>
                      <a:ext cx="6629400" cy="2533650"/>
                    </a:xfrm>
                    <a:prstGeom prst="rect">
                      <a:avLst/>
                    </a:prstGeom>
                    <a:noFill/>
                    <a:ln>
                      <a:noFill/>
                    </a:ln>
                  </pic:spPr>
                </pic:pic>
              </a:graphicData>
            </a:graphic>
          </wp:anchor>
        </w:drawing>
      </w:r>
    </w:p>
    <w:p w14:paraId="5A96844B">
      <w:pPr>
        <w:jc w:val="center"/>
        <w:rPr>
          <w:rFonts w:hint="eastAsia" w:ascii="仿宋_GB2312" w:hAnsi="宋体" w:eastAsia="仿宋_GB2312"/>
          <w:sz w:val="32"/>
          <w:szCs w:val="32"/>
        </w:rPr>
      </w:pPr>
    </w:p>
    <w:p w14:paraId="632A36C9">
      <w:pPr>
        <w:rPr>
          <w:rFonts w:hint="eastAsia" w:ascii="仿宋_GB2312" w:hAnsi="宋体" w:eastAsia="仿宋_GB2312"/>
          <w:sz w:val="32"/>
          <w:szCs w:val="32"/>
        </w:rPr>
      </w:pPr>
    </w:p>
    <w:p w14:paraId="36A709C8">
      <w:pPr>
        <w:rPr>
          <w:rFonts w:hint="eastAsia" w:ascii="楷体_GB2312" w:hAnsi="宋体" w:eastAsia="楷体_GB2312"/>
          <w:sz w:val="32"/>
          <w:szCs w:val="32"/>
        </w:rPr>
      </w:pPr>
    </w:p>
    <w:p w14:paraId="702807E1">
      <w:pPr>
        <w:rPr>
          <w:rFonts w:hint="eastAsia" w:ascii="楷体_GB2312" w:hAnsi="宋体" w:eastAsia="楷体_GB2312"/>
          <w:sz w:val="32"/>
          <w:szCs w:val="32"/>
        </w:rPr>
      </w:pPr>
    </w:p>
    <w:p w14:paraId="53D48B39">
      <w:pPr>
        <w:rPr>
          <w:rFonts w:hint="eastAsia" w:ascii="仿宋_GB2312" w:hAnsi="宋体" w:eastAsia="楷体_GB2312"/>
          <w:sz w:val="32"/>
          <w:szCs w:val="32"/>
          <w:lang w:val="en-US" w:eastAsia="zh-CN"/>
        </w:rPr>
      </w:pPr>
      <w:r>
        <w:rPr>
          <w:rFonts w:hint="eastAsia" w:ascii="仿宋_GB2312" w:hAnsi="仿宋_GB2312" w:eastAsia="仿宋_GB2312" w:cs="仿宋_GB2312"/>
          <w:sz w:val="32"/>
          <w:szCs w:val="32"/>
        </w:rPr>
        <w:t>金统计〔20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 xml:space="preserve">号 </w:t>
      </w:r>
      <w:r>
        <w:rPr>
          <w:rFonts w:hint="eastAsia" w:ascii="楷体_GB2312" w:hAnsi="宋体" w:eastAsia="楷体_GB2312"/>
          <w:sz w:val="32"/>
          <w:szCs w:val="32"/>
        </w:rPr>
        <w:t xml:space="preserve">                 签发人：</w:t>
      </w:r>
      <w:r>
        <w:rPr>
          <w:rFonts w:hint="eastAsia" w:ascii="楷体_GB2312" w:hAnsi="宋体" w:eastAsia="楷体_GB2312"/>
          <w:sz w:val="32"/>
          <w:szCs w:val="32"/>
          <w:lang w:val="en-US" w:eastAsia="zh-CN"/>
        </w:rPr>
        <w:t>马麟</w:t>
      </w:r>
    </w:p>
    <w:p w14:paraId="76CD08D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79857882">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金川县统计局</w:t>
      </w:r>
    </w:p>
    <w:p w14:paraId="4DA7A194">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关于2021年法治政府建设工作情况的报告</w:t>
      </w:r>
    </w:p>
    <w:p w14:paraId="60F5A1E2">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p w14:paraId="116E7ED4">
      <w:pPr>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金川县人民政府：</w:t>
      </w:r>
    </w:p>
    <w:p w14:paraId="0027F32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中共中央办公厅、国务院办公厅印发的《法治政府建设与责任落实督察工作规定》以及县政府法治建设领导小组办公室的相关要求，结合法治政府建设工作任务，我局积极推进依法治统工作，严格贯彻落实习近平总书记等中央领导同志关于统计工作的重要指示批示精神，切实维护统计工作权威性。通过局内学习、业务培训、执法检查、推进改革等工作， 加强统计法治建设工作。现将一年来的工作总结如下。</w:t>
      </w:r>
    </w:p>
    <w:p w14:paraId="0973F04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一、2021年度推进法治政府建设的主要举措和成效</w:t>
      </w:r>
    </w:p>
    <w:p w14:paraId="2A71B24C">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（一）做好统计法律法规的宣传工作</w:t>
      </w:r>
    </w:p>
    <w:p w14:paraId="47D007CC">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谁执法谁普法”的原则，以“12.4”法制宣传日活动为载体，加强干部职工的宪法意识和法治观念，提高依法行政能力，促进依法治国、依法行政的进程，为促进全社会法治化管理水平的提高、构建社会主义和谐社会营造良好的法治氛围。</w:t>
      </w:r>
      <w:r>
        <w:rPr>
          <w:rFonts w:hint="eastAsia" w:ascii="仿宋_GB2312" w:hAnsi="仿宋_GB2312" w:eastAsia="仿宋_GB2312" w:cs="仿宋_GB2312"/>
          <w:b/>
          <w:bCs/>
          <w:sz w:val="32"/>
          <w:szCs w:val="32"/>
          <w:lang w:val="en-US" w:eastAsia="zh-CN"/>
        </w:rPr>
        <w:t>一是抓干部职工学习教育工作。</w:t>
      </w:r>
      <w:r>
        <w:rPr>
          <w:rFonts w:hint="eastAsia" w:ascii="仿宋_GB2312" w:hAnsi="仿宋_GB2312" w:eastAsia="仿宋_GB2312" w:cs="仿宋_GB2312"/>
          <w:sz w:val="32"/>
          <w:szCs w:val="32"/>
          <w:lang w:val="en-US" w:eastAsia="zh-CN"/>
        </w:rPr>
        <w:t>组织了宪法知识测试，共发出试卷20份，收回20份，测试效果较好。组织干部职工学习了《中华人民共和国宪法》、《行政许可法》、《民法典》和《中华人民共和国统计法》等相关内容，在学习中，领导带头讲学法、普法、用法治服务于我们工作的重要性和体会。</w:t>
      </w:r>
      <w:r>
        <w:rPr>
          <w:rFonts w:hint="eastAsia" w:ascii="仿宋_GB2312" w:hAnsi="仿宋_GB2312" w:eastAsia="仿宋_GB2312" w:cs="仿宋_GB2312"/>
          <w:b/>
          <w:bCs/>
          <w:sz w:val="32"/>
          <w:szCs w:val="32"/>
          <w:lang w:val="en-US" w:eastAsia="zh-CN"/>
        </w:rPr>
        <w:t>二是做好全社会的统计法律法规宣传。</w:t>
      </w:r>
      <w:r>
        <w:rPr>
          <w:rFonts w:hint="eastAsia" w:ascii="仿宋_GB2312" w:hAnsi="仿宋_GB2312" w:eastAsia="仿宋_GB2312" w:cs="仿宋_GB2312"/>
          <w:b w:val="0"/>
          <w:bCs w:val="0"/>
          <w:sz w:val="32"/>
          <w:szCs w:val="32"/>
          <w:lang w:val="en-US" w:eastAsia="zh-CN"/>
        </w:rPr>
        <w:t>利用</w:t>
      </w:r>
      <w:r>
        <w:rPr>
          <w:rFonts w:hint="eastAsia" w:ascii="仿宋_GB2312" w:hAnsi="仿宋_GB2312" w:eastAsia="仿宋_GB2312" w:cs="仿宋_GB2312"/>
          <w:sz w:val="32"/>
          <w:szCs w:val="32"/>
          <w:lang w:val="en-US" w:eastAsia="zh-CN"/>
        </w:rPr>
        <w:t>人普、经普、农普启动宣传活动，集中宣传《统计法》、《全国普查条例》，发放普查宣传单，致调查户的一封信等，参与人数达1000余人。结合“统计开放日”等活动，组织开展了以宣传《统计法》《统计法实施条例》为主要内容的主题宣传活动，通过悬挂横幅、摆放宣传展板、现场讲解、发放宣传纸杯、围裙、折页等形式，为广大群众生动形象地讲述了《统计法》、《统计法实施条例》的主要条款，及统计部门主要做什么等内容，让大家深刻了解统计工作作为政府职能部门所起的重要作用。结合年报表工作，对调查单位进行统计法规宣传。在年报和定报布置会上相关业务股、室、中心的同志们，结合统计执法执法检查中发现的问题情况，对前来开会的报表单位统计人员进行了《统计法》相关条款的重点宣讲。</w:t>
      </w:r>
    </w:p>
    <w:p w14:paraId="1A197E66">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（二）积极推进各项改革工作</w:t>
      </w:r>
    </w:p>
    <w:p w14:paraId="42A92EBE">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b/>
          <w:bCs/>
          <w:sz w:val="32"/>
          <w:szCs w:val="32"/>
          <w:lang w:val="en-US" w:eastAsia="zh-CN"/>
        </w:rPr>
        <w:t>一是推进“放管服”改革工作。</w:t>
      </w:r>
      <w:r>
        <w:rPr>
          <w:rFonts w:hint="eastAsia" w:ascii="仿宋_GB2312" w:hAnsi="仿宋_GB2312" w:eastAsia="仿宋_GB2312" w:cs="仿宋_GB2312"/>
          <w:sz w:val="32"/>
          <w:szCs w:val="32"/>
          <w:lang w:val="en-US" w:eastAsia="zh-CN"/>
        </w:rPr>
        <w:t>严格按照县政府要求对涉及我局的行政处罚项目行了清理规范。</w:t>
      </w:r>
      <w:r>
        <w:rPr>
          <w:rFonts w:hint="eastAsia" w:ascii="仿宋_GB2312" w:hAnsi="仿宋_GB2312" w:eastAsia="仿宋_GB2312" w:cs="仿宋_GB2312"/>
          <w:b/>
          <w:bCs/>
          <w:sz w:val="32"/>
          <w:szCs w:val="32"/>
          <w:lang w:val="en-US" w:eastAsia="zh-CN"/>
        </w:rPr>
        <w:t>二是实施“双随机一公开” 监管改革。</w:t>
      </w:r>
      <w:r>
        <w:rPr>
          <w:rFonts w:hint="eastAsia" w:ascii="仿宋_GB2312" w:hAnsi="仿宋_GB2312" w:eastAsia="仿宋_GB2312" w:cs="仿宋_GB2312"/>
          <w:sz w:val="32"/>
          <w:szCs w:val="32"/>
          <w:lang w:val="en-US" w:eastAsia="zh-CN"/>
        </w:rPr>
        <w:t>按照县政府要求，建立了随机抽查事项清单。建立了“双随机”抽查机制，完善了随机抽查事项市场主体名录库和随机抽查事项执法人员名录库。全年“双随机”检查单位共20个。</w:t>
      </w:r>
    </w:p>
    <w:p w14:paraId="457AF843">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（三）加强统计执法检查工作</w:t>
      </w:r>
    </w:p>
    <w:p w14:paraId="3D8AAC7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今年，县统计局在全县范围内开展了统计执法检查。不断加大统计执法检查力度，全面贯彻落实《统计法》、《统计法实施条例》。</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积极选派人员参加了省市统计局召开的执法骨干培训等。</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开展统计执法大检查。2021年全县统计执法检查共涉及全县2家企事业单位。在各单位自查的基础上，组织执法人员对重点抽取企业、事业等在内的单位开展现场统计执法检查工作。</w:t>
      </w:r>
    </w:p>
    <w:p w14:paraId="7D51379A">
      <w:pPr>
        <w:keepNext w:val="0"/>
        <w:keepLines w:val="0"/>
        <w:pageBreakBefore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2021年度推进法治政府建设存在的不足和原因</w:t>
      </w:r>
    </w:p>
    <w:p w14:paraId="08D745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华人民共和国统计法》颁布十多年来，它开创了我国统计有法可依的新局面，使统计工作开始走上法治的轨道，这促进我国统计改革和统计工作现代化建设，充分发挥统计在了解国情国力，指导国民经济和社会发展中具有极其重要的作用。尽管我县的统计普法、执法工作取得了长足的进步，但由于体制等因素的制约，还存在着一些问题。</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我县统计工作从人治走向法治，还仅仅是个开始。目前，在个体企业、私营企业中，由于统计法制建设工作跟不上，报忧不报喜，统计局数据瞒报的情况时有发生。</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由于部分领导对统计工作不够重视和统计人员的疏忽，一些部门、企事业单位的迟报、漏报、提供不真实或者不完整统计数据的现象仍有发生。</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统计执法工作开展不平衡，统计执法畏难情绪尚未根除。</w:t>
      </w:r>
    </w:p>
    <w:p w14:paraId="09BF28C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今后我局将进一步加大统计行政执法和统计普法宣传的力度，提高全社会对统计法律的认识。把“说实话、统实数、干实事”作为打造诚信统计的重要一环来抓，对迟报、拒报、伪造、篡改、提供不真实或者不完整统计资料的违法行为，依法严肃查处。</w:t>
      </w:r>
    </w:p>
    <w:p w14:paraId="549D12EB">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三、2021年度党政主要负责人履行法治建设第一责任人职责，加强法治政府建设的有关情况</w:t>
      </w:r>
    </w:p>
    <w:p w14:paraId="6AB2602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20" w:lineRule="exact"/>
        <w:ind w:firstLine="643" w:firstLineChars="200"/>
        <w:jc w:val="left"/>
        <w:textAlignment w:val="auto"/>
        <w:rPr>
          <w:rFonts w:hint="eastAsia" w:ascii="楷体_GB2312" w:hAnsi="楷体_GB2312" w:eastAsia="楷体_GB2312" w:cs="楷体_GB2312"/>
          <w:color w:val="000000" w:themeColor="text1"/>
          <w:kern w:val="0"/>
          <w:sz w:val="32"/>
          <w:szCs w:val="32"/>
          <w14:textFill>
            <w14:solidFill>
              <w14:schemeClr w14:val="tx1"/>
            </w14:solidFill>
          </w14:textFill>
        </w:rPr>
      </w:pPr>
      <w:r>
        <w:rPr>
          <w:rFonts w:hint="eastAsia" w:ascii="楷体_GB2312" w:hAnsi="楷体_GB2312" w:eastAsia="楷体_GB2312" w:cs="楷体_GB2312"/>
          <w:b/>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
          <w:bCs/>
          <w:color w:val="000000" w:themeColor="text1"/>
          <w:kern w:val="0"/>
          <w:sz w:val="32"/>
          <w:szCs w:val="32"/>
          <w:lang w:val="en-US" w:eastAsia="zh-CN"/>
          <w14:textFill>
            <w14:solidFill>
              <w14:schemeClr w14:val="tx1"/>
            </w14:solidFill>
          </w14:textFill>
        </w:rPr>
        <w:t>一</w:t>
      </w:r>
      <w:r>
        <w:rPr>
          <w:rFonts w:hint="eastAsia" w:ascii="楷体_GB2312" w:hAnsi="楷体_GB2312" w:eastAsia="楷体_GB2312" w:cs="楷体_GB2312"/>
          <w:b/>
          <w:bCs/>
          <w:color w:val="000000" w:themeColor="text1"/>
          <w:kern w:val="0"/>
          <w:sz w:val="32"/>
          <w:szCs w:val="32"/>
          <w:lang w:eastAsia="zh-CN"/>
          <w14:textFill>
            <w14:solidFill>
              <w14:schemeClr w14:val="tx1"/>
            </w14:solidFill>
          </w14:textFill>
        </w:rPr>
        <w:t>）全面落实主体责任，</w:t>
      </w:r>
      <w:r>
        <w:rPr>
          <w:rFonts w:hint="eastAsia" w:ascii="楷体_GB2312" w:hAnsi="楷体_GB2312" w:eastAsia="楷体_GB2312" w:cs="楷体_GB2312"/>
          <w:b/>
          <w:bCs/>
          <w:color w:val="000000" w:themeColor="text1"/>
          <w:kern w:val="0"/>
          <w:sz w:val="32"/>
          <w:szCs w:val="32"/>
          <w:lang w:val="en-US" w:eastAsia="zh-CN"/>
          <w14:textFill>
            <w14:solidFill>
              <w14:schemeClr w14:val="tx1"/>
            </w14:solidFill>
          </w14:textFill>
        </w:rPr>
        <w:t>履行法治职责</w:t>
      </w:r>
      <w:r>
        <w:rPr>
          <w:rFonts w:hint="eastAsia" w:ascii="楷体_GB2312" w:hAnsi="楷体_GB2312" w:eastAsia="楷体_GB2312" w:cs="楷体_GB2312"/>
          <w:b/>
          <w:bCs/>
          <w:color w:val="000000" w:themeColor="text1"/>
          <w:kern w:val="0"/>
          <w:sz w:val="32"/>
          <w:szCs w:val="32"/>
          <w:lang w:eastAsia="zh-CN"/>
          <w14:textFill>
            <w14:solidFill>
              <w14:schemeClr w14:val="tx1"/>
            </w14:solidFill>
          </w14:textFill>
        </w:rPr>
        <w:t>。</w:t>
      </w:r>
    </w:p>
    <w:p w14:paraId="04169CC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20" w:lineRule="exact"/>
        <w:ind w:firstLine="643" w:firstLineChars="200"/>
        <w:jc w:val="left"/>
        <w:textAlignment w:val="auto"/>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en-US" w:eastAsia="zh-CN"/>
          <w14:textFill>
            <w14:solidFill>
              <w14:schemeClr w14:val="tx1"/>
            </w14:solidFill>
          </w14:textFill>
        </w:rPr>
        <w:t>一是</w:t>
      </w:r>
      <w:r>
        <w:rPr>
          <w:rFonts w:hint="eastAsia" w:ascii="仿宋_GB2312" w:hAnsi="仿宋_GB2312" w:eastAsia="仿宋_GB2312" w:cs="仿宋_GB2312"/>
          <w:b/>
          <w:bCs/>
          <w:color w:val="000000" w:themeColor="text1"/>
          <w:kern w:val="0"/>
          <w:sz w:val="32"/>
          <w:szCs w:val="32"/>
          <w14:textFill>
            <w14:solidFill>
              <w14:schemeClr w14:val="tx1"/>
            </w14:solidFill>
          </w14:textFill>
        </w:rPr>
        <w:t>履行推进法治建设第一责任人</w:t>
      </w:r>
      <w:r>
        <w:rPr>
          <w:rFonts w:hint="eastAsia" w:ascii="仿宋_GB2312" w:hAnsi="仿宋_GB2312" w:eastAsia="仿宋_GB2312" w:cs="仿宋_GB2312"/>
          <w:b/>
          <w:bCs/>
          <w:color w:val="000000" w:themeColor="text1"/>
          <w:kern w:val="0"/>
          <w:sz w:val="32"/>
          <w:szCs w:val="32"/>
          <w:lang w:val="en-US" w:eastAsia="zh-CN"/>
          <w14:textFill>
            <w14:solidFill>
              <w14:schemeClr w14:val="tx1"/>
            </w14:solidFill>
          </w14:textFill>
        </w:rPr>
        <w:t>职责。</w:t>
      </w:r>
      <w:r>
        <w:rPr>
          <w:rFonts w:hint="eastAsia" w:ascii="仿宋_GB2312" w:hAnsi="仿宋_GB2312" w:eastAsia="仿宋_GB2312" w:cs="仿宋_GB2312"/>
          <w:color w:val="000000" w:themeColor="text1"/>
          <w:kern w:val="0"/>
          <w:sz w:val="32"/>
          <w:szCs w:val="32"/>
          <w14:textFill>
            <w14:solidFill>
              <w14:schemeClr w14:val="tx1"/>
            </w14:solidFill>
          </w14:textFill>
        </w:rPr>
        <w:t>“四个亲自”(对法治建设重要工作亲自部署、重大问题亲自过问、重点环节亲自协调、重要任务亲自督办)“五个同”(同部署、同推进、同督促、同考评、同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奖惩</w:t>
      </w:r>
      <w:r>
        <w:rPr>
          <w:rFonts w:hint="eastAsia" w:ascii="仿宋_GB2312" w:hAnsi="仿宋_GB2312" w:eastAsia="仿宋_GB2312" w:cs="仿宋_GB2312"/>
          <w:color w:val="000000" w:themeColor="text1"/>
          <w:kern w:val="0"/>
          <w:sz w:val="32"/>
          <w:szCs w:val="32"/>
          <w14:textFill>
            <w14:solidFill>
              <w14:schemeClr w14:val="tx1"/>
            </w14:solidFill>
          </w14:textFill>
        </w:rPr>
        <w:t>)“三个推动”(推动法治创新、推动难题破解</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推动落实</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职责。</w:t>
      </w:r>
      <w:r>
        <w:rPr>
          <w:rFonts w:hint="eastAsia" w:ascii="仿宋_GB2312" w:hAnsi="仿宋_GB2312" w:eastAsia="仿宋_GB2312" w:cs="仿宋_GB2312"/>
          <w:b/>
          <w:bCs/>
          <w:color w:val="000000" w:themeColor="text1"/>
          <w:kern w:val="0"/>
          <w:sz w:val="32"/>
          <w:szCs w:val="32"/>
          <w:lang w:val="en-US" w:eastAsia="zh-CN"/>
          <w14:textFill>
            <w14:solidFill>
              <w14:schemeClr w14:val="tx1"/>
            </w14:solidFill>
          </w14:textFill>
        </w:rPr>
        <w:t>二是</w:t>
      </w:r>
      <w:r>
        <w:rPr>
          <w:rFonts w:hint="eastAsia" w:ascii="仿宋_GB2312" w:hAnsi="仿宋_GB2312" w:eastAsia="仿宋_GB2312" w:cs="仿宋_GB2312"/>
          <w:b/>
          <w:bCs/>
          <w:color w:val="000000" w:themeColor="text1"/>
          <w:kern w:val="0"/>
          <w:sz w:val="32"/>
          <w:szCs w:val="32"/>
          <w14:textFill>
            <w14:solidFill>
              <w14:schemeClr w14:val="tx1"/>
            </w14:solidFill>
          </w14:textFill>
        </w:rPr>
        <w:t>严格执行规章制度</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坚决执行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中国共产党廉法自律准则》</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中国共产党纪律处分</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条例》</w:t>
      </w:r>
      <w:r>
        <w:rPr>
          <w:rFonts w:hint="eastAsia" w:ascii="仿宋_GB2312" w:hAnsi="仿宋_GB2312" w:eastAsia="仿宋_GB2312" w:cs="仿宋_GB2312"/>
          <w:color w:val="000000" w:themeColor="text1"/>
          <w:kern w:val="0"/>
          <w:sz w:val="32"/>
          <w:szCs w:val="32"/>
          <w14:textFill>
            <w14:solidFill>
              <w14:schemeClr w14:val="tx1"/>
            </w14:solidFill>
          </w14:textFill>
        </w:rPr>
        <w:t>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中国共产党党内监督条例(试行)》，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深入落实管党治党政治责任，带头遵守党纪国法，严守政治纪律和政治规矩，切实增强政治意识、大局意识、核心意识、看齐意识。</w:t>
      </w:r>
      <w:r>
        <w:rPr>
          <w:rFonts w:hint="eastAsia" w:ascii="仿宋_GB2312" w:hAnsi="仿宋_GB2312" w:eastAsia="仿宋_GB2312" w:cs="仿宋_GB2312"/>
          <w:b/>
          <w:bCs/>
          <w:color w:val="000000" w:themeColor="text1"/>
          <w:kern w:val="0"/>
          <w:sz w:val="32"/>
          <w:szCs w:val="32"/>
          <w:lang w:val="en-US" w:eastAsia="zh-CN"/>
          <w14:textFill>
            <w14:solidFill>
              <w14:schemeClr w14:val="tx1"/>
            </w14:solidFill>
          </w14:textFill>
        </w:rPr>
        <w:t>三是</w:t>
      </w:r>
      <w:r>
        <w:rPr>
          <w:rFonts w:hint="eastAsia" w:ascii="仿宋_GB2312" w:hAnsi="仿宋_GB2312" w:eastAsia="仿宋_GB2312" w:cs="仿宋_GB2312"/>
          <w:b/>
          <w:bCs/>
          <w:color w:val="000000" w:themeColor="text1"/>
          <w:kern w:val="0"/>
          <w:sz w:val="32"/>
          <w:szCs w:val="32"/>
          <w:lang w:eastAsia="zh-CN"/>
          <w14:textFill>
            <w14:solidFill>
              <w14:schemeClr w14:val="tx1"/>
            </w14:solidFill>
          </w14:textFill>
        </w:rPr>
        <w:t>建立健全推进机制。</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全面加强依法治理日常推进体系建设，构建由我带头抓、班子成员共同抓、办公室主任具体抓的工作格局。明确了单位推进依法治县工作计划，并定期召开会议研究部署工作。另外落实法治工作绩效考评制度，结合干部年度考核工作，完善考核体系，健全日常工作动态考评、月考核督查通报等制度，推动依法治理工作全面覆盖、深入开展。</w:t>
      </w:r>
    </w:p>
    <w:p w14:paraId="4EF4AC1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20" w:lineRule="exact"/>
        <w:ind w:firstLine="643" w:firstLineChars="200"/>
        <w:jc w:val="left"/>
        <w:textAlignment w:val="auto"/>
        <w:rPr>
          <w:rFonts w:hint="eastAsia" w:ascii="楷体_GB2312" w:hAnsi="楷体_GB2312" w:eastAsia="楷体_GB2312" w:cs="楷体_GB2312"/>
          <w:b/>
          <w:bCs/>
          <w:color w:val="000000" w:themeColor="text1"/>
          <w:ker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kern w:val="0"/>
          <w:sz w:val="32"/>
          <w:szCs w:val="32"/>
          <w:lang w:val="en-US" w:eastAsia="zh-CN"/>
          <w14:textFill>
            <w14:solidFill>
              <w14:schemeClr w14:val="tx1"/>
            </w14:solidFill>
          </w14:textFill>
        </w:rPr>
        <w:t>（二）坚持依法行政，树立法治思维。</w:t>
      </w:r>
    </w:p>
    <w:p w14:paraId="49E9F694">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时刻牢固树立遵纪守法康洁从政思想意识，正确行使手中的权利，堂堂正做人，清清白白从政，踏踏实实做事。</w:t>
      </w:r>
      <w:r>
        <w:rPr>
          <w:rFonts w:hint="eastAsia" w:ascii="仿宋_GB2312" w:hAnsi="仿宋_GB2312" w:eastAsia="仿宋_GB2312" w:cs="仿宋_GB2312"/>
          <w:b/>
          <w:bCs/>
          <w:kern w:val="0"/>
          <w:sz w:val="32"/>
          <w:szCs w:val="32"/>
          <w:lang w:val="en-US" w:eastAsia="zh-CN" w:bidi="ar"/>
        </w:rPr>
        <w:t>一是依法民主抉择。</w:t>
      </w:r>
      <w:r>
        <w:rPr>
          <w:rFonts w:hint="eastAsia" w:ascii="仿宋_GB2312" w:hAnsi="仿宋_GB2312" w:eastAsia="仿宋_GB2312" w:cs="仿宋_GB2312"/>
          <w:b w:val="0"/>
          <w:bCs w:val="0"/>
          <w:kern w:val="0"/>
          <w:sz w:val="32"/>
          <w:szCs w:val="32"/>
          <w:lang w:val="en-US" w:eastAsia="zh-CN" w:bidi="ar"/>
        </w:rPr>
        <w:t>按照《金川县重大行政决策规范》将公众参与、专家论证、风险评估、合法性审查和集体讨论决定作为重大行政决策的</w:t>
      </w:r>
      <w:r>
        <w:rPr>
          <w:rFonts w:hint="eastAsia" w:ascii="仿宋_GB2312" w:hAnsi="仿宋_GB2312" w:eastAsia="仿宋_GB2312" w:cs="仿宋_GB2312"/>
          <w:kern w:val="0"/>
          <w:sz w:val="32"/>
          <w:szCs w:val="32"/>
          <w:lang w:val="en-US" w:eastAsia="zh-CN" w:bidi="ar"/>
        </w:rPr>
        <w:t>必经程序，确保决策过程科学民主。健全专家咨询制度，坚持重大改革措施须经合法性审查和风险评估后方可实施。健全法律顾问制度，确保法律顾问在制定重大政策、推进依法行政中发挥积极作用。建立重大行政决策责任追究及责任倒查机制，按照“谁决策、谁负责”的原则，实现决策和责任相统一。</w:t>
      </w:r>
      <w:r>
        <w:rPr>
          <w:rFonts w:hint="eastAsia" w:ascii="仿宋_GB2312" w:hAnsi="仿宋_GB2312" w:eastAsia="仿宋_GB2312" w:cs="仿宋_GB2312"/>
          <w:b/>
          <w:bCs/>
          <w:kern w:val="0"/>
          <w:sz w:val="32"/>
          <w:szCs w:val="32"/>
          <w:lang w:val="en-US" w:eastAsia="zh-CN" w:bidi="ar"/>
        </w:rPr>
        <w:t>二是落实政务信息公开。</w:t>
      </w:r>
      <w:r>
        <w:rPr>
          <w:rFonts w:hint="eastAsia" w:ascii="仿宋_GB2312" w:hAnsi="仿宋_GB2312" w:eastAsia="仿宋_GB2312" w:cs="仿宋_GB2312"/>
          <w:b w:val="0"/>
          <w:bCs w:val="0"/>
          <w:kern w:val="0"/>
          <w:sz w:val="32"/>
          <w:szCs w:val="32"/>
          <w:lang w:val="en-US" w:eastAsia="zh-CN" w:bidi="ar"/>
        </w:rPr>
        <w:t>按照以“公开为常态、不公开为例外”原则，实现决策公开、执行</w:t>
      </w:r>
      <w:r>
        <w:rPr>
          <w:rFonts w:hint="eastAsia" w:ascii="仿宋_GB2312" w:hAnsi="仿宋_GB2312" w:eastAsia="仿宋_GB2312" w:cs="仿宋_GB2312"/>
          <w:kern w:val="0"/>
          <w:sz w:val="32"/>
          <w:szCs w:val="32"/>
          <w:lang w:val="en-US" w:eastAsia="zh-CN" w:bidi="ar"/>
        </w:rPr>
        <w:t>公开、管理公开、服务公开、结果公开。及时公开我局政务信息，同时积极探索在微博、微信等新媒体积极推进政务信息公开新方法。</w:t>
      </w:r>
    </w:p>
    <w:p w14:paraId="02CFB734">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四、下一年度推进法治政府建设的主要安排</w:t>
      </w:r>
    </w:p>
    <w:p w14:paraId="7F427F15">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(一)开展法律法规宣传。</w:t>
      </w:r>
      <w:r>
        <w:rPr>
          <w:rFonts w:hint="eastAsia" w:ascii="仿宋_GB2312" w:hAnsi="仿宋_GB2312" w:eastAsia="仿宋_GB2312" w:cs="仿宋_GB2312"/>
          <w:sz w:val="32"/>
          <w:szCs w:val="32"/>
          <w:lang w:val="en-US" w:eastAsia="zh-CN"/>
        </w:rPr>
        <w:t>我们将按照上级部门的安排部署，全面贯彻落实国务院颁布的《统计法实施条例》在内的各项统计法律法规。利用业务培训会、统计开放日、统计法颁布日等时机，加强统计普法宣传。</w:t>
      </w:r>
    </w:p>
    <w:p w14:paraId="20117708">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（二）加强执法，确保统计数据质量。</w:t>
      </w:r>
      <w:r>
        <w:rPr>
          <w:rFonts w:hint="eastAsia" w:ascii="仿宋_GB2312" w:hAnsi="仿宋_GB2312" w:eastAsia="仿宋_GB2312" w:cs="仿宋_GB2312"/>
          <w:sz w:val="32"/>
          <w:szCs w:val="32"/>
          <w:lang w:val="en-US" w:eastAsia="zh-CN"/>
        </w:rPr>
        <w:t>综合运用数据核查、统计巡查、执法检查，纠正数据上报中的偏差，查处统计工作中的违法行为，用三查方式，正本清源，提高统计数据质量。</w:t>
      </w:r>
    </w:p>
    <w:p w14:paraId="7CC84DB4">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（三）进一步加强执法队伍建设。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开设统计法治课堂，组织执法队员学法，聘请法律顾问讲法，与兄弟单位交流法治工作经验。</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坚持法律知识考试制度，考试内容不仅仅局限于统计法规，还要涵盖与统计执法与案件查处相关的其他实体法和程序法，使执法人员更加知识化、专业化。</w:t>
      </w:r>
    </w:p>
    <w:p w14:paraId="40CB3CC0">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p>
    <w:p w14:paraId="55B4DA70">
      <w:pPr>
        <w:keepNext w:val="0"/>
        <w:keepLines w:val="0"/>
        <w:pageBreakBefore w:val="0"/>
        <w:kinsoku/>
        <w:wordWrap/>
        <w:overflowPunct/>
        <w:topLinePunct w:val="0"/>
        <w:autoSpaceDE/>
        <w:autoSpaceDN/>
        <w:bidi w:val="0"/>
        <w:adjustRightInd/>
        <w:snapToGrid/>
        <w:spacing w:line="520" w:lineRule="exact"/>
        <w:textAlignment w:val="auto"/>
        <w:rPr>
          <w:rFonts w:hint="eastAsia"/>
          <w:lang w:val="en-US" w:eastAsia="zh-CN"/>
        </w:rPr>
      </w:pPr>
    </w:p>
    <w:p w14:paraId="6A17AC4F">
      <w:pPr>
        <w:keepNext w:val="0"/>
        <w:keepLines w:val="0"/>
        <w:pageBreakBefore w:val="0"/>
        <w:kinsoku/>
        <w:wordWrap/>
        <w:overflowPunct/>
        <w:topLinePunct w:val="0"/>
        <w:autoSpaceDE/>
        <w:autoSpaceDN/>
        <w:bidi w:val="0"/>
        <w:adjustRightInd/>
        <w:snapToGrid/>
        <w:spacing w:line="520" w:lineRule="exact"/>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金川县统计局</w:t>
      </w:r>
    </w:p>
    <w:p w14:paraId="29C8F4A9">
      <w:pPr>
        <w:keepNext w:val="0"/>
        <w:keepLines w:val="0"/>
        <w:pageBreakBefore w:val="0"/>
        <w:kinsoku/>
        <w:wordWrap/>
        <w:overflowPunct/>
        <w:topLinePunct w:val="0"/>
        <w:autoSpaceDE/>
        <w:autoSpaceDN/>
        <w:bidi w:val="0"/>
        <w:adjustRightInd/>
        <w:snapToGrid/>
        <w:spacing w:line="520" w:lineRule="exact"/>
        <w:ind w:firstLine="5440" w:firstLineChars="1700"/>
        <w:textAlignment w:val="auto"/>
        <w:rPr>
          <w:rFonts w:hint="eastAsia"/>
          <w:lang w:val="en-US" w:eastAsia="zh-CN"/>
        </w:rPr>
      </w:pPr>
      <w:r>
        <w:rPr>
          <w:rFonts w:hint="eastAsia" w:ascii="仿宋_GB2312" w:hAnsi="仿宋_GB2312" w:eastAsia="仿宋_GB2312" w:cs="仿宋_GB2312"/>
          <w:sz w:val="32"/>
          <w:szCs w:val="32"/>
          <w:lang w:val="en-US" w:eastAsia="zh-CN"/>
        </w:rPr>
        <w:t xml:space="preserve"> 2022年2月21日</w:t>
      </w:r>
    </w:p>
    <w:p w14:paraId="25F6149E">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lang w:val="en-US" w:eastAsia="zh-CN"/>
        </w:rPr>
      </w:pPr>
    </w:p>
    <w:p w14:paraId="39BB2B97">
      <w:pPr>
        <w:rPr>
          <w:rFonts w:hint="eastAsia"/>
          <w:lang w:val="en-US" w:eastAsia="zh-CN"/>
        </w:rPr>
      </w:pPr>
    </w:p>
    <w:p w14:paraId="7F028498">
      <w:pPr>
        <w:pStyle w:val="2"/>
        <w:rPr>
          <w:rFonts w:hint="eastAsia"/>
          <w:lang w:val="en-US" w:eastAsia="zh-CN"/>
        </w:rPr>
      </w:pPr>
    </w:p>
    <w:p w14:paraId="2D68BD58">
      <w:pPr>
        <w:rPr>
          <w:rFonts w:hint="eastAsia"/>
          <w:lang w:val="en-US" w:eastAsia="zh-CN"/>
        </w:rPr>
      </w:pPr>
    </w:p>
    <w:p w14:paraId="56DE6727">
      <w:pPr>
        <w:pStyle w:val="2"/>
        <w:rPr>
          <w:rFonts w:hint="eastAsia"/>
          <w:lang w:val="en-US" w:eastAsia="zh-CN"/>
        </w:rPr>
      </w:pPr>
    </w:p>
    <w:p w14:paraId="1454068B">
      <w:pPr>
        <w:rPr>
          <w:rFonts w:hint="eastAsia"/>
          <w:lang w:val="en-US" w:eastAsia="zh-CN"/>
        </w:rPr>
      </w:pPr>
    </w:p>
    <w:p w14:paraId="1DDB0EF4">
      <w:pPr>
        <w:pStyle w:val="2"/>
        <w:rPr>
          <w:rFonts w:hint="eastAsia"/>
          <w:lang w:val="en-US" w:eastAsia="zh-CN"/>
        </w:rPr>
      </w:pPr>
    </w:p>
    <w:p w14:paraId="04D0243C">
      <w:pPr>
        <w:keepNext w:val="0"/>
        <w:keepLines w:val="0"/>
        <w:pageBreakBefore w:val="0"/>
        <w:pBdr>
          <w:top w:val="single" w:color="auto" w:sz="4" w:space="0"/>
          <w:bottom w:val="single" w:color="auto" w:sz="4" w:space="0"/>
        </w:pBd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抄送</w:t>
      </w:r>
      <w:r>
        <w:rPr>
          <w:rFonts w:hint="eastAsia" w:ascii="仿宋_GB2312" w:hAnsi="仿宋_GB2312" w:eastAsia="仿宋_GB2312" w:cs="仿宋_GB2312"/>
          <w:sz w:val="32"/>
          <w:szCs w:val="32"/>
          <w:lang w:eastAsia="zh-CN"/>
        </w:rPr>
        <w:t>：金川县司法局</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14:paraId="10BF8417">
      <w:pPr>
        <w:keepNext w:val="0"/>
        <w:keepLines w:val="0"/>
        <w:pageBreakBefore w:val="0"/>
        <w:pBdr>
          <w:bottom w:val="single" w:color="auto" w:sz="4" w:space="0"/>
        </w:pBd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金川县统计局办公室                  2022年2月21日印发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97539">
    <w:pPr>
      <w:pStyle w:val="3"/>
    </w:pPr>
  </w:p>
  <w:p w14:paraId="05B5C5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AB8342">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AB8342">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B61D97"/>
    <w:multiLevelType w:val="singleLevel"/>
    <w:tmpl w:val="2CB61D9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D361E"/>
    <w:rsid w:val="004F64CF"/>
    <w:rsid w:val="16456BC6"/>
    <w:rsid w:val="1C511D32"/>
    <w:rsid w:val="206C2B2F"/>
    <w:rsid w:val="2484041E"/>
    <w:rsid w:val="2A9860FD"/>
    <w:rsid w:val="2EEA6295"/>
    <w:rsid w:val="2F960F05"/>
    <w:rsid w:val="361E188F"/>
    <w:rsid w:val="38995FBA"/>
    <w:rsid w:val="3A5D695F"/>
    <w:rsid w:val="41F93887"/>
    <w:rsid w:val="41FD361E"/>
    <w:rsid w:val="479A6182"/>
    <w:rsid w:val="4C4E3C96"/>
    <w:rsid w:val="4CC4672E"/>
    <w:rsid w:val="540E3B7C"/>
    <w:rsid w:val="564B0F51"/>
    <w:rsid w:val="581B4688"/>
    <w:rsid w:val="65352161"/>
    <w:rsid w:val="66E70FAF"/>
    <w:rsid w:val="69020A11"/>
    <w:rsid w:val="6D386416"/>
    <w:rsid w:val="73CB617F"/>
    <w:rsid w:val="75CD5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1674</Words>
  <Characters>1702</Characters>
  <Lines>0</Lines>
  <Paragraphs>0</Paragraphs>
  <TotalTime>49</TotalTime>
  <ScaleCrop>false</ScaleCrop>
  <LinksUpToDate>false</LinksUpToDate>
  <CharactersWithSpaces>1722</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2020-04-15T01:59:00Z</dcterms:created>
  <dc:creator>Administrator</dc:creator>
  <cp:lastModifiedBy>盐星星</cp:lastModifiedBy>
  <cp:lastPrinted>2022-02-22T01:52:00Z</cp:lastPrinted>
  <dcterms:modified xsi:type="dcterms:W3CDTF">2026-07-22T08:17:49Z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323A21D6D99C42D3BE8D3012537313B8</vt:lpwstr>
  </property>
  <property fmtid="{D5CDD505-2E9C-101B-9397-08002B2CF9AE}" pid="4" name="KSOTemplateDocerSaveRecord">
    <vt:lpwstr>eyJoZGlkIjoiNzkyYzRhOGNmZjI2NTRmMmU4ZjYwMzM3MDcwMmEzMWYiLCJ1c2VySWQiOiIxMDYwOTQ0NDM1In0=</vt:lpwstr>
  </property>
</Properties>
</file>