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E55133">
      <w:pPr>
        <w:jc w:val="center"/>
        <w:rPr>
          <w:rFonts w:ascii="方正小标宋简体" w:hAnsi="Calibri" w:eastAsia="方正小标宋简体" w:cs="Times New Roman"/>
          <w:sz w:val="44"/>
          <w:szCs w:val="44"/>
        </w:rPr>
      </w:pPr>
      <w:bookmarkStart w:id="0" w:name="_GoBack"/>
      <w:bookmarkEnd w:id="0"/>
      <w:r>
        <w:rPr>
          <w:rFonts w:ascii="TIBETHT" w:hAnsi="TIBETHT" w:eastAsia="TIBETHT" w:cs="Times New Roman"/>
          <w:color w:val="FF0000"/>
          <w:sz w:val="24"/>
        </w:rPr>
        <w:drawing>
          <wp:inline distT="0" distB="0" distL="0" distR="0">
            <wp:extent cx="5380990" cy="2008505"/>
            <wp:effectExtent l="19050" t="0" r="0" b="0"/>
            <wp:docPr id="13" name="图片 1" descr="金川县局红头文件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金川县局红头文件 拷贝"/>
                    <pic:cNvPicPr>
                      <a:picLocks noChangeAspect="1" noChangeArrowheads="1"/>
                    </pic:cNvPicPr>
                  </pic:nvPicPr>
                  <pic:blipFill>
                    <a:blip r:embed="rId4"/>
                    <a:srcRect/>
                    <a:stretch>
                      <a:fillRect/>
                    </a:stretch>
                  </pic:blipFill>
                  <pic:spPr>
                    <a:xfrm>
                      <a:off x="0" y="0"/>
                      <a:ext cx="5383877" cy="2009775"/>
                    </a:xfrm>
                    <a:prstGeom prst="rect">
                      <a:avLst/>
                    </a:prstGeom>
                    <a:noFill/>
                    <a:ln w="9525">
                      <a:noFill/>
                      <a:miter lim="800000"/>
                      <a:headEnd/>
                      <a:tailEnd/>
                    </a:ln>
                  </pic:spPr>
                </pic:pic>
              </a:graphicData>
            </a:graphic>
          </wp:inline>
        </w:drawing>
      </w:r>
    </w:p>
    <w:p w14:paraId="352954D1">
      <w:pPr>
        <w:spacing w:line="500" w:lineRule="exact"/>
        <w:ind w:firstLine="160" w:firstLineChars="50"/>
        <w:jc w:val="center"/>
        <w:rPr>
          <w:rFonts w:ascii="仿宋_GB2312" w:hAnsi="Calibri" w:eastAsia="仿宋_GB2312" w:cs="Times New Roman"/>
          <w:sz w:val="32"/>
          <w:szCs w:val="32"/>
        </w:rPr>
      </w:pPr>
      <w:r>
        <w:rPr>
          <w:rFonts w:hint="eastAsia" w:ascii="仿宋_GB2312" w:hAnsi="Century Gothic" w:eastAsia="仿宋_GB2312" w:cs="Times New Roman"/>
          <w:color w:val="000000"/>
          <w:sz w:val="32"/>
        </w:rPr>
        <w:t>金税发〔2022〕1号</w:t>
      </w:r>
    </w:p>
    <w:p w14:paraId="537D8B98">
      <w:pPr>
        <w:tabs>
          <w:tab w:val="left" w:pos="740"/>
          <w:tab w:val="left" w:pos="888"/>
          <w:tab w:val="left" w:pos="1184"/>
          <w:tab w:val="left" w:pos="1776"/>
          <w:tab w:val="left" w:pos="2516"/>
          <w:tab w:val="left" w:pos="2664"/>
          <w:tab w:val="left" w:pos="3552"/>
          <w:tab w:val="left" w:pos="3996"/>
          <w:tab w:val="left" w:pos="4884"/>
          <w:tab w:val="left" w:pos="5772"/>
          <w:tab w:val="left" w:pos="7104"/>
          <w:tab w:val="left" w:pos="7696"/>
          <w:tab w:val="left" w:pos="7992"/>
          <w:tab w:val="left" w:pos="8436"/>
        </w:tabs>
        <w:spacing w:line="160" w:lineRule="exact"/>
        <w:ind w:right="23"/>
        <w:jc w:val="center"/>
        <w:rPr>
          <w:rFonts w:ascii="方正小标宋简体" w:hAnsi="Calibri" w:eastAsia="方正小标宋简体" w:cs="Times New Roman"/>
          <w:sz w:val="44"/>
          <w:szCs w:val="44"/>
        </w:rPr>
      </w:pPr>
      <w:r>
        <w:rPr>
          <w:rFonts w:ascii="Calibri" w:hAnsi="Calibri" w:eastAsia="宋体" w:cs="Times New Roman"/>
        </w:rPr>
        <w:pict>
          <v:line id="直线 2" o:spid="_x0000_s2051" o:spt="20" style="position:absolute;left:0pt;margin-left:-5.1pt;margin-top:3.2pt;height:0pt;width:441pt;z-index:251659264;mso-width-relative:page;mso-height-relative:page;" stroked="t" coordsize="21600,21600" o:allowincell="f">
            <v:path arrowok="t"/>
            <v:fill focussize="0,0"/>
            <v:stroke weight="2.25pt" color="#FF0000"/>
            <v:imagedata o:title=""/>
            <o:lock v:ext="edit"/>
          </v:line>
        </w:pict>
      </w:r>
    </w:p>
    <w:p w14:paraId="1B5DE959">
      <w:pPr>
        <w:spacing w:line="480" w:lineRule="exact"/>
        <w:jc w:val="center"/>
        <w:rPr>
          <w:rFonts w:ascii="方正小标宋简体" w:eastAsia="方正小标宋简体"/>
          <w:sz w:val="44"/>
          <w:szCs w:val="44"/>
        </w:rPr>
      </w:pPr>
    </w:p>
    <w:p w14:paraId="6AEC6B2E">
      <w:pPr>
        <w:spacing w:line="480" w:lineRule="exact"/>
        <w:jc w:val="center"/>
        <w:rPr>
          <w:rFonts w:ascii="方正小标宋简体" w:eastAsia="方正小标宋简体"/>
          <w:sz w:val="44"/>
          <w:szCs w:val="44"/>
        </w:rPr>
      </w:pPr>
      <w:r>
        <w:rPr>
          <w:rFonts w:hint="eastAsia" w:ascii="方正小标宋简体" w:eastAsia="方正小标宋简体"/>
          <w:sz w:val="44"/>
          <w:szCs w:val="44"/>
        </w:rPr>
        <w:t>国家税务总局金川县税务局</w:t>
      </w:r>
    </w:p>
    <w:p w14:paraId="5831CACD">
      <w:pPr>
        <w:spacing w:line="480" w:lineRule="exact"/>
        <w:jc w:val="center"/>
        <w:rPr>
          <w:rFonts w:ascii="方正小标宋简体" w:eastAsia="方正小标宋简体"/>
          <w:sz w:val="44"/>
          <w:szCs w:val="44"/>
        </w:rPr>
      </w:pPr>
      <w:r>
        <w:rPr>
          <w:rFonts w:hint="eastAsia" w:ascii="方正小标宋简体" w:eastAsia="方正小标宋简体"/>
          <w:sz w:val="44"/>
          <w:szCs w:val="44"/>
        </w:rPr>
        <w:t>关于2021年度法治政府建设</w:t>
      </w:r>
    </w:p>
    <w:p w14:paraId="0201A503">
      <w:pPr>
        <w:spacing w:line="480" w:lineRule="exact"/>
        <w:jc w:val="center"/>
        <w:rPr>
          <w:rFonts w:ascii="方正小标宋简体" w:eastAsia="方正小标宋简体"/>
          <w:sz w:val="44"/>
          <w:szCs w:val="44"/>
        </w:rPr>
      </w:pPr>
      <w:r>
        <w:rPr>
          <w:rFonts w:hint="eastAsia" w:ascii="方正小标宋简体" w:eastAsia="方正小标宋简体"/>
          <w:sz w:val="44"/>
          <w:szCs w:val="44"/>
        </w:rPr>
        <w:t>工作情况的报告</w:t>
      </w:r>
    </w:p>
    <w:p w14:paraId="6B452D5A">
      <w:pPr>
        <w:rPr>
          <w:rFonts w:ascii="仿宋" w:hAnsi="仿宋" w:eastAsia="仿宋" w:cs="Times New Roman"/>
          <w:kern w:val="0"/>
          <w:sz w:val="32"/>
          <w:szCs w:val="32"/>
        </w:rPr>
      </w:pPr>
      <w:r>
        <w:rPr>
          <w:rFonts w:hint="eastAsia" w:ascii="仿宋" w:hAnsi="仿宋" w:eastAsia="仿宋" w:cs="Times New Roman"/>
          <w:kern w:val="0"/>
          <w:sz w:val="32"/>
          <w:szCs w:val="32"/>
        </w:rPr>
        <w:t>金川县人民政府：</w:t>
      </w:r>
    </w:p>
    <w:p w14:paraId="7C83F381">
      <w:pPr>
        <w:rPr>
          <w:rFonts w:ascii="仿宋" w:hAnsi="仿宋" w:eastAsia="仿宋" w:cs="Times New Roman"/>
          <w:kern w:val="0"/>
          <w:sz w:val="32"/>
          <w:szCs w:val="32"/>
        </w:rPr>
      </w:pPr>
      <w:r>
        <w:rPr>
          <w:rFonts w:hint="eastAsia" w:ascii="仿宋" w:hAnsi="仿宋" w:eastAsia="仿宋" w:cs="Times New Roman"/>
          <w:kern w:val="0"/>
          <w:sz w:val="32"/>
          <w:szCs w:val="32"/>
        </w:rPr>
        <w:t xml:space="preserve">    按照国务院办公厅《法治政府建设与责任落实督查工作规定》及《金川县法治政府建设工作领导小组办公室关于报送2021年度法治政府建设情况的通知》要求，现将县局2021年度法治政府建设情况报告如下：</w:t>
      </w:r>
    </w:p>
    <w:p w14:paraId="51BD94B0">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一、2021年度推进法治政府建设的主要举措和成效</w:t>
      </w:r>
    </w:p>
    <w:p w14:paraId="2B6E9D0D">
      <w:pPr>
        <w:ind w:firstLine="555"/>
        <w:rPr>
          <w:rFonts w:ascii="仿宋" w:hAnsi="仿宋" w:eastAsia="仿宋" w:cs="Times New Roman"/>
          <w:kern w:val="0"/>
          <w:sz w:val="32"/>
          <w:szCs w:val="32"/>
        </w:rPr>
      </w:pPr>
      <w:r>
        <w:rPr>
          <w:rFonts w:hint="eastAsia" w:ascii="仿宋" w:hAnsi="仿宋" w:eastAsia="仿宋" w:cs="Times New Roman"/>
          <w:kern w:val="0"/>
          <w:sz w:val="32"/>
          <w:szCs w:val="32"/>
        </w:rPr>
        <w:t>（一）依法全面履行税务职能</w:t>
      </w:r>
    </w:p>
    <w:p w14:paraId="2D611F4E">
      <w:pPr>
        <w:ind w:firstLine="555"/>
        <w:rPr>
          <w:rFonts w:ascii="仿宋" w:hAnsi="仿宋" w:eastAsia="仿宋" w:cs="Times New Roman"/>
          <w:kern w:val="0"/>
          <w:sz w:val="32"/>
          <w:szCs w:val="32"/>
        </w:rPr>
      </w:pPr>
      <w:r>
        <w:rPr>
          <w:rFonts w:hint="eastAsia" w:ascii="仿宋" w:hAnsi="仿宋" w:eastAsia="仿宋" w:cs="Times New Roman"/>
          <w:kern w:val="0"/>
          <w:sz w:val="32"/>
          <w:szCs w:val="32"/>
        </w:rPr>
        <w:t>1、行政审批方面，严格按照税务总局规定，不断精简行政审批事项，截止目前县局审批事项已由原来的7项缩减到目前的4项，审批事项严格按照法定办理时间办结。所有行政审批事项均由税务机关完成，不存在税务行政审批中介服务。</w:t>
      </w:r>
    </w:p>
    <w:p w14:paraId="0FFC4D51">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2、三证合一方面，县局严格按照要求取消税务登记证,税务注销证,纳税人以统一社会信用代码证办理涉税事务.</w:t>
      </w:r>
    </w:p>
    <w:p w14:paraId="45DEA612">
      <w:pPr>
        <w:ind w:firstLine="555"/>
        <w:rPr>
          <w:rFonts w:ascii="仿宋" w:hAnsi="仿宋" w:eastAsia="仿宋" w:cs="Times New Roman"/>
          <w:kern w:val="0"/>
          <w:sz w:val="32"/>
          <w:szCs w:val="32"/>
        </w:rPr>
      </w:pPr>
      <w:r>
        <w:rPr>
          <w:rFonts w:hint="eastAsia" w:ascii="仿宋" w:hAnsi="仿宋" w:eastAsia="仿宋" w:cs="Times New Roman"/>
          <w:kern w:val="0"/>
          <w:sz w:val="32"/>
          <w:szCs w:val="32"/>
        </w:rPr>
        <w:t>3、权责事项清单方面,严格按照公示内容开展税收行政征收、税收行政处罚、税收行政审批、税收行政强制等工作，未出现不按照清单执行情况。</w:t>
      </w:r>
    </w:p>
    <w:p w14:paraId="7FAAB948">
      <w:pPr>
        <w:tabs>
          <w:tab w:val="left" w:pos="7470"/>
        </w:tabs>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4、重大税务案件法制审核方面 ,成立了金川县税务局重大执法决定法制审核委员会，负责对各税务分局拟作出重大执法决定的应审核事项进行法制审核,法制审核的人员占本单位执法人员总数的30%。重大执法决定法制审核制度执行比率达100%.全年无重大法制审核事项。</w:t>
      </w:r>
    </w:p>
    <w:p w14:paraId="34616ACB">
      <w:pPr>
        <w:ind w:firstLine="470" w:firstLineChars="147"/>
        <w:jc w:val="left"/>
        <w:rPr>
          <w:rFonts w:ascii="仿宋" w:hAnsi="仿宋" w:eastAsia="仿宋" w:cs="Times New Roman"/>
          <w:kern w:val="0"/>
          <w:sz w:val="32"/>
          <w:szCs w:val="32"/>
        </w:rPr>
      </w:pPr>
      <w:r>
        <w:rPr>
          <w:rFonts w:hint="eastAsia" w:ascii="仿宋" w:hAnsi="仿宋" w:eastAsia="仿宋" w:cs="Times New Roman"/>
          <w:kern w:val="0"/>
          <w:sz w:val="32"/>
          <w:szCs w:val="32"/>
        </w:rPr>
        <w:t>（二）坚持严格、规范、公正、文明执法</w:t>
      </w:r>
    </w:p>
    <w:p w14:paraId="7E971A47">
      <w:pPr>
        <w:ind w:firstLine="555"/>
        <w:jc w:val="left"/>
        <w:rPr>
          <w:rFonts w:ascii="仿宋" w:hAnsi="仿宋" w:eastAsia="仿宋" w:cs="Times New Roman"/>
          <w:kern w:val="0"/>
          <w:sz w:val="32"/>
          <w:szCs w:val="32"/>
        </w:rPr>
      </w:pPr>
      <w:r>
        <w:rPr>
          <w:rFonts w:hint="eastAsia" w:ascii="仿宋" w:hAnsi="仿宋" w:eastAsia="仿宋" w:cs="Times New Roman"/>
          <w:kern w:val="0"/>
          <w:sz w:val="32"/>
          <w:szCs w:val="32"/>
        </w:rPr>
        <w:t>1、依法履行行政执法职责。加大了对门难进、脸难看、事难办等问题的整治力度。通过现场监督或者暗访等方式，及时发现并纠正办税大厅大厅及窗口单位在行政执法中存在的违法问题，并对大厅工作人员上班玩手机情况进行了批评教育。将首问负责、领导值班制、一次性告知、并联办理、限时办结等制度的落实情况作为对服务大厅监督检查的重点。</w:t>
      </w:r>
    </w:p>
    <w:p w14:paraId="011DAED5">
      <w:pPr>
        <w:ind w:firstLine="640" w:firstLineChars="200"/>
        <w:jc w:val="left"/>
        <w:rPr>
          <w:rFonts w:ascii="仿宋" w:hAnsi="仿宋" w:eastAsia="仿宋" w:cs="Times New Roman"/>
          <w:kern w:val="0"/>
          <w:sz w:val="32"/>
          <w:szCs w:val="32"/>
        </w:rPr>
      </w:pPr>
      <w:r>
        <w:rPr>
          <w:rFonts w:hint="eastAsia" w:ascii="仿宋" w:hAnsi="仿宋" w:eastAsia="仿宋" w:cs="Times New Roman"/>
          <w:kern w:val="0"/>
          <w:sz w:val="32"/>
          <w:szCs w:val="32"/>
        </w:rPr>
        <w:t>2、完善行政执法程序。全面推进</w:t>
      </w:r>
      <w:r>
        <w:rPr>
          <w:rFonts w:hint="eastAsia" w:ascii="仿宋" w:hAnsi="仿宋" w:eastAsia="仿宋" w:cs="Times New Roman"/>
          <w:kern w:val="0"/>
          <w:sz w:val="32"/>
          <w:szCs w:val="32"/>
          <w:lang w:eastAsia="zh-CN"/>
        </w:rPr>
        <w:t>“双随机、一公开”</w:t>
      </w:r>
      <w:r>
        <w:rPr>
          <w:rFonts w:hint="eastAsia" w:ascii="仿宋" w:hAnsi="仿宋" w:eastAsia="仿宋" w:cs="Times New Roman"/>
          <w:kern w:val="0"/>
          <w:sz w:val="32"/>
          <w:szCs w:val="32"/>
        </w:rPr>
        <w:t>监管改革工作，制定了《金川县全面推行“双随机、一公开”工作机制实施方案》，将“双随机”改革工作纳入规范化管理,同时加大督办和考核力度，将</w:t>
      </w:r>
      <w:r>
        <w:rPr>
          <w:rFonts w:hint="eastAsia" w:ascii="仿宋" w:hAnsi="仿宋" w:eastAsia="仿宋" w:cs="Times New Roman"/>
          <w:kern w:val="0"/>
          <w:sz w:val="32"/>
          <w:szCs w:val="32"/>
          <w:lang w:eastAsia="zh-CN"/>
        </w:rPr>
        <w:t>“双随机、一公开”</w:t>
      </w:r>
      <w:r>
        <w:rPr>
          <w:rFonts w:hint="eastAsia" w:ascii="仿宋" w:hAnsi="仿宋" w:eastAsia="仿宋" w:cs="Times New Roman"/>
          <w:kern w:val="0"/>
          <w:sz w:val="32"/>
          <w:szCs w:val="32"/>
        </w:rPr>
        <w:t>工作情况列入督办事项和行政执法责任制考核目标。</w:t>
      </w:r>
    </w:p>
    <w:p w14:paraId="4AED75CD">
      <w:pPr>
        <w:tabs>
          <w:tab w:val="left" w:pos="7470"/>
        </w:tabs>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3、全面落实行政执法责任制。严格执行《金川县税务局全面推行</w:t>
      </w:r>
      <w:r>
        <w:rPr>
          <w:rFonts w:hint="eastAsia" w:ascii="仿宋" w:hAnsi="仿宋" w:eastAsia="仿宋" w:cs="Times New Roman"/>
          <w:kern w:val="0"/>
          <w:sz w:val="32"/>
          <w:szCs w:val="32"/>
          <w:lang w:eastAsia="zh-CN"/>
        </w:rPr>
        <w:t>行政执法“三项制度”</w:t>
      </w:r>
      <w:r>
        <w:rPr>
          <w:rFonts w:hint="eastAsia" w:ascii="仿宋" w:hAnsi="仿宋" w:eastAsia="仿宋" w:cs="Times New Roman"/>
          <w:kern w:val="0"/>
          <w:sz w:val="32"/>
          <w:szCs w:val="32"/>
        </w:rPr>
        <w:t>工作方案》，确保行政执法记录,行政执法公示,重大税务案件法制审核落到实处。全年执法记录新增数据0条（执法记录仪设备顺坏导致无法记录），行政执法公示数据200余条，无重大法制审核事项。</w:t>
      </w:r>
    </w:p>
    <w:p w14:paraId="51134296">
      <w:pPr>
        <w:ind w:firstLine="640" w:firstLineChars="200"/>
        <w:jc w:val="left"/>
        <w:rPr>
          <w:rFonts w:ascii="仿宋" w:hAnsi="仿宋" w:eastAsia="仿宋" w:cs="Times New Roman"/>
          <w:kern w:val="0"/>
          <w:sz w:val="32"/>
          <w:szCs w:val="32"/>
        </w:rPr>
      </w:pPr>
      <w:r>
        <w:rPr>
          <w:rFonts w:hint="eastAsia" w:ascii="仿宋" w:hAnsi="仿宋" w:eastAsia="仿宋" w:cs="Times New Roman"/>
          <w:kern w:val="0"/>
          <w:sz w:val="32"/>
          <w:szCs w:val="32"/>
        </w:rPr>
        <w:t>4、健全行政执法人员管理制度。为进一步规范行政执法主体，加强行政执法人员执法资格管理，落实行政执法人员持证上岗制度，对通过税务总局执法资格考试的行政执法人员，纳入执法检查人员名录库，对不合格的人员原则上调离执法岗位。每年通过集中学法、税务讲堂开展行政执法人员公共法律知识、专门法律知识、新法律法规等专题培训不少于40学时。行政执法着装必须规范。执法辅助人员招聘计划和名额，按要求报上级税务机关批准并同意.</w:t>
      </w:r>
    </w:p>
    <w:p w14:paraId="5625375B">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二、2021年度推进法治政府建设的不足和原因</w:t>
      </w:r>
    </w:p>
    <w:p w14:paraId="69AE3DA6">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在县人民政府带领下我局2021年度法治政府建设工作取得了明显的成效，但我们也清楚的认识到工作中的一些不足：一是基层税务分局法治政府建设较为薄弱，服务意识还需进一步提升。二是综合执法改革有待进一步完善，基层执法力量、执法设备、执法人员素质和水平都有待提高。三是普法的针对性和有效性有待增强，内部培训学习力度还不够。上述问题主要原因在于：法治政府建设创新力不够强，法治政府建设的针对性。实效性有待进一步提高。</w:t>
      </w:r>
    </w:p>
    <w:p w14:paraId="67F6DBA9">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三、2021年度党政主要负责人履行推进法治建设第一责任人职责，加强法治政府建设的有关情况</w:t>
      </w:r>
    </w:p>
    <w:p w14:paraId="60268D9A">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作为县局法治政府建设领导小组组长，坚持年初任务制定，年中事项安排，年末开展总结，全年共组织召开领导小组会议两次，决策安排相关工作十余项，确保了工作的正常开展，完成了预期目标。</w:t>
      </w:r>
    </w:p>
    <w:p w14:paraId="55C27575">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坚持带头学法，在11期党委会上组织领导干部学习了《</w:t>
      </w:r>
      <w:r>
        <w:rPr>
          <w:rFonts w:hint="eastAsia" w:ascii="仿宋" w:hAnsi="仿宋" w:eastAsia="仿宋" w:cs="Times New Roman"/>
          <w:kern w:val="0"/>
          <w:sz w:val="32"/>
          <w:szCs w:val="32"/>
          <w:lang w:eastAsia="zh-CN"/>
        </w:rPr>
        <w:t>习近平谈治国理政</w:t>
      </w:r>
      <w:r>
        <w:rPr>
          <w:rFonts w:hint="eastAsia" w:ascii="仿宋" w:hAnsi="仿宋" w:eastAsia="仿宋" w:cs="Times New Roman"/>
          <w:kern w:val="0"/>
          <w:sz w:val="32"/>
          <w:szCs w:val="32"/>
        </w:rPr>
        <w:t>第三卷—坚持和完善中国特色社会主义制度，推进国家治理体系和治理能力现代化》《</w:t>
      </w:r>
      <w:r>
        <w:rPr>
          <w:rFonts w:hint="eastAsia" w:ascii="仿宋" w:hAnsi="仿宋" w:eastAsia="仿宋" w:cs="Times New Roman"/>
          <w:kern w:val="0"/>
          <w:sz w:val="32"/>
          <w:szCs w:val="32"/>
          <w:lang w:eastAsia="zh-CN"/>
        </w:rPr>
        <w:t>习近平谈治国理政</w:t>
      </w:r>
      <w:r>
        <w:rPr>
          <w:rFonts w:hint="eastAsia" w:ascii="仿宋" w:hAnsi="仿宋" w:eastAsia="仿宋" w:cs="Times New Roman"/>
          <w:kern w:val="0"/>
          <w:sz w:val="32"/>
          <w:szCs w:val="32"/>
        </w:rPr>
        <w:t>第三卷—全面贯彻</w:t>
      </w:r>
      <w:r>
        <w:rPr>
          <w:rFonts w:hint="eastAsia" w:ascii="仿宋" w:hAnsi="仿宋" w:eastAsia="仿宋" w:cs="Times New Roman"/>
          <w:kern w:val="0"/>
          <w:sz w:val="32"/>
          <w:szCs w:val="32"/>
          <w:lang w:eastAsia="zh-CN"/>
        </w:rPr>
        <w:t>习近平新时代中国特色社会主义思想</w:t>
      </w:r>
      <w:r>
        <w:rPr>
          <w:rFonts w:hint="eastAsia" w:ascii="仿宋" w:hAnsi="仿宋" w:eastAsia="仿宋" w:cs="Times New Roman"/>
          <w:kern w:val="0"/>
          <w:sz w:val="32"/>
          <w:szCs w:val="32"/>
        </w:rPr>
        <w:t>和基本方略》《学习</w:t>
      </w:r>
      <w:r>
        <w:rPr>
          <w:rFonts w:hint="eastAsia" w:ascii="仿宋" w:hAnsi="仿宋" w:eastAsia="仿宋" w:cs="Times New Roman"/>
          <w:kern w:val="0"/>
          <w:sz w:val="32"/>
          <w:szCs w:val="32"/>
          <w:lang w:eastAsia="zh-CN"/>
        </w:rPr>
        <w:t>习近平谈治国理政</w:t>
      </w:r>
      <w:r>
        <w:rPr>
          <w:rFonts w:hint="eastAsia" w:ascii="仿宋" w:hAnsi="仿宋" w:eastAsia="仿宋" w:cs="Times New Roman"/>
          <w:kern w:val="0"/>
          <w:sz w:val="32"/>
          <w:szCs w:val="32"/>
        </w:rPr>
        <w:t>第二卷—严肃党内政治生活》《习近平总书记在中央人才工作会议上的重要讲话精神》。四次局务会前学法先后学习了《工作秘密管理暂行办法》《中华人民共和国税收征收管理法》《契税发》《中华人民共和国行政处罚法》相关内容，极大的提高了干部职工学法用法意识，提升了法律风险应对能力。</w:t>
      </w:r>
    </w:p>
    <w:p w14:paraId="3B92E03B">
      <w:pPr>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rPr>
        <w:t>坚持制度执行，把“三项制度”、“法律顾问制度”、“规范性文件审理制度”、“年度学法制度”的落实作为推进县局法治建设的重要目标，认真组织干部职工学法用法、规范执法，严格履职尽责。在党委会、班子会议及干部职工大会上，适时提醒主要领导讲法治建设，坚持对重要工作亲自部署、重大问题亲自过问、重点环节亲自依法协调、重要任务亲自依法规督办，会同班子其他成员对全局的法治建设工作及时提要求、及时督促，切实把内容体现到业务工作和日常管理中，积极为推进法治建设提供保障、创造条件。</w:t>
      </w:r>
    </w:p>
    <w:p w14:paraId="63CB1278">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四、2022年度推进法治政府建设的主要安排</w:t>
      </w:r>
    </w:p>
    <w:p w14:paraId="59E9E29A">
      <w:pPr>
        <w:ind w:firstLine="627" w:firstLineChars="196"/>
        <w:rPr>
          <w:rFonts w:ascii="仿宋" w:hAnsi="仿宋" w:eastAsia="仿宋" w:cs="Times New Roman"/>
          <w:kern w:val="0"/>
          <w:sz w:val="32"/>
          <w:szCs w:val="32"/>
        </w:rPr>
      </w:pPr>
      <w:r>
        <w:rPr>
          <w:rFonts w:hint="eastAsia" w:ascii="仿宋" w:hAnsi="仿宋" w:eastAsia="仿宋" w:cs="Times New Roman"/>
          <w:kern w:val="0"/>
          <w:sz w:val="32"/>
          <w:szCs w:val="32"/>
        </w:rPr>
        <w:t>2022年，县局将以习近平新时代中国特色社会主义思想为指导，</w:t>
      </w:r>
      <w:r>
        <w:rPr>
          <w:rFonts w:hint="eastAsia" w:ascii="仿宋" w:hAnsi="仿宋" w:eastAsia="仿宋" w:cs="Times New Roman"/>
          <w:kern w:val="0"/>
          <w:sz w:val="32"/>
          <w:szCs w:val="32"/>
          <w:lang w:eastAsia="zh-CN"/>
        </w:rPr>
        <w:t>增强“四个意识”、坚定“四个自信”、做到“两个维护”</w:t>
      </w:r>
      <w:r>
        <w:rPr>
          <w:rFonts w:hint="eastAsia" w:ascii="仿宋" w:hAnsi="仿宋" w:eastAsia="仿宋" w:cs="Times New Roman"/>
          <w:kern w:val="0"/>
          <w:sz w:val="32"/>
          <w:szCs w:val="32"/>
        </w:rPr>
        <w:t>，紧紧围绕建设法治税务的目标，坚持依宪施政，依法治税，坚定不移贯彻新理念，实现“稳税收增长，促经济发展”新目标。</w:t>
      </w:r>
    </w:p>
    <w:p w14:paraId="27D626C5">
      <w:pPr>
        <w:ind w:firstLine="627"/>
        <w:rPr>
          <w:rFonts w:ascii="仿宋" w:hAnsi="仿宋" w:eastAsia="仿宋" w:cs="Times New Roman"/>
          <w:kern w:val="0"/>
          <w:sz w:val="32"/>
          <w:szCs w:val="32"/>
        </w:rPr>
      </w:pPr>
      <w:r>
        <w:rPr>
          <w:rFonts w:hint="eastAsia" w:ascii="仿宋" w:hAnsi="仿宋" w:eastAsia="仿宋" w:cs="Times New Roman"/>
          <w:kern w:val="0"/>
          <w:sz w:val="32"/>
          <w:szCs w:val="32"/>
        </w:rPr>
        <w:t>（一）进一步加强组织领导，召开领导小组会议，统筹部署2022年度工作。将税收执法、三项制度、重大税务案件审理、税收宣传、集中学法等内容纳入年度重点工作，努力推进税收执法公平、公正。</w:t>
      </w:r>
    </w:p>
    <w:p w14:paraId="3C833380">
      <w:pPr>
        <w:ind w:firstLine="627"/>
        <w:rPr>
          <w:rFonts w:ascii="仿宋" w:hAnsi="仿宋" w:eastAsia="仿宋" w:cs="Times New Roman"/>
          <w:kern w:val="0"/>
          <w:sz w:val="32"/>
          <w:szCs w:val="32"/>
        </w:rPr>
      </w:pPr>
      <w:r>
        <w:rPr>
          <w:rFonts w:hint="eastAsia" w:ascii="仿宋" w:hAnsi="仿宋" w:eastAsia="仿宋" w:cs="Times New Roman"/>
          <w:kern w:val="0"/>
          <w:sz w:val="32"/>
          <w:szCs w:val="32"/>
        </w:rPr>
        <w:t>（二）持续加强制度建设和规范重大决策行为。完善内控监督制度、行政执法公示制度、执法过程全记录制度。落实重大行政决策合法性审查制度，加强重大决策跟踪审计。</w:t>
      </w:r>
    </w:p>
    <w:p w14:paraId="03BE103D">
      <w:pPr>
        <w:ind w:firstLine="627"/>
        <w:rPr>
          <w:rFonts w:ascii="仿宋" w:hAnsi="仿宋" w:eastAsia="仿宋" w:cs="Times New Roman"/>
          <w:kern w:val="0"/>
          <w:sz w:val="32"/>
          <w:szCs w:val="32"/>
        </w:rPr>
      </w:pPr>
      <w:r>
        <w:rPr>
          <w:rFonts w:hint="eastAsia" w:ascii="仿宋" w:hAnsi="仿宋" w:eastAsia="仿宋" w:cs="Times New Roman"/>
          <w:kern w:val="0"/>
          <w:sz w:val="32"/>
          <w:szCs w:val="32"/>
        </w:rPr>
        <w:t>（三）加强社会矛盾多元化解。稳步推进行政复议、行政应诉制度，完善矛盾纠纷多元化解机制。加强办税大厅纳税服务辅导，提升纳税人满意度。</w:t>
      </w:r>
    </w:p>
    <w:p w14:paraId="06DAF175">
      <w:pPr>
        <w:tabs>
          <w:tab w:val="left" w:pos="755"/>
        </w:tabs>
        <w:rPr>
          <w:rFonts w:ascii="仿宋" w:hAnsi="仿宋" w:eastAsia="仿宋" w:cs="Times New Roman"/>
          <w:kern w:val="0"/>
          <w:sz w:val="32"/>
          <w:szCs w:val="32"/>
        </w:rPr>
      </w:pPr>
      <w:r>
        <w:rPr>
          <w:rFonts w:ascii="仿宋" w:hAnsi="仿宋" w:eastAsia="仿宋" w:cs="Times New Roman"/>
          <w:kern w:val="0"/>
          <w:sz w:val="32"/>
          <w:szCs w:val="32"/>
        </w:rPr>
        <w:tab/>
      </w:r>
      <w:r>
        <w:rPr>
          <w:rFonts w:hint="eastAsia" w:ascii="仿宋" w:hAnsi="仿宋" w:eastAsia="仿宋" w:cs="Times New Roman"/>
          <w:kern w:val="0"/>
          <w:sz w:val="32"/>
          <w:szCs w:val="32"/>
        </w:rPr>
        <w:t>（四）持续推进增强全社会法治观念。制定并实施“八五”普法规划、“法律七进”方案，推行“谁执法谁普法”制度。持续深入开展习近平法治思想宣传、税法宣传、《宪法》等法律法规宣传,不断提升全民法治信仰。</w:t>
      </w:r>
    </w:p>
    <w:p w14:paraId="4D580D81">
      <w:pPr>
        <w:tabs>
          <w:tab w:val="left" w:pos="755"/>
        </w:tabs>
        <w:rPr>
          <w:rFonts w:ascii="仿宋" w:hAnsi="仿宋" w:eastAsia="仿宋" w:cs="Times New Roman"/>
          <w:kern w:val="0"/>
          <w:sz w:val="32"/>
          <w:szCs w:val="32"/>
        </w:rPr>
      </w:pPr>
    </w:p>
    <w:p w14:paraId="4E871725">
      <w:pPr>
        <w:tabs>
          <w:tab w:val="left" w:pos="755"/>
        </w:tabs>
        <w:rPr>
          <w:rFonts w:ascii="仿宋" w:hAnsi="仿宋" w:eastAsia="仿宋" w:cs="Times New Roman"/>
          <w:kern w:val="0"/>
          <w:sz w:val="32"/>
          <w:szCs w:val="32"/>
        </w:rPr>
      </w:pPr>
    </w:p>
    <w:p w14:paraId="7C46F689">
      <w:pPr>
        <w:tabs>
          <w:tab w:val="left" w:pos="755"/>
        </w:tabs>
        <w:rPr>
          <w:rFonts w:ascii="仿宋" w:hAnsi="仿宋" w:eastAsia="仿宋" w:cs="Times New Roman"/>
          <w:kern w:val="0"/>
          <w:sz w:val="32"/>
          <w:szCs w:val="32"/>
        </w:rPr>
      </w:pPr>
      <w:r>
        <w:rPr>
          <w:rFonts w:hint="eastAsia" w:ascii="仿宋" w:hAnsi="仿宋" w:eastAsia="仿宋" w:cs="Times New Roman"/>
          <w:kern w:val="0"/>
          <w:sz w:val="32"/>
          <w:szCs w:val="32"/>
        </w:rPr>
        <w:t xml:space="preserve">                  国家税务总局金川县税务局</w:t>
      </w:r>
    </w:p>
    <w:p w14:paraId="6D81EECC">
      <w:pPr>
        <w:tabs>
          <w:tab w:val="left" w:pos="755"/>
        </w:tabs>
        <w:ind w:firstLine="3520" w:firstLineChars="1100"/>
        <w:rPr>
          <w:rFonts w:ascii="仿宋" w:hAnsi="仿宋" w:eastAsia="仿宋" w:cs="Times New Roman"/>
          <w:kern w:val="0"/>
          <w:sz w:val="32"/>
          <w:szCs w:val="32"/>
        </w:rPr>
      </w:pPr>
      <w:r>
        <w:rPr>
          <w:rFonts w:hint="eastAsia" w:ascii="仿宋" w:hAnsi="仿宋" w:eastAsia="仿宋" w:cs="Times New Roman"/>
          <w:kern w:val="0"/>
          <w:sz w:val="32"/>
          <w:szCs w:val="32"/>
        </w:rPr>
        <w:t>2022年2月22日</w:t>
      </w:r>
    </w:p>
    <w:p w14:paraId="35997B44">
      <w:pPr>
        <w:tabs>
          <w:tab w:val="left" w:pos="755"/>
        </w:tabs>
        <w:ind w:firstLine="3360" w:firstLineChars="1050"/>
        <w:rPr>
          <w:rFonts w:ascii="仿宋_GB2312" w:eastAsia="仿宋_GB2312"/>
          <w:sz w:val="32"/>
          <w:szCs w:val="32"/>
        </w:rPr>
      </w:pPr>
    </w:p>
    <w:p w14:paraId="04E1A3B8">
      <w:pPr>
        <w:tabs>
          <w:tab w:val="left" w:pos="755"/>
        </w:tabs>
        <w:ind w:firstLine="3360" w:firstLineChars="1050"/>
        <w:rPr>
          <w:rFonts w:ascii="仿宋_GB2312" w:eastAsia="仿宋_GB2312"/>
          <w:sz w:val="32"/>
          <w:szCs w:val="32"/>
        </w:rPr>
      </w:pPr>
    </w:p>
    <w:p w14:paraId="5B214BA4">
      <w:pPr>
        <w:tabs>
          <w:tab w:val="left" w:pos="755"/>
        </w:tabs>
        <w:ind w:firstLine="3360" w:firstLineChars="1050"/>
        <w:rPr>
          <w:rFonts w:ascii="仿宋_GB2312" w:eastAsia="仿宋_GB2312"/>
          <w:sz w:val="32"/>
          <w:szCs w:val="32"/>
        </w:rPr>
      </w:pPr>
    </w:p>
    <w:p w14:paraId="0E6333F0">
      <w:pPr>
        <w:tabs>
          <w:tab w:val="left" w:pos="755"/>
        </w:tabs>
        <w:ind w:firstLine="3360" w:firstLineChars="1050"/>
        <w:rPr>
          <w:rFonts w:ascii="仿宋_GB2312" w:eastAsia="仿宋_GB2312"/>
          <w:sz w:val="32"/>
          <w:szCs w:val="32"/>
        </w:rPr>
      </w:pPr>
    </w:p>
    <w:p w14:paraId="11E8919C">
      <w:pPr>
        <w:tabs>
          <w:tab w:val="left" w:pos="755"/>
        </w:tabs>
        <w:ind w:firstLine="3360" w:firstLineChars="1050"/>
        <w:rPr>
          <w:rFonts w:ascii="仿宋_GB2312" w:eastAsia="仿宋_GB2312"/>
          <w:sz w:val="32"/>
          <w:szCs w:val="32"/>
        </w:rPr>
      </w:pPr>
    </w:p>
    <w:p w14:paraId="3A1A5E08">
      <w:pPr>
        <w:tabs>
          <w:tab w:val="left" w:pos="755"/>
        </w:tabs>
        <w:ind w:firstLine="3360" w:firstLineChars="1050"/>
        <w:rPr>
          <w:rFonts w:ascii="仿宋_GB2312" w:eastAsia="仿宋_GB2312"/>
          <w:sz w:val="32"/>
          <w:szCs w:val="32"/>
        </w:rPr>
      </w:pPr>
    </w:p>
    <w:p w14:paraId="71BC6706">
      <w:pPr>
        <w:tabs>
          <w:tab w:val="left" w:pos="755"/>
        </w:tabs>
        <w:ind w:firstLine="3360" w:firstLineChars="1050"/>
        <w:rPr>
          <w:rFonts w:ascii="仿宋_GB2312" w:eastAsia="仿宋_GB2312"/>
          <w:sz w:val="32"/>
          <w:szCs w:val="32"/>
        </w:rPr>
      </w:pPr>
    </w:p>
    <w:p w14:paraId="6C8F3CF6">
      <w:pPr>
        <w:tabs>
          <w:tab w:val="left" w:pos="755"/>
        </w:tabs>
        <w:ind w:firstLine="3360" w:firstLineChars="1050"/>
        <w:rPr>
          <w:rFonts w:ascii="仿宋_GB2312" w:eastAsia="仿宋_GB2312"/>
          <w:sz w:val="32"/>
          <w:szCs w:val="32"/>
        </w:rPr>
      </w:pPr>
    </w:p>
    <w:p w14:paraId="2F80BF31">
      <w:pPr>
        <w:tabs>
          <w:tab w:val="left" w:pos="755"/>
        </w:tabs>
        <w:ind w:firstLine="3360" w:firstLineChars="1050"/>
        <w:rPr>
          <w:rFonts w:ascii="仿宋_GB2312" w:eastAsia="仿宋_GB2312"/>
          <w:sz w:val="32"/>
          <w:szCs w:val="32"/>
        </w:rPr>
      </w:pPr>
    </w:p>
    <w:p w14:paraId="3657D9A4">
      <w:pPr>
        <w:tabs>
          <w:tab w:val="left" w:pos="755"/>
        </w:tabs>
        <w:ind w:firstLine="3360" w:firstLineChars="1050"/>
        <w:rPr>
          <w:rFonts w:ascii="仿宋_GB2312" w:eastAsia="仿宋_GB2312"/>
          <w:sz w:val="32"/>
          <w:szCs w:val="32"/>
        </w:rPr>
      </w:pPr>
    </w:p>
    <w:p w14:paraId="097B181E">
      <w:pPr>
        <w:tabs>
          <w:tab w:val="left" w:pos="755"/>
        </w:tabs>
        <w:ind w:firstLine="3360" w:firstLineChars="1050"/>
        <w:rPr>
          <w:rFonts w:ascii="仿宋_GB2312" w:eastAsia="仿宋_GB2312"/>
          <w:sz w:val="32"/>
          <w:szCs w:val="32"/>
        </w:rPr>
      </w:pPr>
    </w:p>
    <w:p w14:paraId="5B214F36">
      <w:pPr>
        <w:tabs>
          <w:tab w:val="left" w:pos="755"/>
        </w:tabs>
        <w:ind w:firstLine="3360" w:firstLineChars="1050"/>
        <w:rPr>
          <w:rFonts w:ascii="仿宋_GB2312" w:eastAsia="仿宋_GB2312"/>
          <w:sz w:val="32"/>
          <w:szCs w:val="32"/>
        </w:rPr>
      </w:pPr>
    </w:p>
    <w:p w14:paraId="5E878407">
      <w:pPr>
        <w:tabs>
          <w:tab w:val="left" w:pos="755"/>
        </w:tabs>
        <w:rPr>
          <w:rFonts w:ascii="仿宋_GB2312" w:eastAsia="仿宋_GB2312"/>
          <w:sz w:val="32"/>
          <w:szCs w:val="32"/>
        </w:rPr>
      </w:pPr>
    </w:p>
    <w:tbl>
      <w:tblPr>
        <w:tblStyle w:val="6"/>
        <w:tblW w:w="0" w:type="auto"/>
        <w:tblInd w:w="108" w:type="dxa"/>
        <w:tblBorders>
          <w:top w:val="none" w:color="auto" w:sz="0" w:space="0"/>
          <w:left w:val="none" w:color="auto" w:sz="0" w:space="0"/>
          <w:bottom w:val="single" w:color="auto" w:sz="12" w:space="0"/>
          <w:right w:val="none" w:color="auto" w:sz="0" w:space="0"/>
          <w:insideH w:val="single" w:color="auto" w:sz="12" w:space="0"/>
          <w:insideV w:val="none" w:color="auto" w:sz="0" w:space="0"/>
        </w:tblBorders>
        <w:tblLayout w:type="fixed"/>
        <w:tblCellMar>
          <w:top w:w="0" w:type="dxa"/>
          <w:left w:w="108" w:type="dxa"/>
          <w:bottom w:w="0" w:type="dxa"/>
          <w:right w:w="108" w:type="dxa"/>
        </w:tblCellMar>
      </w:tblPr>
      <w:tblGrid>
        <w:gridCol w:w="4680"/>
        <w:gridCol w:w="4181"/>
      </w:tblGrid>
      <w:tr w14:paraId="0EBCB77F">
        <w:tblPrEx>
          <w:tblBorders>
            <w:top w:val="none" w:color="auto" w:sz="0" w:space="0"/>
            <w:left w:val="none" w:color="auto" w:sz="0" w:space="0"/>
            <w:bottom w:val="single" w:color="auto" w:sz="12" w:space="0"/>
            <w:right w:val="none" w:color="auto" w:sz="0" w:space="0"/>
            <w:insideH w:val="single" w:color="auto" w:sz="12" w:space="0"/>
            <w:insideV w:val="none" w:color="auto" w:sz="0" w:space="0"/>
          </w:tblBorders>
          <w:tblCellMar>
            <w:top w:w="0" w:type="dxa"/>
            <w:left w:w="108" w:type="dxa"/>
            <w:bottom w:w="0" w:type="dxa"/>
            <w:right w:w="108" w:type="dxa"/>
          </w:tblCellMar>
        </w:tblPrEx>
        <w:trPr>
          <w:trHeight w:val="567" w:hRule="atLeast"/>
        </w:trPr>
        <w:tc>
          <w:tcPr>
            <w:tcW w:w="8861" w:type="dxa"/>
            <w:gridSpan w:val="2"/>
            <w:tcBorders>
              <w:top w:val="nil"/>
              <w:left w:val="nil"/>
              <w:bottom w:val="single" w:color="auto" w:sz="12" w:space="0"/>
              <w:right w:val="nil"/>
            </w:tcBorders>
            <w:vAlign w:val="center"/>
          </w:tcPr>
          <w:p w14:paraId="5E642C57">
            <w:pPr>
              <w:ind w:left="126" w:leftChars="60" w:firstLine="116"/>
              <w:rPr>
                <w:rFonts w:ascii="方正仿宋简体" w:hAnsi="宋体" w:eastAsia="方正仿宋简体" w:cs="宋体"/>
                <w:spacing w:val="-20"/>
                <w:sz w:val="32"/>
                <w:szCs w:val="32"/>
              </w:rPr>
            </w:pPr>
            <w:r>
              <w:rPr>
                <w:rFonts w:hint="eastAsia" w:ascii="黑体" w:hAnsi="黑体" w:eastAsia="黑体" w:cs="宋体"/>
                <w:sz w:val="32"/>
                <w:szCs w:val="32"/>
              </w:rPr>
              <w:t>信息公开选项</w:t>
            </w:r>
            <w:r>
              <w:rPr>
                <w:rFonts w:hint="eastAsia" w:ascii="方正小标宋简体" w:hAnsi="黑体" w:eastAsia="方正小标宋简体" w:cs="宋体"/>
                <w:sz w:val="32"/>
                <w:szCs w:val="32"/>
              </w:rPr>
              <w:t>:不予公开</w:t>
            </w:r>
          </w:p>
        </w:tc>
      </w:tr>
      <w:tr w14:paraId="2F64BB3B">
        <w:tblPrEx>
          <w:tblBorders>
            <w:top w:val="none" w:color="auto" w:sz="0" w:space="0"/>
            <w:left w:val="none" w:color="auto" w:sz="0" w:space="0"/>
            <w:bottom w:val="single" w:color="auto" w:sz="12" w:space="0"/>
            <w:right w:val="none" w:color="auto" w:sz="0" w:space="0"/>
            <w:insideH w:val="single" w:color="auto" w:sz="12" w:space="0"/>
            <w:insideV w:val="none" w:color="auto" w:sz="0" w:space="0"/>
          </w:tblBorders>
          <w:tblCellMar>
            <w:top w:w="0" w:type="dxa"/>
            <w:left w:w="108" w:type="dxa"/>
            <w:bottom w:w="0" w:type="dxa"/>
            <w:right w:w="108" w:type="dxa"/>
          </w:tblCellMar>
        </w:tblPrEx>
        <w:trPr>
          <w:trHeight w:val="567" w:hRule="atLeast"/>
        </w:trPr>
        <w:tc>
          <w:tcPr>
            <w:tcW w:w="4680" w:type="dxa"/>
            <w:tcBorders>
              <w:top w:val="single" w:color="auto" w:sz="8" w:space="0"/>
              <w:left w:val="nil"/>
              <w:bottom w:val="single" w:color="auto" w:sz="12" w:space="0"/>
              <w:right w:val="nil"/>
            </w:tcBorders>
            <w:vAlign w:val="center"/>
          </w:tcPr>
          <w:p w14:paraId="45CA7680">
            <w:pPr>
              <w:ind w:left="126" w:leftChars="60" w:firstLine="116"/>
              <w:rPr>
                <w:rFonts w:ascii="仿宋" w:hAnsi="仿宋" w:eastAsia="仿宋" w:cs="宋体"/>
                <w:sz w:val="28"/>
                <w:szCs w:val="28"/>
              </w:rPr>
            </w:pPr>
            <w:r>
              <w:rPr>
                <w:rFonts w:hint="eastAsia" w:ascii="仿宋" w:hAnsi="仿宋" w:eastAsia="仿宋" w:cs="宋体"/>
                <w:sz w:val="28"/>
                <w:szCs w:val="28"/>
              </w:rPr>
              <w:t>金川县税务局法制股承办</w:t>
            </w:r>
          </w:p>
        </w:tc>
        <w:tc>
          <w:tcPr>
            <w:tcW w:w="4181" w:type="dxa"/>
            <w:tcBorders>
              <w:top w:val="single" w:color="auto" w:sz="8" w:space="0"/>
              <w:left w:val="nil"/>
              <w:bottom w:val="single" w:color="auto" w:sz="12" w:space="0"/>
              <w:right w:val="nil"/>
            </w:tcBorders>
            <w:vAlign w:val="center"/>
          </w:tcPr>
          <w:p w14:paraId="013932EB">
            <w:pPr>
              <w:tabs>
                <w:tab w:val="left" w:pos="8588"/>
              </w:tabs>
              <w:wordWrap w:val="0"/>
              <w:ind w:left="-108" w:leftChars="-54" w:right="212" w:rightChars="101" w:hanging="5" w:hangingChars="2"/>
              <w:jc w:val="right"/>
              <w:rPr>
                <w:rFonts w:ascii="仿宋" w:hAnsi="仿宋" w:eastAsia="仿宋" w:cs="宋体"/>
                <w:spacing w:val="-20"/>
                <w:sz w:val="28"/>
                <w:szCs w:val="28"/>
              </w:rPr>
            </w:pPr>
            <w:r>
              <w:rPr>
                <w:rFonts w:hint="eastAsia" w:ascii="仿宋" w:hAnsi="仿宋" w:eastAsia="仿宋" w:cs="宋体"/>
                <w:sz w:val="28"/>
                <w:szCs w:val="28"/>
              </w:rPr>
              <w:t>办公室2022年2月22日印发</w:t>
            </w:r>
          </w:p>
        </w:tc>
      </w:tr>
    </w:tbl>
    <w:p w14:paraId="6186CD95">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TIBETHT">
    <w:altName w:val="宋体"/>
    <w:panose1 w:val="00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ntury Gothic">
    <w:altName w:val="ksdb"/>
    <w:panose1 w:val="020B0502020202020204"/>
    <w:charset w:val="00"/>
    <w:family w:val="swiss"/>
    <w:pitch w:val="default"/>
    <w:sig w:usb0="00000000" w:usb1="00000000" w:usb2="00000000" w:usb3="00000000" w:csb0="0000009F" w:csb1="00000000"/>
  </w:font>
  <w:font w:name="ksdb">
    <w:panose1 w:val="02000500000000000000"/>
    <w:charset w:val="00"/>
    <w:family w:val="auto"/>
    <w:pitch w:val="default"/>
    <w:sig w:usb0="00000001" w:usb1="00000000" w:usb2="00000000" w:usb3="00000000" w:csb0="00000001" w:csb1="0000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0F3A"/>
    <w:rsid w:val="0004518A"/>
    <w:rsid w:val="000B0C55"/>
    <w:rsid w:val="000F4CE4"/>
    <w:rsid w:val="002133F5"/>
    <w:rsid w:val="00252119"/>
    <w:rsid w:val="00254F26"/>
    <w:rsid w:val="00272829"/>
    <w:rsid w:val="002D7C65"/>
    <w:rsid w:val="003142D2"/>
    <w:rsid w:val="003A79D3"/>
    <w:rsid w:val="003D0B8F"/>
    <w:rsid w:val="003F2DB1"/>
    <w:rsid w:val="004462B0"/>
    <w:rsid w:val="005D253B"/>
    <w:rsid w:val="005E19C3"/>
    <w:rsid w:val="00656340"/>
    <w:rsid w:val="006B3587"/>
    <w:rsid w:val="007175F4"/>
    <w:rsid w:val="00796300"/>
    <w:rsid w:val="00947207"/>
    <w:rsid w:val="009765B3"/>
    <w:rsid w:val="009E3F99"/>
    <w:rsid w:val="009E79E7"/>
    <w:rsid w:val="00A7000A"/>
    <w:rsid w:val="00AC0F3A"/>
    <w:rsid w:val="00B662B3"/>
    <w:rsid w:val="00B84F68"/>
    <w:rsid w:val="00C06490"/>
    <w:rsid w:val="00C176B2"/>
    <w:rsid w:val="00DB0F9A"/>
    <w:rsid w:val="00DF1E22"/>
    <w:rsid w:val="00E21F43"/>
    <w:rsid w:val="00E818FF"/>
    <w:rsid w:val="00F47C70"/>
    <w:rsid w:val="1FFDDD14"/>
    <w:rsid w:val="29224B27"/>
    <w:rsid w:val="3F4B2410"/>
    <w:rsid w:val="605A75F2"/>
    <w:rsid w:val="6AA44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3"/>
    <w:semiHidden/>
    <w:uiPriority w:val="99"/>
    <w:rPr>
      <w:sz w:val="18"/>
      <w:szCs w:val="18"/>
    </w:rPr>
  </w:style>
  <w:style w:type="character" w:customStyle="1" w:styleId="12">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2467</Words>
  <Characters>2518</Characters>
  <Lines>18</Lines>
  <Paragraphs>5</Paragraphs>
  <TotalTime>107</TotalTime>
  <ScaleCrop>false</ScaleCrop>
  <LinksUpToDate>false</LinksUpToDate>
  <CharactersWithSpaces>2542</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2021-03-02T10:36:00Z</dcterms:created>
  <dc:creator>AAAAAA</dc:creator>
  <cp:lastModifiedBy>盐星星</cp:lastModifiedBy>
  <dcterms:modified xsi:type="dcterms:W3CDTF">2026-07-17T09:27:41Z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8C0F78D2F1334002B8E3857D602146B1</vt:lpwstr>
  </property>
  <property fmtid="{D5CDD505-2E9C-101B-9397-08002B2CF9AE}" pid="4" name="KSOTemplateDocerSaveRecord">
    <vt:lpwstr>eyJoZGlkIjoiNzkyYzRhOGNmZjI2NTRmMmU4ZjYwMzM3MDcwMmEzMWYiLCJ1c2VySWQiOiIxMDYwOTQ0NDM1In0=</vt:lpwstr>
  </property>
</Properties>
</file>