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3BAAD">
      <w:pPr>
        <w:pStyle w:val="3"/>
        <w:keepNext w:val="0"/>
        <w:keepLines w:val="0"/>
        <w:widowControl/>
        <w:suppressLineNumbers w:val="0"/>
        <w:spacing w:before="0" w:beforeAutospacing="0" w:after="0" w:afterAutospacing="0"/>
        <w:ind w:left="0" w:right="0" w:firstLine="0"/>
        <w:jc w:val="center"/>
        <w:rPr>
          <w:rFonts w:hint="eastAsia" w:ascii="仿宋" w:hAnsi="仿宋" w:eastAsia="仿宋" w:cs="仿宋"/>
          <w:b/>
          <w:bCs/>
          <w:sz w:val="44"/>
          <w:szCs w:val="44"/>
          <w:lang w:eastAsia="zh-CN"/>
        </w:rPr>
      </w:pPr>
      <w:bookmarkStart w:id="0" w:name="_GoBack"/>
      <w:bookmarkEnd w:id="0"/>
    </w:p>
    <w:p w14:paraId="7607388D">
      <w:pPr>
        <w:jc w:val="center"/>
        <w:rPr>
          <w:rFonts w:ascii="宋体"/>
        </w:rPr>
      </w:pPr>
      <w:r>
        <w:rPr>
          <w:rFonts w:ascii="宋体"/>
          <w:sz w:val="30"/>
          <w:szCs w:val="30"/>
        </w:rPr>
        <w:pict>
          <v:shape id="_x0000_i1025" o:spt="136" type="#_x0000_t136" style="height:75.75pt;width:396.75pt;" fillcolor="#FF0000" filled="t" stroked="t" coordsize="21600,21600" adj="10800">
            <v:path/>
            <v:fill on="t" color2="#FFFFFF" focussize="0,0"/>
            <v:stroke weight="1.75pt" color="#FF0000"/>
            <v:imagedata o:title=""/>
            <o:lock v:ext="edit" aspectratio="f"/>
            <v:textpath on="t" fitshape="t" fitpath="t" trim="t" xscale="f" string="金川县科学技术和农业畜牧局文件" style="font-family:宋体;font-size:36pt;v-text-align:center;"/>
            <w10:wrap type="none"/>
            <w10:anchorlock/>
          </v:shape>
        </w:pict>
      </w:r>
    </w:p>
    <w:p w14:paraId="59622B98">
      <w:pPr>
        <w:jc w:val="center"/>
        <w:rPr>
          <w:rFonts w:ascii="宋体"/>
        </w:rPr>
      </w:pPr>
    </w:p>
    <w:p w14:paraId="6031FB60">
      <w:pPr>
        <w:jc w:val="center"/>
        <w:rPr>
          <w:rFonts w:ascii="宋体"/>
        </w:rPr>
      </w:pPr>
    </w:p>
    <w:p w14:paraId="3ACC686D">
      <w:pPr>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金科农畜</w:t>
      </w:r>
      <w:r>
        <w:rPr>
          <w:rFonts w:hint="eastAsia" w:ascii="仿宋_GB2312" w:hAnsi="宋体" w:eastAsia="仿宋_GB2312"/>
          <w:sz w:val="32"/>
          <w:szCs w:val="32"/>
        </w:rPr>
        <w:t xml:space="preserve"> </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2022</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12号</w:t>
      </w:r>
      <w:r>
        <w:rPr>
          <w:rFonts w:hint="eastAsia" w:ascii="仿宋_GB2312" w:hAnsi="宋体" w:eastAsia="仿宋_GB2312"/>
          <w:sz w:val="32"/>
          <w:szCs w:val="32"/>
          <w:lang w:eastAsia="zh-CN"/>
        </w:rPr>
        <w:t xml:space="preserve">               </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lang w:eastAsia="zh-CN"/>
        </w:rPr>
        <w:t>签发人：泽郎</w:t>
      </w:r>
    </w:p>
    <w:p w14:paraId="5008899C">
      <w:pPr>
        <w:ind w:firstLine="1325" w:firstLineChars="300"/>
        <w:jc w:val="both"/>
        <w:rPr>
          <w:rFonts w:hint="eastAsia" w:ascii="仿宋" w:hAnsi="仿宋" w:eastAsia="仿宋" w:cs="仿宋"/>
          <w:b/>
          <w:bCs/>
          <w:sz w:val="44"/>
          <w:szCs w:val="44"/>
          <w:lang w:eastAsia="zh-CN"/>
        </w:rPr>
      </w:pPr>
      <w:r>
        <w:rPr>
          <w:rFonts w:hint="eastAsia" w:ascii="黑体" w:hAnsi="黑体" w:eastAsia="黑体"/>
          <w:b/>
          <w:sz w:val="44"/>
          <w:szCs w:val="44"/>
        </w:rPr>
        <mc:AlternateContent>
          <mc:Choice Requires="wps">
            <w:drawing>
              <wp:anchor distT="0" distB="0" distL="114300" distR="114300" simplePos="0" relativeHeight="251659264" behindDoc="0" locked="0" layoutInCell="1" allowOverlap="1">
                <wp:simplePos x="0" y="0"/>
                <wp:positionH relativeFrom="column">
                  <wp:posOffset>28575</wp:posOffset>
                </wp:positionH>
                <wp:positionV relativeFrom="paragraph">
                  <wp:posOffset>13335</wp:posOffset>
                </wp:positionV>
                <wp:extent cx="5162550" cy="0"/>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5162550" cy="0"/>
                        </a:xfrm>
                        <a:prstGeom prst="straightConnector1">
                          <a:avLst/>
                        </a:prstGeom>
                        <a:ln w="15875"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25pt;margin-top:1.05pt;height:0pt;width:406.5pt;z-index:251659264;mso-width-relative:page;mso-height-relative:page;" filled="f" stroked="t" coordsize="21600,21600" o:gfxdata="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4GU6ptIAAAAFAQAADwAAAAAAAAABACAAAAAiAAAAZHJzL2Rvd25yZXYueG1s&#10;UEsBAhQAFAAAAAgAh07iQNEB6Sz+AQAA7QMAAA4AAAAAAAAAAQAgAAAAIQEAAGRycy9lMm9Eb2Mu&#10;eG1sUEsFBgAAAAAGAAYAWQEAAJEFAAAAAA==&#10;">
                <v:fill on="f" focussize="0,0"/>
                <v:stroke weight="1.25pt" color="#FF0000" joinstyle="round"/>
                <v:imagedata o:title=""/>
                <o:lock v:ext="edit" aspectratio="f"/>
              </v:shape>
            </w:pict>
          </mc:Fallback>
        </mc:AlternateContent>
      </w:r>
    </w:p>
    <w:p w14:paraId="2B2B383B">
      <w:pPr>
        <w:pStyle w:val="3"/>
        <w:keepNext w:val="0"/>
        <w:keepLines w:val="0"/>
        <w:widowControl/>
        <w:suppressLineNumbers w:val="0"/>
        <w:spacing w:before="0" w:beforeAutospacing="0" w:after="0" w:afterAutospacing="0"/>
        <w:ind w:left="0" w:right="0" w:firstLine="0"/>
        <w:jc w:val="center"/>
        <w:rPr>
          <w:rFonts w:hint="eastAsia" w:ascii="仿宋" w:hAnsi="仿宋" w:eastAsia="仿宋" w:cs="仿宋"/>
          <w:b/>
          <w:bCs/>
          <w:sz w:val="40"/>
          <w:szCs w:val="40"/>
        </w:rPr>
      </w:pPr>
      <w:r>
        <w:rPr>
          <w:rFonts w:hint="eastAsia" w:ascii="仿宋" w:hAnsi="仿宋" w:eastAsia="仿宋" w:cs="仿宋"/>
          <w:b/>
          <w:bCs/>
          <w:sz w:val="40"/>
          <w:szCs w:val="40"/>
          <w:lang w:eastAsia="zh-CN"/>
        </w:rPr>
        <w:t>金川县科学技术和农业畜牧</w:t>
      </w:r>
      <w:r>
        <w:rPr>
          <w:rFonts w:hint="eastAsia" w:ascii="仿宋" w:hAnsi="仿宋" w:eastAsia="仿宋" w:cs="仿宋"/>
          <w:b/>
          <w:bCs/>
          <w:sz w:val="40"/>
          <w:szCs w:val="40"/>
        </w:rPr>
        <w:t>局</w:t>
      </w:r>
    </w:p>
    <w:p w14:paraId="4D7756E9">
      <w:pPr>
        <w:pStyle w:val="3"/>
        <w:keepNext w:val="0"/>
        <w:keepLines w:val="0"/>
        <w:widowControl/>
        <w:suppressLineNumbers w:val="0"/>
        <w:spacing w:before="0" w:beforeAutospacing="0" w:after="0" w:afterAutospacing="0"/>
        <w:ind w:left="0" w:right="0" w:firstLine="0"/>
        <w:jc w:val="center"/>
        <w:rPr>
          <w:rFonts w:hint="eastAsia" w:ascii="仿宋" w:hAnsi="仿宋" w:eastAsia="仿宋" w:cs="仿宋"/>
          <w:b/>
          <w:bCs/>
          <w:sz w:val="40"/>
          <w:szCs w:val="40"/>
        </w:rPr>
      </w:pPr>
      <w:r>
        <w:rPr>
          <w:rFonts w:hint="eastAsia" w:ascii="仿宋" w:hAnsi="仿宋" w:eastAsia="仿宋" w:cs="仿宋"/>
          <w:b/>
          <w:bCs/>
          <w:sz w:val="40"/>
          <w:szCs w:val="40"/>
        </w:rPr>
        <w:t>关于2021年度法治政府建设工作情况的</w:t>
      </w:r>
    </w:p>
    <w:p w14:paraId="18D115A1">
      <w:pPr>
        <w:pStyle w:val="3"/>
        <w:keepNext w:val="0"/>
        <w:keepLines w:val="0"/>
        <w:widowControl/>
        <w:suppressLineNumbers w:val="0"/>
        <w:spacing w:before="0" w:beforeAutospacing="0" w:after="0" w:afterAutospacing="0"/>
        <w:ind w:left="0" w:right="0" w:firstLine="0"/>
        <w:jc w:val="center"/>
        <w:rPr>
          <w:rFonts w:hint="eastAsia" w:ascii="仿宋" w:hAnsi="仿宋" w:eastAsia="仿宋" w:cs="仿宋"/>
          <w:b/>
          <w:bCs/>
          <w:sz w:val="40"/>
          <w:szCs w:val="40"/>
        </w:rPr>
      </w:pPr>
      <w:r>
        <w:rPr>
          <w:rFonts w:hint="eastAsia" w:ascii="仿宋" w:hAnsi="仿宋" w:eastAsia="仿宋" w:cs="仿宋"/>
          <w:b/>
          <w:bCs/>
          <w:sz w:val="40"/>
          <w:szCs w:val="40"/>
        </w:rPr>
        <w:t>报告</w:t>
      </w:r>
    </w:p>
    <w:p w14:paraId="74E5C6F6">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44"/>
          <w:szCs w:val="44"/>
        </w:rPr>
      </w:pPr>
    </w:p>
    <w:p w14:paraId="1D5C5FEE">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金川县人民政府∶</w:t>
      </w:r>
    </w:p>
    <w:p w14:paraId="18875312">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b/>
          <w:bCs/>
          <w:sz w:val="32"/>
          <w:szCs w:val="32"/>
        </w:rPr>
      </w:pPr>
      <w:r>
        <w:rPr>
          <w:rFonts w:hint="eastAsia" w:ascii="仿宋" w:hAnsi="仿宋" w:eastAsia="仿宋" w:cs="仿宋"/>
          <w:b/>
          <w:bCs/>
          <w:sz w:val="32"/>
          <w:szCs w:val="32"/>
        </w:rPr>
        <w:t>一、2021年度推进法治政府建设的主要</w:t>
      </w:r>
      <w:r>
        <w:rPr>
          <w:rFonts w:hint="eastAsia" w:ascii="仿宋" w:hAnsi="仿宋" w:eastAsia="仿宋" w:cs="仿宋"/>
          <w:b/>
          <w:bCs/>
          <w:sz w:val="32"/>
          <w:szCs w:val="32"/>
          <w:lang w:eastAsia="zh-CN"/>
        </w:rPr>
        <w:t>举措</w:t>
      </w:r>
      <w:r>
        <w:rPr>
          <w:rFonts w:hint="eastAsia" w:ascii="仿宋" w:hAnsi="仿宋" w:eastAsia="仿宋" w:cs="仿宋"/>
          <w:b/>
          <w:bCs/>
          <w:sz w:val="32"/>
          <w:szCs w:val="32"/>
        </w:rPr>
        <w:t>和成效</w:t>
      </w:r>
    </w:p>
    <w:p w14:paraId="089F00F4">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（一）加强领导，制定方案</w:t>
      </w:r>
    </w:p>
    <w:p w14:paraId="587922EA">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为进一步增强干部职工用法、守法的自觉性，提高领导干部依法决策、依法行政、依法管理水平，更好地履行工作职责，促进依法治县工作深入扎实开展，我局按照上级的要求，成立了依法治县工作领导小组，由局党组书记、局长</w:t>
      </w:r>
      <w:r>
        <w:rPr>
          <w:rFonts w:hint="eastAsia" w:ascii="仿宋" w:hAnsi="仿宋" w:eastAsia="仿宋" w:cs="仿宋"/>
          <w:sz w:val="32"/>
          <w:szCs w:val="32"/>
          <w:lang w:eastAsia="zh-CN"/>
        </w:rPr>
        <w:t>赵仪</w:t>
      </w:r>
      <w:r>
        <w:rPr>
          <w:rFonts w:hint="eastAsia" w:ascii="仿宋" w:hAnsi="仿宋" w:eastAsia="仿宋" w:cs="仿宋"/>
          <w:sz w:val="32"/>
          <w:szCs w:val="32"/>
        </w:rPr>
        <w:t>同志任组长，分管领导任副组长，成员由局机关各股室及各</w:t>
      </w:r>
      <w:r>
        <w:rPr>
          <w:rFonts w:hint="eastAsia" w:ascii="仿宋" w:hAnsi="仿宋" w:eastAsia="仿宋" w:cs="仿宋"/>
          <w:sz w:val="32"/>
          <w:szCs w:val="32"/>
          <w:lang w:eastAsia="zh-CN"/>
        </w:rPr>
        <w:t>站</w:t>
      </w:r>
      <w:r>
        <w:rPr>
          <w:rFonts w:hint="eastAsia" w:ascii="仿宋" w:hAnsi="仿宋" w:eastAsia="仿宋" w:cs="仿宋"/>
          <w:sz w:val="32"/>
          <w:szCs w:val="32"/>
        </w:rPr>
        <w:t>所的负责人组成，此外，我们还制定了《</w:t>
      </w:r>
      <w:r>
        <w:rPr>
          <w:rFonts w:hint="eastAsia" w:ascii="仿宋" w:hAnsi="仿宋" w:eastAsia="仿宋" w:cs="仿宋"/>
          <w:sz w:val="32"/>
          <w:szCs w:val="32"/>
          <w:lang w:eastAsia="zh-CN"/>
        </w:rPr>
        <w:t>科农畜</w:t>
      </w:r>
      <w:r>
        <w:rPr>
          <w:rFonts w:hint="eastAsia" w:ascii="仿宋" w:hAnsi="仿宋" w:eastAsia="仿宋" w:cs="仿宋"/>
          <w:sz w:val="32"/>
          <w:szCs w:val="32"/>
        </w:rPr>
        <w:t>局20</w:t>
      </w:r>
      <w:r>
        <w:rPr>
          <w:rFonts w:hint="eastAsia" w:ascii="仿宋" w:hAnsi="仿宋" w:eastAsia="仿宋" w:cs="仿宋"/>
          <w:sz w:val="32"/>
          <w:szCs w:val="32"/>
          <w:lang w:val="en-US" w:eastAsia="zh-CN"/>
        </w:rPr>
        <w:t>21</w:t>
      </w:r>
      <w:r>
        <w:rPr>
          <w:rFonts w:hint="eastAsia" w:ascii="仿宋" w:hAnsi="仿宋" w:eastAsia="仿宋" w:cs="仿宋"/>
          <w:sz w:val="32"/>
          <w:szCs w:val="32"/>
        </w:rPr>
        <w:t>年依法治县工作方案》，使依法治县工作有步骤，有组织，有计划地开展。同时，我局党组高度重视，将依法治县工作列入年度工作计划，切实做到年初有计划，年终有总结，确保我局的依法治县工作得到稳步推进。</w:t>
      </w:r>
    </w:p>
    <w:p w14:paraId="623074D9">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（二）落实责任，规范行政权力运行</w:t>
      </w:r>
    </w:p>
    <w:p w14:paraId="3D453608">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根据上级的有关要求，我们制定了《</w:t>
      </w:r>
      <w:r>
        <w:rPr>
          <w:rFonts w:hint="eastAsia" w:ascii="仿宋" w:hAnsi="仿宋" w:eastAsia="仿宋" w:cs="仿宋"/>
          <w:sz w:val="32"/>
          <w:szCs w:val="32"/>
          <w:lang w:eastAsia="zh-CN"/>
        </w:rPr>
        <w:t>科农畜</w:t>
      </w:r>
      <w:r>
        <w:rPr>
          <w:rFonts w:hint="eastAsia" w:ascii="仿宋" w:hAnsi="仿宋" w:eastAsia="仿宋" w:cs="仿宋"/>
          <w:sz w:val="32"/>
          <w:szCs w:val="32"/>
        </w:rPr>
        <w:t xml:space="preserve">局制度汇编》，做到人手一本，将执法的职责范围、内容和权限、执法标准及应当承担的责任进行分解和具体化，从局长到办事员均有明确的职责分工，做到职责分明，权力义务明确。 </w:t>
      </w:r>
    </w:p>
    <w:p w14:paraId="7DC1FCED">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（三）健全监督管理制度建设，加强监督检查</w:t>
      </w:r>
    </w:p>
    <w:p w14:paraId="545E9D31">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1、抓好政务公开工作。首先，我们在局办公场所设置了政务公开栏，我们对职责权限、办理事项、办事依据、办事程序、办事期限、办事纪律、办事结果、收费项目以及其他要求公开的事项实行了“八公开”；对内向本单位干部职工对领导干部廉洁自律情况、财务收支、机关涉廉“七项费用”情况、干部人事管理、工程项目的招投标以及其他要求公开的事项实行了“六公开”</w:t>
      </w:r>
      <w:r>
        <w:rPr>
          <w:rFonts w:hint="eastAsia" w:ascii="仿宋" w:hAnsi="仿宋" w:eastAsia="仿宋" w:cs="仿宋"/>
          <w:sz w:val="32"/>
          <w:szCs w:val="32"/>
          <w:lang w:eastAsia="zh-CN"/>
        </w:rPr>
        <w:t>。</w:t>
      </w:r>
      <w:r>
        <w:rPr>
          <w:rFonts w:hint="eastAsia" w:ascii="仿宋" w:hAnsi="仿宋" w:eastAsia="仿宋" w:cs="仿宋"/>
          <w:sz w:val="32"/>
          <w:szCs w:val="32"/>
        </w:rPr>
        <w:t>其次，抓好政务公开工作，全面推行“阳光政务”， 设置了政务公开栏，将法律法规逐一在公开栏上进行公开，进一步加大了对法律法规的宣传力度。</w:t>
      </w:r>
    </w:p>
    <w:p w14:paraId="588202A1">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2、健全监督机制，自觉接受社会监督。今年以来，我们不断健全和完善全方位的社会监督机制。一是自觉接受县人大的监督检查。每年主动接受县人大领导检查指导。二是主动接受行政监督。在</w:t>
      </w:r>
      <w:r>
        <w:rPr>
          <w:rFonts w:hint="eastAsia" w:ascii="仿宋" w:hAnsi="仿宋" w:eastAsia="仿宋" w:cs="仿宋"/>
          <w:sz w:val="32"/>
          <w:szCs w:val="32"/>
          <w:lang w:eastAsia="zh-CN"/>
        </w:rPr>
        <w:t>项目</w:t>
      </w:r>
      <w:r>
        <w:rPr>
          <w:rFonts w:hint="eastAsia" w:ascii="仿宋" w:hAnsi="仿宋" w:eastAsia="仿宋" w:cs="仿宋"/>
          <w:sz w:val="32"/>
          <w:szCs w:val="32"/>
        </w:rPr>
        <w:t>等资金管理方面，主动接受财政、税务、审计部门的监督检查。三是拓宽社会监督渠道，充分发挥社会力量对行政权力的监督作用。</w:t>
      </w:r>
    </w:p>
    <w:p w14:paraId="6A0A0574">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 xml:space="preserve">（四）形式多样，广泛宣传 </w:t>
      </w:r>
    </w:p>
    <w:p w14:paraId="78A0A4DF">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按照上级的有关要求和部署，我局党组高度重视，通过各种喜闻乐见的形式广泛宣传相关法律法规，提高了群众的法律观念意识，营造了浓厚的良好社会氛围。通过多种形式的宣传，确保了法律法规观念进一步深入民心、家喻户晓。</w:t>
      </w:r>
    </w:p>
    <w:p w14:paraId="46D986F5">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（五）狠抓学习教育，提高整体素质</w:t>
      </w:r>
    </w:p>
    <w:p w14:paraId="2869C1E1">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今年来，我们将依法行政学习教育作为日常工作的重中之中来抓好，努力建设一支依法行政、业务精湛的</w:t>
      </w:r>
      <w:r>
        <w:rPr>
          <w:rFonts w:hint="eastAsia" w:ascii="仿宋" w:hAnsi="仿宋" w:eastAsia="仿宋" w:cs="仿宋"/>
          <w:sz w:val="32"/>
          <w:szCs w:val="32"/>
          <w:lang w:eastAsia="zh-CN"/>
        </w:rPr>
        <w:t>科农畜</w:t>
      </w:r>
      <w:r>
        <w:rPr>
          <w:rFonts w:hint="eastAsia" w:ascii="仿宋" w:hAnsi="仿宋" w:eastAsia="仿宋" w:cs="仿宋"/>
          <w:sz w:val="32"/>
          <w:szCs w:val="32"/>
        </w:rPr>
        <w:t>管理队伍。一是坚持抓法律法规学习。局领导班子和股室负责人充分发挥带头表率作用，全体干部职工按照普法要求制订学习计划，规定学习的内容，采取集中学习、集中讨论和分散自学、互相交流学习体会等形式，系统地学习了相关法律法规。二是积极举办学习培训班。在积极参加上级举办各种学习培训班的同时，我们又结合实际积极举办学习培训。通过抓好干部职工的法律法规的学习培训工作，进一步提高干部职工的依法依规处理与</w:t>
      </w:r>
      <w:r>
        <w:rPr>
          <w:rFonts w:hint="eastAsia" w:ascii="仿宋" w:hAnsi="仿宋" w:eastAsia="仿宋" w:cs="仿宋"/>
          <w:sz w:val="32"/>
          <w:szCs w:val="32"/>
          <w:lang w:eastAsia="zh-CN"/>
        </w:rPr>
        <w:t>科农畜</w:t>
      </w:r>
      <w:r>
        <w:rPr>
          <w:rFonts w:hint="eastAsia" w:ascii="仿宋" w:hAnsi="仿宋" w:eastAsia="仿宋" w:cs="仿宋"/>
          <w:sz w:val="32"/>
          <w:szCs w:val="32"/>
        </w:rPr>
        <w:t>相关的各项工作的能力，进一步增强遵纪守法的自觉性。</w:t>
      </w:r>
    </w:p>
    <w:p w14:paraId="73DEBFFC">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p>
    <w:p w14:paraId="121B58A1">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p>
    <w:p w14:paraId="246CB7BC">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b/>
          <w:bCs/>
          <w:sz w:val="32"/>
          <w:szCs w:val="32"/>
        </w:rPr>
      </w:pPr>
      <w:r>
        <w:rPr>
          <w:rFonts w:hint="eastAsia" w:ascii="仿宋" w:hAnsi="仿宋" w:eastAsia="仿宋" w:cs="仿宋"/>
          <w:b/>
          <w:bCs/>
          <w:sz w:val="32"/>
          <w:szCs w:val="32"/>
        </w:rPr>
        <w:t>二、2021年度推进法治政府建设存在的不足和原因</w:t>
      </w:r>
    </w:p>
    <w:p w14:paraId="4294013E">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1、法律法规的宣传教育还不够广泛、深入，个别群众依法用地的自觉性仍不高。</w:t>
      </w:r>
    </w:p>
    <w:p w14:paraId="3C114E33">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rPr>
        <w:t>2、一些干部职工注重本部门的法律法规学习，而忽视了相关的法律法规学习，因而法律法规知识面不够广，不够全面。</w:t>
      </w:r>
    </w:p>
    <w:p w14:paraId="2D944DBC">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p>
    <w:p w14:paraId="2962F72D">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b/>
          <w:bCs/>
          <w:sz w:val="32"/>
          <w:szCs w:val="32"/>
        </w:rPr>
      </w:pPr>
      <w:r>
        <w:rPr>
          <w:rFonts w:hint="eastAsia" w:ascii="仿宋" w:hAnsi="仿宋" w:eastAsia="仿宋" w:cs="仿宋"/>
          <w:b/>
          <w:bCs/>
          <w:sz w:val="32"/>
          <w:szCs w:val="32"/>
        </w:rPr>
        <w:t>三、2021年度党政主要负责人履行</w:t>
      </w:r>
      <w:r>
        <w:rPr>
          <w:rFonts w:hint="eastAsia" w:ascii="仿宋" w:hAnsi="仿宋" w:eastAsia="仿宋" w:cs="仿宋"/>
          <w:b/>
          <w:bCs/>
          <w:sz w:val="32"/>
          <w:szCs w:val="32"/>
          <w:lang w:eastAsia="zh-CN"/>
        </w:rPr>
        <w:t>推进</w:t>
      </w:r>
      <w:r>
        <w:rPr>
          <w:rFonts w:hint="eastAsia" w:ascii="仿宋" w:hAnsi="仿宋" w:eastAsia="仿宋" w:cs="仿宋"/>
          <w:b/>
          <w:bCs/>
          <w:sz w:val="32"/>
          <w:szCs w:val="32"/>
        </w:rPr>
        <w:t>法治建设第一</w:t>
      </w:r>
      <w:r>
        <w:rPr>
          <w:rFonts w:hint="eastAsia" w:ascii="仿宋" w:hAnsi="仿宋" w:eastAsia="仿宋" w:cs="仿宋"/>
          <w:b/>
          <w:bCs/>
          <w:sz w:val="32"/>
          <w:szCs w:val="32"/>
          <w:lang w:eastAsia="zh-CN"/>
        </w:rPr>
        <w:t>责任</w:t>
      </w:r>
      <w:r>
        <w:rPr>
          <w:rFonts w:hint="eastAsia" w:ascii="仿宋" w:hAnsi="仿宋" w:eastAsia="仿宋" w:cs="仿宋"/>
          <w:b/>
          <w:bCs/>
          <w:sz w:val="32"/>
          <w:szCs w:val="32"/>
        </w:rPr>
        <w:t>人职责，加强法治政府建设的有关情况</w:t>
      </w:r>
    </w:p>
    <w:p w14:paraId="77EEBE6F">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r>
        <w:rPr>
          <w:rFonts w:hint="eastAsia" w:ascii="仿宋" w:hAnsi="仿宋" w:eastAsia="仿宋" w:cs="仿宋"/>
          <w:sz w:val="32"/>
          <w:szCs w:val="32"/>
          <w:lang w:val="en-US" w:eastAsia="zh-CN"/>
        </w:rPr>
        <w:t>2021</w:t>
      </w:r>
      <w:r>
        <w:rPr>
          <w:rFonts w:hint="eastAsia" w:ascii="仿宋" w:hAnsi="仿宋" w:eastAsia="仿宋" w:cs="仿宋"/>
          <w:sz w:val="32"/>
          <w:szCs w:val="32"/>
        </w:rPr>
        <w:t>年，我局认真执行</w:t>
      </w:r>
      <w:r>
        <w:rPr>
          <w:rFonts w:hint="eastAsia" w:ascii="仿宋" w:hAnsi="仿宋" w:eastAsia="仿宋" w:cs="仿宋"/>
          <w:sz w:val="32"/>
          <w:szCs w:val="32"/>
          <w:lang w:eastAsia="zh-CN"/>
        </w:rPr>
        <w:t>《党政主要负责人履行推进法治建设第一责任人职责规定》</w:t>
      </w:r>
      <w:r>
        <w:rPr>
          <w:rFonts w:hint="eastAsia" w:ascii="仿宋" w:hAnsi="仿宋" w:eastAsia="仿宋" w:cs="仿宋"/>
          <w:sz w:val="32"/>
          <w:szCs w:val="32"/>
        </w:rPr>
        <w:t>精神，将法治政府建设摆在工作全局的重要位置。主要负责人把履行推进法治建设第一责任人职责情况列入年终述职的重要内容，实现“述职、述廉、述法”。严格履行推进法治建设第一责任人职责，自觉运用法治思维和法治方式深化改革、推动发展、化解矛盾、维护稳定,对法治建设重要工作亲自部署、重大问题亲自过问、重点环节亲自协调、重要任务亲自督办,较好完成全年法治建设各项工作任务</w:t>
      </w:r>
      <w:r>
        <w:rPr>
          <w:rFonts w:hint="eastAsia" w:ascii="仿宋" w:hAnsi="仿宋" w:eastAsia="仿宋" w:cs="仿宋"/>
          <w:sz w:val="32"/>
          <w:szCs w:val="32"/>
          <w:lang w:eastAsia="zh-CN"/>
        </w:rPr>
        <w:t>。</w:t>
      </w:r>
      <w:r>
        <w:rPr>
          <w:rFonts w:hint="eastAsia" w:ascii="仿宋" w:hAnsi="仿宋" w:eastAsia="仿宋" w:cs="仿宋"/>
          <w:sz w:val="32"/>
          <w:szCs w:val="32"/>
        </w:rPr>
        <w:t>建立局班子对本局推进法治政府建设工作负总责，法制部门牵头，机关各</w:t>
      </w:r>
      <w:r>
        <w:rPr>
          <w:rFonts w:hint="eastAsia" w:ascii="仿宋" w:hAnsi="仿宋" w:eastAsia="仿宋" w:cs="仿宋"/>
          <w:sz w:val="32"/>
          <w:szCs w:val="32"/>
          <w:lang w:eastAsia="zh-CN"/>
        </w:rPr>
        <w:t>股</w:t>
      </w:r>
      <w:r>
        <w:rPr>
          <w:rFonts w:hint="eastAsia" w:ascii="仿宋" w:hAnsi="仿宋" w:eastAsia="仿宋" w:cs="仿宋"/>
          <w:sz w:val="32"/>
          <w:szCs w:val="32"/>
        </w:rPr>
        <w:t>室及</w:t>
      </w:r>
      <w:r>
        <w:rPr>
          <w:rFonts w:hint="eastAsia" w:ascii="仿宋" w:hAnsi="仿宋" w:eastAsia="仿宋" w:cs="仿宋"/>
          <w:sz w:val="32"/>
          <w:szCs w:val="32"/>
          <w:lang w:eastAsia="zh-CN"/>
        </w:rPr>
        <w:t>各站、所</w:t>
      </w:r>
      <w:r>
        <w:rPr>
          <w:rFonts w:hint="eastAsia" w:ascii="仿宋" w:hAnsi="仿宋" w:eastAsia="仿宋" w:cs="仿宋"/>
          <w:sz w:val="32"/>
          <w:szCs w:val="32"/>
        </w:rPr>
        <w:t>为主体的推进法治政府建设领导机制。局班子会听取本局法治政府建设情况汇报，及时研究和解决本局依法行政、法治政府建设中存在的突出问题。提交的年度法治政府建设自查报告也由主要负责人审核签发，切实履行第一责任人责任。</w:t>
      </w:r>
    </w:p>
    <w:p w14:paraId="6F773A37">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b/>
          <w:bCs/>
          <w:sz w:val="32"/>
          <w:szCs w:val="32"/>
        </w:rPr>
      </w:pPr>
      <w:r>
        <w:rPr>
          <w:rFonts w:hint="eastAsia" w:ascii="仿宋" w:hAnsi="仿宋" w:eastAsia="仿宋" w:cs="仿宋"/>
          <w:b/>
          <w:bCs/>
          <w:sz w:val="32"/>
          <w:szCs w:val="32"/>
          <w:lang w:eastAsia="zh-CN"/>
        </w:rPr>
        <w:t>四、</w:t>
      </w:r>
      <w:r>
        <w:rPr>
          <w:rFonts w:hint="eastAsia" w:ascii="仿宋" w:hAnsi="仿宋" w:eastAsia="仿宋" w:cs="仿宋"/>
          <w:b/>
          <w:bCs/>
          <w:sz w:val="32"/>
          <w:szCs w:val="32"/>
        </w:rPr>
        <w:t>下一年度推进法治政府建设的主要安排</w:t>
      </w:r>
    </w:p>
    <w:p w14:paraId="3DC83E0A">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lang w:eastAsia="zh-CN"/>
        </w:rPr>
      </w:pPr>
      <w:r>
        <w:rPr>
          <w:rFonts w:hint="eastAsia" w:ascii="仿宋" w:hAnsi="仿宋" w:eastAsia="仿宋" w:cs="仿宋"/>
          <w:sz w:val="32"/>
          <w:szCs w:val="32"/>
        </w:rPr>
        <w:t>今年以来，我</w:t>
      </w:r>
      <w:r>
        <w:rPr>
          <w:rFonts w:hint="eastAsia" w:ascii="仿宋" w:hAnsi="仿宋" w:eastAsia="仿宋" w:cs="仿宋"/>
          <w:sz w:val="32"/>
          <w:szCs w:val="32"/>
          <w:lang w:eastAsia="zh-CN"/>
        </w:rPr>
        <w:t>局</w:t>
      </w:r>
      <w:r>
        <w:rPr>
          <w:rFonts w:hint="eastAsia" w:ascii="仿宋" w:hAnsi="仿宋" w:eastAsia="仿宋" w:cs="仿宋"/>
          <w:sz w:val="32"/>
          <w:szCs w:val="32"/>
        </w:rPr>
        <w:t>在推进法治政府工作建设中虽然取得了一定成效，但与</w:t>
      </w:r>
      <w:r>
        <w:rPr>
          <w:rFonts w:hint="eastAsia" w:ascii="仿宋" w:hAnsi="仿宋" w:eastAsia="仿宋" w:cs="仿宋"/>
          <w:sz w:val="32"/>
          <w:szCs w:val="32"/>
          <w:lang w:eastAsia="zh-CN"/>
        </w:rPr>
        <w:t>县委县</w:t>
      </w:r>
      <w:r>
        <w:rPr>
          <w:rFonts w:hint="eastAsia" w:ascii="仿宋" w:hAnsi="仿宋" w:eastAsia="仿宋" w:cs="仿宋"/>
          <w:sz w:val="32"/>
          <w:szCs w:val="32"/>
        </w:rPr>
        <w:t>政府提出的坚持法治政府、法治社会一体化建设，坚持用法治思维和法治方式深化改革、推动发展、化解矛盾、维护稳定的要求还有一定差距。下一步，我</w:t>
      </w:r>
      <w:r>
        <w:rPr>
          <w:rFonts w:hint="eastAsia" w:ascii="仿宋" w:hAnsi="仿宋" w:eastAsia="仿宋" w:cs="仿宋"/>
          <w:sz w:val="32"/>
          <w:szCs w:val="32"/>
          <w:lang w:eastAsia="zh-CN"/>
        </w:rPr>
        <w:t>局</w:t>
      </w:r>
      <w:r>
        <w:rPr>
          <w:rFonts w:hint="eastAsia" w:ascii="仿宋" w:hAnsi="仿宋" w:eastAsia="仿宋" w:cs="仿宋"/>
          <w:sz w:val="32"/>
          <w:szCs w:val="32"/>
        </w:rPr>
        <w:t>将做好以下四方面工作：一是进一步完善与司法局的沟通协作机制，提高法律事项审核效率。二是加大法治培训教育比重，提高领导干部法治意识，重点提高干部运用法治思维和依法办事能力。三是继续全力做好相关信访工作，促进我</w:t>
      </w:r>
      <w:r>
        <w:rPr>
          <w:rFonts w:hint="eastAsia" w:ascii="仿宋" w:hAnsi="仿宋" w:eastAsia="仿宋" w:cs="仿宋"/>
          <w:sz w:val="32"/>
          <w:szCs w:val="32"/>
          <w:lang w:eastAsia="zh-CN"/>
        </w:rPr>
        <w:t>局</w:t>
      </w:r>
      <w:r>
        <w:rPr>
          <w:rFonts w:hint="eastAsia" w:ascii="仿宋" w:hAnsi="仿宋" w:eastAsia="仿宋" w:cs="仿宋"/>
          <w:sz w:val="32"/>
          <w:szCs w:val="32"/>
        </w:rPr>
        <w:t>信访工作规范化、法治化</w:t>
      </w:r>
      <w:r>
        <w:rPr>
          <w:rFonts w:hint="eastAsia" w:ascii="仿宋" w:hAnsi="仿宋" w:eastAsia="仿宋" w:cs="仿宋"/>
          <w:sz w:val="32"/>
          <w:szCs w:val="32"/>
          <w:lang w:eastAsia="zh-CN"/>
        </w:rPr>
        <w:t>。</w:t>
      </w:r>
    </w:p>
    <w:p w14:paraId="72758A7D">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其他需要报告的情况</w:t>
      </w:r>
    </w:p>
    <w:p w14:paraId="6DB77F64">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无</w:t>
      </w:r>
    </w:p>
    <w:p w14:paraId="30D14E0B">
      <w:pPr>
        <w:pStyle w:val="3"/>
        <w:keepNext w:val="0"/>
        <w:keepLines w:val="0"/>
        <w:widowControl/>
        <w:numPr>
          <w:ilvl w:val="0"/>
          <w:numId w:val="0"/>
        </w:numPr>
        <w:suppressLineNumbers w:val="0"/>
        <w:spacing w:before="0" w:beforeAutospacing="0" w:after="0" w:afterAutospacing="0"/>
        <w:ind w:leftChars="0" w:right="0" w:rightChars="0"/>
        <w:jc w:val="left"/>
        <w:rPr>
          <w:rFonts w:hint="eastAsia" w:ascii="仿宋" w:hAnsi="仿宋" w:eastAsia="仿宋" w:cs="仿宋"/>
          <w:sz w:val="32"/>
          <w:szCs w:val="32"/>
        </w:rPr>
      </w:pPr>
    </w:p>
    <w:p w14:paraId="167BD1C3">
      <w:pPr>
        <w:pStyle w:val="3"/>
        <w:keepNext w:val="0"/>
        <w:keepLines w:val="0"/>
        <w:widowControl/>
        <w:numPr>
          <w:ilvl w:val="0"/>
          <w:numId w:val="0"/>
        </w:numPr>
        <w:suppressLineNumbers w:val="0"/>
        <w:spacing w:before="0" w:beforeAutospacing="0" w:after="0" w:afterAutospacing="0"/>
        <w:ind w:leftChars="0" w:right="0" w:rightChars="0"/>
        <w:jc w:val="right"/>
        <w:rPr>
          <w:rFonts w:hint="eastAsia" w:ascii="仿宋" w:hAnsi="仿宋" w:eastAsia="仿宋" w:cs="仿宋"/>
          <w:sz w:val="32"/>
          <w:szCs w:val="32"/>
          <w:lang w:eastAsia="zh-CN"/>
        </w:rPr>
      </w:pPr>
    </w:p>
    <w:p w14:paraId="7694E93A">
      <w:pPr>
        <w:pStyle w:val="3"/>
        <w:keepNext w:val="0"/>
        <w:keepLines w:val="0"/>
        <w:widowControl/>
        <w:numPr>
          <w:ilvl w:val="0"/>
          <w:numId w:val="0"/>
        </w:numPr>
        <w:suppressLineNumbers w:val="0"/>
        <w:spacing w:before="0" w:beforeAutospacing="0" w:after="0" w:afterAutospacing="0"/>
        <w:ind w:leftChars="0" w:right="0" w:rightChars="0"/>
        <w:jc w:val="right"/>
        <w:rPr>
          <w:rFonts w:hint="eastAsia" w:ascii="仿宋" w:hAnsi="仿宋" w:eastAsia="仿宋" w:cs="仿宋"/>
          <w:sz w:val="32"/>
          <w:szCs w:val="32"/>
          <w:lang w:eastAsia="zh-CN"/>
        </w:rPr>
      </w:pPr>
      <w:r>
        <w:rPr>
          <w:rFonts w:hint="eastAsia" w:ascii="仿宋" w:hAnsi="仿宋" w:eastAsia="仿宋" w:cs="仿宋"/>
          <w:sz w:val="32"/>
          <w:szCs w:val="32"/>
          <w:lang w:eastAsia="zh-CN"/>
        </w:rPr>
        <w:t>金川县科学技术和农业畜牧局</w:t>
      </w:r>
    </w:p>
    <w:p w14:paraId="38AB4602">
      <w:pPr>
        <w:pStyle w:val="3"/>
        <w:keepNext w:val="0"/>
        <w:keepLines w:val="0"/>
        <w:widowControl/>
        <w:numPr>
          <w:ilvl w:val="0"/>
          <w:numId w:val="0"/>
        </w:numPr>
        <w:suppressLineNumbers w:val="0"/>
        <w:spacing w:before="0" w:beforeAutospacing="0" w:after="0" w:afterAutospacing="0"/>
        <w:ind w:leftChars="0" w:right="0" w:rightChars="0"/>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2022年2月21日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349B2"/>
    <w:rsid w:val="065E532B"/>
    <w:rsid w:val="0C366035"/>
    <w:rsid w:val="437B328A"/>
    <w:rsid w:val="678349B2"/>
    <w:rsid w:val="6B1C5F2D"/>
    <w:rsid w:val="74A5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uiPriority w:val="0"/>
    <w:pPr>
      <w:ind w:firstLine="640" w:firstLineChars="200"/>
    </w:pPr>
    <w:rPr>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2000</Words>
  <Characters>2022</Characters>
  <Lines>0</Lines>
  <Paragraphs>0</Paragraphs>
  <TotalTime>3</TotalTime>
  <ScaleCrop>false</ScaleCrop>
  <LinksUpToDate>false</LinksUpToDate>
  <CharactersWithSpaces>2045</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2022-02-21T08:34:00Z</dcterms:created>
  <dc:creator>沈哥</dc:creator>
  <cp:lastModifiedBy>盐星星</cp:lastModifiedBy>
  <cp:lastPrinted>2022-02-21T09:22:00Z</cp:lastPrinted>
  <dcterms:modified xsi:type="dcterms:W3CDTF">2026-07-17T09:33:05Z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KSOTemplateDocerSaveRecord">
    <vt:lpwstr>eyJoZGlkIjoiNzkyYzRhOGNmZjI2NTRmMmU4ZjYwMzM3MDcwMmEzMWYiLCJ1c2VySWQiOiIxMDYwOTQ0NDM1In0=</vt:lpwstr>
  </property>
  <property fmtid="{D5CDD505-2E9C-101B-9397-08002B2CF9AE}" pid="4" name="ICV">
    <vt:lpwstr>F13B932E1E2343B085AA096DB35EE3C2_12</vt:lpwstr>
  </property>
</Properties>
</file>