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Times New Roman" w:hAnsi="Times New Roman" w:eastAsia="仿宋" w:cs="Times New Roman"/>
          <w:sz w:val="32"/>
          <w:szCs w:val="32"/>
          <w:lang w:val="en-US" w:eastAsia="zh-CN"/>
        </w:rPr>
      </w:pPr>
      <w:r>
        <w:drawing>
          <wp:anchor distT="0" distB="0" distL="114300" distR="114300" simplePos="0" relativeHeight="251660288" behindDoc="1" locked="0" layoutInCell="1" allowOverlap="1">
            <wp:simplePos x="0" y="0"/>
            <wp:positionH relativeFrom="column">
              <wp:posOffset>-312420</wp:posOffset>
            </wp:positionH>
            <wp:positionV relativeFrom="paragraph">
              <wp:posOffset>182880</wp:posOffset>
            </wp:positionV>
            <wp:extent cx="5943600" cy="2431415"/>
            <wp:effectExtent l="0" t="0" r="0" b="6985"/>
            <wp:wrapNone/>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4"/>
                    <a:stretch>
                      <a:fillRect/>
                    </a:stretch>
                  </pic:blipFill>
                  <pic:spPr>
                    <a:xfrm>
                      <a:off x="0" y="0"/>
                      <a:ext cx="5943600" cy="2431415"/>
                    </a:xfrm>
                    <a:prstGeom prst="rect">
                      <a:avLst/>
                    </a:prstGeom>
                    <a:noFill/>
                    <a:ln>
                      <a:noFill/>
                    </a:ln>
                  </pic:spPr>
                </pic:pic>
              </a:graphicData>
            </a:graphic>
          </wp:anchor>
        </w:drawing>
      </w:r>
    </w:p>
    <w:p>
      <w:pPr>
        <w:jc w:val="both"/>
        <w:rPr>
          <w:rFonts w:hint="default" w:ascii="Times New Roman" w:hAnsi="Times New Roman" w:eastAsia="仿宋" w:cs="Times New Roman"/>
          <w:sz w:val="32"/>
          <w:szCs w:val="32"/>
          <w:lang w:val="en-US" w:eastAsia="zh-CN"/>
        </w:rPr>
      </w:pPr>
    </w:p>
    <w:p>
      <w:pPr>
        <w:jc w:val="both"/>
        <w:rPr>
          <w:rFonts w:hint="default" w:ascii="Times New Roman" w:hAnsi="Times New Roman" w:eastAsia="仿宋" w:cs="Times New Roman"/>
          <w:sz w:val="32"/>
          <w:szCs w:val="32"/>
          <w:lang w:val="en-US" w:eastAsia="zh-CN"/>
        </w:rPr>
      </w:pPr>
    </w:p>
    <w:p>
      <w:pPr>
        <w:jc w:val="both"/>
        <w:rPr>
          <w:rFonts w:hint="default" w:ascii="Times New Roman" w:hAnsi="Times New Roman" w:eastAsia="仿宋" w:cs="Times New Roman"/>
          <w:sz w:val="32"/>
          <w:szCs w:val="32"/>
          <w:lang w:val="en-US" w:eastAsia="zh-CN"/>
        </w:rPr>
      </w:pPr>
    </w:p>
    <w:p>
      <w:pPr>
        <w:jc w:val="both"/>
        <w:rPr>
          <w:rFonts w:hint="default" w:ascii="Times New Roman" w:hAnsi="Times New Roman" w:eastAsia="仿宋" w:cs="Times New Roman"/>
          <w:sz w:val="32"/>
          <w:szCs w:val="32"/>
          <w:lang w:val="en-US" w:eastAsia="zh-CN"/>
        </w:rPr>
      </w:pPr>
    </w:p>
    <w:p>
      <w:pPr>
        <w:jc w:val="both"/>
        <w:rPr>
          <w:rFonts w:hint="default"/>
          <w:lang w:val="en-US" w:eastAsia="zh-CN"/>
        </w:rPr>
      </w:pPr>
      <w:r>
        <w:rPr>
          <w:rFonts w:hint="default" w:ascii="Times New Roman" w:hAnsi="Times New Roman" w:eastAsia="仿宋" w:cs="Times New Roman"/>
          <w:sz w:val="32"/>
          <w:szCs w:val="32"/>
          <w:lang w:val="en-US" w:eastAsia="zh-CN"/>
        </w:rPr>
        <w:t>金民宗</w:t>
      </w:r>
      <w:r>
        <w:rPr>
          <w:rFonts w:hint="default" w:ascii="Times New Roman" w:hAnsi="Times New Roman" w:eastAsia="宋体" w:cs="Times New Roman"/>
          <w:sz w:val="32"/>
          <w:szCs w:val="32"/>
          <w:lang w:val="en-US" w:eastAsia="zh-CN"/>
        </w:rPr>
        <w:t>〔20</w:t>
      </w:r>
      <w:r>
        <w:rPr>
          <w:rFonts w:hint="eastAsia" w:cs="Times New Roman"/>
          <w:sz w:val="32"/>
          <w:szCs w:val="32"/>
          <w:lang w:val="en-US" w:eastAsia="zh-CN"/>
        </w:rPr>
        <w:t>22</w:t>
      </w:r>
      <w:r>
        <w:rPr>
          <w:rFonts w:hint="default" w:ascii="Times New Roman" w:hAnsi="Times New Roman" w:eastAsia="宋体" w:cs="Times New Roman"/>
          <w:sz w:val="32"/>
          <w:szCs w:val="32"/>
          <w:lang w:val="en-US" w:eastAsia="zh-CN"/>
        </w:rPr>
        <w:t>〕</w:t>
      </w:r>
      <w:r>
        <w:rPr>
          <w:rFonts w:hint="eastAsia" w:cs="Times New Roman"/>
          <w:sz w:val="32"/>
          <w:szCs w:val="32"/>
          <w:lang w:val="en-US" w:eastAsia="zh-CN"/>
        </w:rPr>
        <w:t xml:space="preserve">16 </w:t>
      </w:r>
      <w:r>
        <w:rPr>
          <w:rFonts w:hint="default" w:ascii="Times New Roman" w:hAnsi="Times New Roman" w:eastAsia="仿宋" w:cs="Times New Roman"/>
          <w:sz w:val="32"/>
          <w:szCs w:val="32"/>
          <w:lang w:val="en-US" w:eastAsia="zh-CN"/>
        </w:rPr>
        <w:t xml:space="preserve">号               </w:t>
      </w: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签发人：</w:t>
      </w:r>
      <w:r>
        <w:rPr>
          <w:rFonts w:hint="eastAsia" w:eastAsia="仿宋" w:cs="Times New Roman"/>
          <w:sz w:val="32"/>
          <w:szCs w:val="32"/>
          <w:lang w:val="en-US" w:eastAsia="zh-CN"/>
        </w:rPr>
        <w:t>刘麦</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default" w:ascii="仿宋" w:hAnsi="仿宋" w:eastAsia="仿宋" w:cs="仿宋"/>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金川县民族宗教局</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关于2021年度法治政府建设</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工作情况的报告</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cs="仿宋"/>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金川县人民政府：</w:t>
      </w:r>
      <w:r>
        <w:rPr>
          <w:rFonts w:hint="eastAsia" w:ascii="仿宋_GB2312" w:hAnsi="仿宋_GB2312" w:eastAsia="仿宋_GB2312" w:cs="仿宋_GB2312"/>
          <w:b w:val="0"/>
          <w:bCs w:val="0"/>
          <w:sz w:val="32"/>
          <w:szCs w:val="32"/>
          <w:lang w:val="en-US" w:eastAsia="zh-CN"/>
        </w:rPr>
        <w:fldChar w:fldCharType="begin"/>
      </w:r>
      <w:r>
        <w:rPr>
          <w:rFonts w:hint="eastAsia" w:ascii="仿宋_GB2312" w:hAnsi="仿宋_GB2312" w:eastAsia="仿宋_GB2312" w:cs="仿宋_GB2312"/>
          <w:b w:val="0"/>
          <w:bCs w:val="0"/>
          <w:sz w:val="32"/>
          <w:szCs w:val="32"/>
          <w:lang w:val="en-US" w:eastAsia="zh-CN"/>
        </w:rPr>
        <w:instrText xml:space="preserve"> HYPERLINK "http://jtj.abazhou.gov.cn/abzjtysj/c100004/202101/007adc6cfff2425aaadd41878074173a.shtml" </w:instrText>
      </w:r>
      <w:r>
        <w:rPr>
          <w:rFonts w:hint="eastAsia" w:ascii="仿宋_GB2312" w:hAnsi="仿宋_GB2312" w:eastAsia="仿宋_GB2312" w:cs="仿宋_GB2312"/>
          <w:b w:val="0"/>
          <w:bCs w:val="0"/>
          <w:sz w:val="32"/>
          <w:szCs w:val="32"/>
          <w:lang w:val="en-US" w:eastAsia="zh-CN"/>
        </w:rPr>
        <w:fldChar w:fldCharType="separate"/>
      </w:r>
      <w:r>
        <w:rPr>
          <w:rFonts w:hint="eastAsia" w:ascii="仿宋_GB2312" w:hAnsi="仿宋_GB2312" w:eastAsia="仿宋_GB2312" w:cs="仿宋_GB2312"/>
          <w:b w:val="0"/>
          <w:bCs w:val="0"/>
          <w:sz w:val="32"/>
          <w:szCs w:val="32"/>
          <w:lang w:val="en-US" w:eastAsia="zh-CN"/>
        </w:rPr>
        <w:fldChar w:fldCharType="end"/>
      </w:r>
      <w:r>
        <w:rPr>
          <w:rFonts w:hint="eastAsia" w:ascii="仿宋_GB2312" w:hAnsi="仿宋_GB2312" w:eastAsia="仿宋_GB2312" w:cs="仿宋_GB2312"/>
          <w:b w:val="0"/>
          <w:bCs w:val="0"/>
          <w:sz w:val="32"/>
          <w:szCs w:val="32"/>
          <w:lang w:val="en-US" w:eastAsia="zh-CN"/>
        </w:rPr>
        <w:fldChar w:fldCharType="begin"/>
      </w:r>
      <w:r>
        <w:rPr>
          <w:rFonts w:hint="eastAsia" w:ascii="仿宋_GB2312" w:hAnsi="仿宋_GB2312" w:eastAsia="仿宋_GB2312" w:cs="仿宋_GB2312"/>
          <w:b w:val="0"/>
          <w:bCs w:val="0"/>
          <w:sz w:val="32"/>
          <w:szCs w:val="32"/>
          <w:lang w:val="en-US" w:eastAsia="zh-CN"/>
        </w:rPr>
        <w:instrText xml:space="preserve"> HYPERLINK "http://jtj.abazhou.gov.cn/abzjtysj/c100004/202101/007adc6cfff2425aaadd41878074173a.shtml" \o "分享到微信" </w:instrText>
      </w:r>
      <w:r>
        <w:rPr>
          <w:rFonts w:hint="eastAsia" w:ascii="仿宋_GB2312" w:hAnsi="仿宋_GB2312" w:eastAsia="仿宋_GB2312" w:cs="仿宋_GB2312"/>
          <w:b w:val="0"/>
          <w:bCs w:val="0"/>
          <w:sz w:val="32"/>
          <w:szCs w:val="32"/>
          <w:lang w:val="en-US" w:eastAsia="zh-CN"/>
        </w:rPr>
        <w:fldChar w:fldCharType="separate"/>
      </w:r>
      <w:r>
        <w:rPr>
          <w:rFonts w:hint="eastAsia" w:ascii="仿宋_GB2312" w:hAnsi="仿宋_GB2312" w:eastAsia="仿宋_GB2312" w:cs="仿宋_GB2312"/>
          <w:b w:val="0"/>
          <w:bCs w:val="0"/>
          <w:sz w:val="32"/>
          <w:szCs w:val="32"/>
          <w:lang w:val="en-US" w:eastAsia="zh-CN"/>
        </w:rPr>
        <w:fldChar w:fldCharType="end"/>
      </w:r>
      <w:r>
        <w:rPr>
          <w:rFonts w:hint="eastAsia" w:ascii="仿宋_GB2312" w:hAnsi="仿宋_GB2312" w:eastAsia="仿宋_GB2312" w:cs="仿宋_GB2312"/>
          <w:b w:val="0"/>
          <w:bCs w:val="0"/>
          <w:sz w:val="32"/>
          <w:szCs w:val="32"/>
          <w:lang w:val="en-US" w:eastAsia="zh-CN"/>
        </w:rPr>
        <w:fldChar w:fldCharType="begin"/>
      </w:r>
      <w:r>
        <w:rPr>
          <w:rFonts w:hint="eastAsia" w:ascii="仿宋_GB2312" w:hAnsi="仿宋_GB2312" w:eastAsia="仿宋_GB2312" w:cs="仿宋_GB2312"/>
          <w:b w:val="0"/>
          <w:bCs w:val="0"/>
          <w:sz w:val="32"/>
          <w:szCs w:val="32"/>
          <w:lang w:val="en-US" w:eastAsia="zh-CN"/>
        </w:rPr>
        <w:instrText xml:space="preserve"> HYPERLINK "http://jtj.abazhou.gov.cn/abzjtysj/c100004/202101/007adc6cfff2425aaadd41878074173a.shtml" \o "分享到QQ空间" </w:instrText>
      </w:r>
      <w:r>
        <w:rPr>
          <w:rFonts w:hint="eastAsia" w:ascii="仿宋_GB2312" w:hAnsi="仿宋_GB2312" w:eastAsia="仿宋_GB2312" w:cs="仿宋_GB2312"/>
          <w:b w:val="0"/>
          <w:bCs w:val="0"/>
          <w:sz w:val="32"/>
          <w:szCs w:val="32"/>
          <w:lang w:val="en-US" w:eastAsia="zh-CN"/>
        </w:rPr>
        <w:fldChar w:fldCharType="separate"/>
      </w:r>
      <w:r>
        <w:rPr>
          <w:rFonts w:hint="eastAsia" w:ascii="仿宋_GB2312" w:hAnsi="仿宋_GB2312" w:eastAsia="仿宋_GB2312" w:cs="仿宋_GB2312"/>
          <w:b w:val="0"/>
          <w:bCs w:val="0"/>
          <w:sz w:val="32"/>
          <w:szCs w:val="32"/>
          <w:lang w:val="en-US" w:eastAsia="zh-CN"/>
        </w:rPr>
        <w:fldChar w:fldCharType="end"/>
      </w:r>
      <w:r>
        <w:rPr>
          <w:rFonts w:hint="eastAsia" w:ascii="仿宋_GB2312" w:hAnsi="仿宋_GB2312" w:eastAsia="仿宋_GB2312" w:cs="仿宋_GB2312"/>
          <w:b w:val="0"/>
          <w:bCs w:val="0"/>
          <w:sz w:val="32"/>
          <w:szCs w:val="32"/>
          <w:lang w:val="en-US" w:eastAsia="zh-CN"/>
        </w:rPr>
        <w:fldChar w:fldCharType="begin"/>
      </w:r>
      <w:r>
        <w:rPr>
          <w:rFonts w:hint="eastAsia" w:ascii="仿宋_GB2312" w:hAnsi="仿宋_GB2312" w:eastAsia="仿宋_GB2312" w:cs="仿宋_GB2312"/>
          <w:b w:val="0"/>
          <w:bCs w:val="0"/>
          <w:sz w:val="32"/>
          <w:szCs w:val="32"/>
          <w:lang w:val="en-US" w:eastAsia="zh-CN"/>
        </w:rPr>
        <w:instrText xml:space="preserve"> HYPERLINK "http://jtj.abazhou.gov.cn/abzjtysj/c100004/202101/007adc6cfff2425aaadd41878074173a.shtml" \o "分享到新浪微博" </w:instrText>
      </w:r>
      <w:r>
        <w:rPr>
          <w:rFonts w:hint="eastAsia" w:ascii="仿宋_GB2312" w:hAnsi="仿宋_GB2312" w:eastAsia="仿宋_GB2312" w:cs="仿宋_GB2312"/>
          <w:b w:val="0"/>
          <w:bCs w:val="0"/>
          <w:sz w:val="32"/>
          <w:szCs w:val="32"/>
          <w:lang w:val="en-US" w:eastAsia="zh-CN"/>
        </w:rPr>
        <w:fldChar w:fldCharType="separate"/>
      </w:r>
      <w:r>
        <w:rPr>
          <w:rFonts w:hint="eastAsia" w:ascii="仿宋_GB2312" w:hAnsi="仿宋_GB2312" w:eastAsia="仿宋_GB2312" w:cs="仿宋_GB2312"/>
          <w:b w:val="0"/>
          <w:bCs w:val="0"/>
          <w:sz w:val="32"/>
          <w:szCs w:val="32"/>
          <w:lang w:val="en-US" w:eastAsia="zh-CN"/>
        </w:rPr>
        <w:fldChar w:fldCharType="end"/>
      </w:r>
      <w:r>
        <w:rPr>
          <w:rFonts w:hint="eastAsia" w:ascii="仿宋_GB2312" w:hAnsi="仿宋_GB2312" w:eastAsia="仿宋_GB2312" w:cs="仿宋_GB2312"/>
          <w:b w:val="0"/>
          <w:bCs w:val="0"/>
          <w:sz w:val="32"/>
          <w:szCs w:val="32"/>
          <w:lang w:val="en-US" w:eastAsia="zh-CN"/>
        </w:rPr>
        <w:fldChar w:fldCharType="begin"/>
      </w:r>
      <w:r>
        <w:rPr>
          <w:rFonts w:hint="eastAsia" w:ascii="仿宋_GB2312" w:hAnsi="仿宋_GB2312" w:eastAsia="仿宋_GB2312" w:cs="仿宋_GB2312"/>
          <w:b w:val="0"/>
          <w:bCs w:val="0"/>
          <w:sz w:val="32"/>
          <w:szCs w:val="32"/>
          <w:lang w:val="en-US" w:eastAsia="zh-CN"/>
        </w:rPr>
        <w:instrText xml:space="preserve"> HYPERLINK "http://jtj.abazhou.gov.cn/abzjtysj/c100004/202101/007adc6cfff2425aaadd41878074173a.shtml" \o "分享到打印" </w:instrText>
      </w:r>
      <w:r>
        <w:rPr>
          <w:rFonts w:hint="eastAsia" w:ascii="仿宋_GB2312" w:hAnsi="仿宋_GB2312" w:eastAsia="仿宋_GB2312" w:cs="仿宋_GB2312"/>
          <w:b w:val="0"/>
          <w:bCs w:val="0"/>
          <w:sz w:val="32"/>
          <w:szCs w:val="32"/>
          <w:lang w:val="en-US" w:eastAsia="zh-CN"/>
        </w:rPr>
        <w:fldChar w:fldCharType="separate"/>
      </w:r>
      <w:r>
        <w:rPr>
          <w:rFonts w:hint="eastAsia" w:ascii="仿宋_GB2312" w:hAnsi="仿宋_GB2312" w:eastAsia="仿宋_GB2312" w:cs="仿宋_GB2312"/>
          <w:b w:val="0"/>
          <w:bCs w:val="0"/>
          <w:sz w:val="32"/>
          <w:szCs w:val="32"/>
          <w:lang w:val="en-US" w:eastAsia="zh-CN"/>
        </w:rPr>
        <w:fldChar w:fldCharType="end"/>
      </w:r>
      <w:r>
        <w:rPr>
          <w:rFonts w:hint="eastAsia" w:ascii="仿宋_GB2312" w:hAnsi="仿宋_GB2312" w:eastAsia="仿宋_GB2312" w:cs="仿宋_GB2312"/>
          <w:b w:val="0"/>
          <w:bCs w:val="0"/>
          <w:sz w:val="32"/>
          <w:szCs w:val="32"/>
          <w:lang w:val="en-US" w:eastAsia="zh-CN"/>
        </w:rPr>
        <w:fldChar w:fldCharType="begin"/>
      </w:r>
      <w:r>
        <w:rPr>
          <w:rFonts w:hint="eastAsia" w:ascii="仿宋_GB2312" w:hAnsi="仿宋_GB2312" w:eastAsia="仿宋_GB2312" w:cs="仿宋_GB2312"/>
          <w:b w:val="0"/>
          <w:bCs w:val="0"/>
          <w:sz w:val="32"/>
          <w:szCs w:val="32"/>
          <w:lang w:val="en-US" w:eastAsia="zh-CN"/>
        </w:rPr>
        <w:instrText xml:space="preserve"> HYPERLINK "http://jtj.abazhou.gov.cn/abzjtysj/c100004/202101/007adc6cfff2425aaadd41878074173a.shtml" \o "分享到复制网址" </w:instrText>
      </w:r>
      <w:r>
        <w:rPr>
          <w:rFonts w:hint="eastAsia" w:ascii="仿宋_GB2312" w:hAnsi="仿宋_GB2312" w:eastAsia="仿宋_GB2312" w:cs="仿宋_GB2312"/>
          <w:b w:val="0"/>
          <w:bCs w:val="0"/>
          <w:sz w:val="32"/>
          <w:szCs w:val="32"/>
          <w:lang w:val="en-US" w:eastAsia="zh-CN"/>
        </w:rPr>
        <w:fldChar w:fldCharType="separate"/>
      </w:r>
      <w:r>
        <w:rPr>
          <w:rFonts w:hint="eastAsia" w:ascii="仿宋_GB2312" w:hAnsi="仿宋_GB2312" w:eastAsia="仿宋_GB2312" w:cs="仿宋_GB2312"/>
          <w:b w:val="0"/>
          <w:bCs w:val="0"/>
          <w:sz w:val="32"/>
          <w:szCs w:val="32"/>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2021年，在县委、县政府的坚强领导下，我局认真贯彻十九届五中、六中全会精神和中央、省、州、县关于法治政府建设的决策部署，以基本建成职能科学、权责法定、执法严明、公正公开、廉洁高效、守法诚信的民族宗教法治政府部门为目标，严格落实法治政府建设与责任落实督察工作规定,始终把法治政府部门建设放在民族宗教发展稳定大局中谋划和推进。紧紧围绕推动全县民族宗教事业高质量发展，全县宗教领域初步形成了尊法守制、公平正义、诚信文明、稳定和谐的新格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一、2021年度推进法治政府建设的主要举措和成效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bCs/>
          <w:sz w:val="32"/>
          <w:szCs w:val="32"/>
          <w:lang w:val="en-US" w:eastAsia="zh-CN"/>
        </w:rPr>
      </w:pPr>
      <w:r>
        <w:rPr>
          <w:rFonts w:hint="eastAsia" w:ascii="楷体_GB2312" w:hAnsi="楷体_GB2312" w:eastAsia="楷体_GB2312" w:cs="楷体_GB2312"/>
          <w:b w:val="0"/>
          <w:bCs w:val="0"/>
          <w:sz w:val="32"/>
          <w:szCs w:val="32"/>
          <w:lang w:val="en-US" w:eastAsia="zh-CN"/>
        </w:rPr>
        <w:t>（一）“狠”抓法治政府部门建设</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textAlignment w:val="auto"/>
        <w:rPr>
          <w:rFonts w:hint="eastAsia" w:ascii="仿宋" w:hAnsi="仿宋" w:eastAsia="仿宋" w:cs="仿宋"/>
          <w:b w:val="0"/>
          <w:bCs w:val="0"/>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val="0"/>
          <w:bCs w:val="0"/>
          <w:sz w:val="32"/>
          <w:szCs w:val="32"/>
          <w:lang w:val="en-US" w:eastAsia="zh-CN"/>
        </w:rPr>
        <w:t>立足工作实际，印发并组织实施了《金川县民族宗教局2021年法治政府部门工作要点》、《金川县民族宗教局“八五”普法2021年工作实施方案》，进一步明确工作目标、压实工作责任，着力推进宗教领域法治建设。</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坚持依法治理。依法保障各族群众合法权利，着力提升民族事务治理体系和治理能力现代化水平。</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b w:val="0"/>
          <w:bCs w:val="0"/>
          <w:sz w:val="32"/>
          <w:szCs w:val="32"/>
          <w:lang w:val="en-US" w:eastAsia="zh-CN"/>
        </w:rPr>
        <w:t>印发了《“谁执法谁普法”普法责任制》。切实承担起法治宣传教育责任，充分履行主管领域和相关行业法律法规宣传职能，积极组织开展各类专项法治宣传活动，建立了以宗教活动场所为主的法治宣传阵地。</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b w:val="0"/>
          <w:bCs w:val="0"/>
          <w:sz w:val="32"/>
          <w:szCs w:val="32"/>
          <w:lang w:val="en-US" w:eastAsia="zh-CN"/>
        </w:rPr>
        <w:t>坚持领导干部会前学法和职工集中、自学相结合的学法制度，突出学习宣传宪法,深入学习宣传中国特色社会主义法律体系和国家基本法律；学习民族宗教法律法规和与履行职责相关的专门法律知识。组织开展干部职工法律知识测试，进一步强化了依法履职能力。</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（二）“实”抓行政审批工作</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val="0"/>
          <w:bCs w:val="0"/>
          <w:sz w:val="32"/>
          <w:szCs w:val="32"/>
          <w:lang w:val="en-US" w:eastAsia="zh-CN"/>
        </w:rPr>
        <w:t>抓好依法行政工作。搭建政务一体化服务平台，建立行政权力“三张清单”，开展行政权力清理，清理出行政权力事项为49项，行政许可7项，行政处罚39项，行政确认1项，行政奖励1项，其他行政权力1项。</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积极开展政务公开，依据《中华人民共和国政府信息公开条例》，按照相关文件要求，结合工作实际，进一步加强组织领导，明确责任分工，细化工作任务。通过四川省政府信息公开管理目录系统公开政务。</w:t>
      </w:r>
    </w:p>
    <w:p>
      <w:pPr>
        <w:keepNext w:val="0"/>
        <w:keepLines w:val="0"/>
        <w:pageBreakBefore w:val="0"/>
        <w:widowControl w:val="0"/>
        <w:numPr>
          <w:ilvl w:val="0"/>
          <w:numId w:val="1"/>
        </w:numPr>
        <w:pBdr>
          <w:bottom w:val="single" w:color="FFFFFF" w:sz="4" w:space="29"/>
        </w:pBdr>
        <w:tabs>
          <w:tab w:val="left" w:pos="1440"/>
        </w:tabs>
        <w:kinsoku/>
        <w:wordWrap/>
        <w:overflowPunct/>
        <w:topLinePunct w:val="0"/>
        <w:autoSpaceDE/>
        <w:autoSpaceDN/>
        <w:bidi w:val="0"/>
        <w:adjustRightInd/>
        <w:snapToGrid/>
        <w:spacing w:line="520" w:lineRule="exact"/>
        <w:ind w:right="0" w:rightChars="0"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“紧”抓法治宣传工作</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20" w:lineRule="exact"/>
        <w:ind w:right="0" w:rightChars="0" w:firstLine="720" w:firstLineChars="200"/>
        <w:jc w:val="both"/>
        <w:textAlignment w:val="auto"/>
        <w:rPr>
          <w:rFonts w:hint="eastAsia" w:ascii="仿宋_GB2312" w:hAnsi="仿宋_GB2312" w:eastAsia="仿宋_GB2312" w:cs="仿宋_GB2312"/>
          <w:b w:val="0"/>
          <w:bCs w:val="0"/>
          <w:sz w:val="36"/>
          <w:szCs w:val="36"/>
          <w:lang w:val="en-US" w:eastAsia="zh-CN"/>
        </w:rPr>
      </w:pPr>
      <w:r>
        <w:rPr>
          <w:rFonts w:hint="eastAsia" w:ascii="仿宋_GB2312" w:hAnsi="仿宋_GB2312" w:eastAsia="仿宋_GB2312" w:cs="仿宋_GB2312"/>
          <w:b w:val="0"/>
          <w:bCs w:val="0"/>
          <w:sz w:val="36"/>
          <w:szCs w:val="36"/>
          <w:lang w:val="en-US" w:eastAsia="zh-CN"/>
        </w:rPr>
        <w:t>按照既定计划，我局把强化依法行政、行政执法、法治培训、民族宗教、“八五” 普法、“法律政策进寺庙”工作作为本局推进依法治县的重点工作，制定了法治人才培养专项规划，今年对宗教干部集中培训和分散培训4次，民宗、佛协、寺管所宗教干部培训全覆盖；组织寺管会主任、副主任、开展集中培训2次，切实提升了寺庙法律明白人的法治意识；统战、民宗、司法、佛协、寺管所及相关部门对各寺僧尼开展各项宣讲60余次，发放相关资料3000余份，受教育僧尼及信教群众5000余人，统战、民宗、佛协组织僧尼参加省、州、县相关考察培训2次，覆盖僧尼10余人，加强对法治人才培养。</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20" w:lineRule="exact"/>
        <w:ind w:right="0" w:rightChars="0"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（四）“牢”抓会前学法制度</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20" w:lineRule="exact"/>
        <w:ind w:right="0" w:rightChars="0" w:firstLine="723" w:firstLineChars="200"/>
        <w:jc w:val="both"/>
        <w:textAlignment w:val="auto"/>
        <w:rPr>
          <w:rFonts w:hint="eastAsia" w:ascii="仿宋_GB2312" w:hAnsi="仿宋_GB2312" w:eastAsia="仿宋_GB2312" w:cs="仿宋_GB2312"/>
          <w:b w:val="0"/>
          <w:bCs w:val="0"/>
          <w:sz w:val="36"/>
          <w:szCs w:val="36"/>
          <w:lang w:val="en-US" w:eastAsia="zh-CN"/>
        </w:rPr>
      </w:pPr>
      <w:r>
        <w:rPr>
          <w:rFonts w:hint="eastAsia" w:ascii="仿宋_GB2312" w:hAnsi="仿宋_GB2312" w:eastAsia="仿宋_GB2312" w:cs="仿宋_GB2312"/>
          <w:b/>
          <w:bCs/>
          <w:sz w:val="36"/>
          <w:szCs w:val="36"/>
          <w:lang w:val="en-US" w:eastAsia="zh-CN"/>
        </w:rPr>
        <w:t>一是</w:t>
      </w:r>
      <w:r>
        <w:rPr>
          <w:rFonts w:hint="eastAsia" w:ascii="仿宋_GB2312" w:hAnsi="仿宋_GB2312" w:eastAsia="仿宋_GB2312" w:cs="仿宋_GB2312"/>
          <w:b w:val="0"/>
          <w:bCs w:val="0"/>
          <w:sz w:val="36"/>
          <w:szCs w:val="36"/>
          <w:lang w:val="en-US" w:eastAsia="zh-CN"/>
        </w:rPr>
        <w:t>建立健全了党组会、局务会会前学法学纪的制度，重点加强对宪法、法律、法治建设理论学习和培训。完成了对《宪法》《民法典》《宗教事务条例》等近10余部法律法规、政策性文件的专题学习。</w:t>
      </w:r>
      <w:r>
        <w:rPr>
          <w:rFonts w:hint="eastAsia" w:ascii="仿宋_GB2312" w:hAnsi="仿宋_GB2312" w:eastAsia="仿宋_GB2312" w:cs="仿宋_GB2312"/>
          <w:b/>
          <w:bCs/>
          <w:sz w:val="36"/>
          <w:szCs w:val="36"/>
          <w:lang w:val="en-US" w:eastAsia="zh-CN"/>
        </w:rPr>
        <w:t>二是</w:t>
      </w:r>
      <w:r>
        <w:rPr>
          <w:rFonts w:hint="eastAsia" w:ascii="仿宋_GB2312" w:hAnsi="仿宋_GB2312" w:eastAsia="仿宋_GB2312" w:cs="仿宋_GB2312"/>
          <w:b w:val="0"/>
          <w:bCs w:val="0"/>
          <w:sz w:val="36"/>
          <w:szCs w:val="36"/>
          <w:lang w:val="en-US" w:eastAsia="zh-CN"/>
        </w:rPr>
        <w:t>通过中心组理论专题学习、举办知识讲座和培训班、自学等多种方式，学习宣传贯彻</w:t>
      </w:r>
      <w:bookmarkStart w:id="0" w:name="_GoBack"/>
      <w:bookmarkEnd w:id="0"/>
      <w:r>
        <w:rPr>
          <w:rFonts w:hint="eastAsia" w:ascii="仿宋_GB2312" w:hAnsi="仿宋_GB2312" w:eastAsia="仿宋_GB2312" w:cs="仿宋_GB2312"/>
          <w:b w:val="0"/>
          <w:bCs w:val="0"/>
          <w:sz w:val="36"/>
          <w:szCs w:val="36"/>
          <w:lang w:val="en-US" w:eastAsia="zh-CN"/>
        </w:rPr>
        <w:t>《宪法》《宗教事务条例》《行政复议法》等重要法律法规。干部职工每年至少集中学法12次以上，并严格贯彻落实公务员学法考法制度，每年积极组织领导干部及公务员参加年度法律知识学习及考试，参考率达100%。引导广大领导干部职工逐步形成“在学习中工作，在工作中学习”的良好学法用法习惯。</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20" w:lineRule="exact"/>
        <w:ind w:right="0" w:rightChars="0"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（五）“深”抓依法开展疫情防控</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20" w:lineRule="exact"/>
        <w:ind w:right="0" w:rightChars="0" w:firstLine="723" w:firstLineChars="200"/>
        <w:jc w:val="both"/>
        <w:textAlignment w:val="auto"/>
        <w:rPr>
          <w:rFonts w:hint="eastAsia" w:ascii="仿宋_GB2312" w:hAnsi="仿宋_GB2312" w:eastAsia="仿宋_GB2312" w:cs="仿宋_GB2312"/>
          <w:b w:val="0"/>
          <w:bCs w:val="0"/>
          <w:sz w:val="36"/>
          <w:szCs w:val="36"/>
          <w:lang w:val="en-US" w:eastAsia="zh-CN"/>
        </w:rPr>
      </w:pPr>
      <w:r>
        <w:rPr>
          <w:rFonts w:hint="eastAsia" w:ascii="仿宋_GB2312" w:hAnsi="仿宋_GB2312" w:eastAsia="仿宋_GB2312" w:cs="仿宋_GB2312"/>
          <w:b/>
          <w:bCs/>
          <w:sz w:val="36"/>
          <w:szCs w:val="36"/>
          <w:lang w:val="en-US" w:eastAsia="zh-CN"/>
        </w:rPr>
        <w:t>一是</w:t>
      </w:r>
      <w:r>
        <w:rPr>
          <w:rFonts w:hint="eastAsia" w:ascii="仿宋_GB2312" w:hAnsi="仿宋_GB2312" w:eastAsia="仿宋_GB2312" w:cs="仿宋_GB2312"/>
          <w:b w:val="0"/>
          <w:bCs w:val="0"/>
          <w:sz w:val="36"/>
          <w:szCs w:val="36"/>
          <w:lang w:val="en-US" w:eastAsia="zh-CN"/>
        </w:rPr>
        <w:t>收集整理了疫情防控相关法律法规，发放到局机关各股室及各宗教活动场所，依法开展疫情防控工作。</w:t>
      </w:r>
      <w:r>
        <w:rPr>
          <w:rFonts w:hint="eastAsia" w:ascii="仿宋_GB2312" w:hAnsi="仿宋_GB2312" w:eastAsia="仿宋_GB2312" w:cs="仿宋_GB2312"/>
          <w:b/>
          <w:bCs/>
          <w:sz w:val="36"/>
          <w:szCs w:val="36"/>
          <w:lang w:val="en-US" w:eastAsia="zh-CN"/>
        </w:rPr>
        <w:t>二是</w:t>
      </w:r>
      <w:r>
        <w:rPr>
          <w:rFonts w:hint="eastAsia" w:ascii="仿宋_GB2312" w:hAnsi="仿宋_GB2312" w:eastAsia="仿宋_GB2312" w:cs="仿宋_GB2312"/>
          <w:b w:val="0"/>
          <w:bCs w:val="0"/>
          <w:sz w:val="36"/>
          <w:szCs w:val="36"/>
          <w:lang w:val="en-US" w:eastAsia="zh-CN"/>
        </w:rPr>
        <w:t>通过“两联一进”和“法律进寺庙”开展法律法规和政策宣讲，把《宗教事务条例》《野生动物保护法》《动物防疫法》等相关法律知识,送到联系户、僧尼及信教群众手中，严防发生涉疫情维稳事件、重大群体性事件，确保群众生命安全、财产安全不受侵犯。</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20" w:lineRule="exact"/>
        <w:ind w:right="0" w:rightChars="0" w:firstLine="420" w:firstLineChars="200"/>
        <w:jc w:val="both"/>
        <w:textAlignment w:val="auto"/>
        <w:rPr>
          <w:rFonts w:hint="eastAsia" w:ascii="黑体" w:hAnsi="黑体" w:eastAsia="黑体" w:cs="黑体"/>
          <w:sz w:val="32"/>
          <w:szCs w:val="32"/>
          <w:lang w:val="en-US" w:eastAsia="zh-CN"/>
        </w:rPr>
      </w:pPr>
      <w:r>
        <w:rPr>
          <w:rFonts w:hint="eastAsia"/>
          <w:lang w:val="en-US" w:eastAsia="zh-CN"/>
        </w:rPr>
        <w:t xml:space="preserve">   </w:t>
      </w:r>
      <w:r>
        <w:rPr>
          <w:rFonts w:hint="eastAsia" w:ascii="黑体" w:hAnsi="黑体" w:eastAsia="黑体" w:cs="黑体"/>
          <w:sz w:val="32"/>
          <w:szCs w:val="32"/>
          <w:lang w:val="en-US" w:eastAsia="zh-CN"/>
        </w:rPr>
        <w:t>二、2021年度推进法治政府建设存在的不足和原因</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20" w:lineRule="exact"/>
        <w:ind w:right="0" w:rightChars="0" w:firstLine="720" w:firstLineChars="200"/>
        <w:jc w:val="both"/>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sz w:val="36"/>
          <w:szCs w:val="36"/>
          <w:lang w:val="en-US" w:eastAsia="zh-CN"/>
        </w:rPr>
        <w:t>我局法治政府建设工作取得了一定的成效，但也存在一些问题：如个别干部职工对推进依法行政、加快法治政府建设的重要性认识还不够深，部分执法人员法律意识不够强；民族宗教运用法治思维和法治方式解决问题的能力和水平还不够高；公众广泛参与、风险评估和实施后评估环节时有缺位;综合执法进展不够理想；在法治政府部门建设中积极创新方面还需努力、先进经验和典型做法不多等。</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20" w:lineRule="exact"/>
        <w:ind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三、2021年度党政主要负责人履行推进法治建设第一责任人职责，加强法治政府建设的有关情况</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20" w:lineRule="exact"/>
        <w:ind w:right="0" w:rightChars="0" w:firstLine="720" w:firstLineChars="200"/>
        <w:jc w:val="both"/>
        <w:textAlignment w:val="auto"/>
        <w:rPr>
          <w:rFonts w:hint="eastAsia" w:ascii="仿宋_GB2312" w:hAnsi="仿宋_GB2312" w:eastAsia="仿宋_GB2312" w:cs="仿宋_GB2312"/>
          <w:b w:val="0"/>
          <w:bCs w:val="0"/>
          <w:sz w:val="36"/>
          <w:szCs w:val="36"/>
          <w:lang w:val="en-US" w:eastAsia="zh-CN"/>
        </w:rPr>
      </w:pPr>
      <w:r>
        <w:rPr>
          <w:rFonts w:hint="eastAsia" w:ascii="仿宋_GB2312" w:hAnsi="仿宋_GB2312" w:eastAsia="仿宋_GB2312" w:cs="仿宋_GB2312"/>
          <w:b w:val="0"/>
          <w:bCs w:val="0"/>
          <w:sz w:val="36"/>
          <w:szCs w:val="36"/>
          <w:lang w:val="en-US" w:eastAsia="zh-CN"/>
        </w:rPr>
        <w:t>一年来，我局按照中央、省、州、县统一部署，坚持以习近平新时代中国特色社会主义思想为指导，积极推进法治政府建设，强化依法治理、法治民族宗教建设保障体系，着力解决僧尼及信教群众关心和迫切要求解决的实际问题。</w:t>
      </w:r>
      <w:r>
        <w:rPr>
          <w:rFonts w:hint="eastAsia" w:ascii="仿宋_GB2312" w:hAnsi="仿宋_GB2312" w:eastAsia="仿宋_GB2312" w:cs="仿宋_GB2312"/>
          <w:b/>
          <w:bCs/>
          <w:sz w:val="36"/>
          <w:szCs w:val="36"/>
          <w:lang w:val="en-US" w:eastAsia="zh-CN"/>
        </w:rPr>
        <w:t>一是</w:t>
      </w:r>
      <w:r>
        <w:rPr>
          <w:rFonts w:hint="eastAsia" w:ascii="仿宋_GB2312" w:hAnsi="仿宋_GB2312" w:eastAsia="仿宋_GB2312" w:cs="仿宋_GB2312"/>
          <w:b w:val="0"/>
          <w:bCs w:val="0"/>
          <w:sz w:val="36"/>
          <w:szCs w:val="36"/>
          <w:lang w:val="en-US" w:eastAsia="zh-CN"/>
        </w:rPr>
        <w:t>提高政治站位，狠抓学习贯彻，法治意识进一步增强。为贯彻落实党中央关于全面依法治国的部署要求，推动党政主要负责人切实履行推进法治建设第一责任人职责，金川县民族宗教局党组率先垂范，结合“不忘初心、牢记使命”主题教育，采用局党组学习会形式，先后组织学习了《四川省森林防火条例》《草原防火条例》《四川省宗教事务条例》《中国共产党纪律处分条例》《阿坝州藏族羌族自治州自治条例》《阿坝藏族羌族自治州藏语言文字条例》《伊斯兰教朝觐事务管理办法》《中华人民共和国安全生产法》等法律法规，并分别采取集中学习、集中讨论和领导自学相结合的方式，认真学习了中央民族工作会议和全国宗教工作会议精神，以铸牢中华民族共同体意识为主线，推动新时代党的民族工作高质量发展，特别要求单位党政主要负责同志必须认真履行法治建设第一责任人的职责，做法治建设的组织者、推动者和实践者，带头学法尊法守法用法，切实提升运用法治思维和法治方式深化改革、推动发展、化解矛盾、维护稳定的能力和水平。</w:t>
      </w:r>
      <w:r>
        <w:rPr>
          <w:rFonts w:hint="eastAsia" w:ascii="仿宋_GB2312" w:hAnsi="仿宋_GB2312" w:eastAsia="仿宋_GB2312" w:cs="仿宋_GB2312"/>
          <w:b/>
          <w:bCs/>
          <w:sz w:val="36"/>
          <w:szCs w:val="36"/>
          <w:lang w:val="en-US" w:eastAsia="zh-CN"/>
        </w:rPr>
        <w:t>二是</w:t>
      </w:r>
      <w:r>
        <w:rPr>
          <w:rFonts w:hint="eastAsia" w:ascii="仿宋_GB2312" w:hAnsi="仿宋_GB2312" w:eastAsia="仿宋_GB2312" w:cs="仿宋_GB2312"/>
          <w:b w:val="0"/>
          <w:bCs w:val="0"/>
          <w:sz w:val="36"/>
          <w:szCs w:val="36"/>
          <w:lang w:val="en-US" w:eastAsia="zh-CN"/>
        </w:rPr>
        <w:t>强化法治能力，狠抓执法用法，法治权威进一步彰显。始终坚持将依法行政、依法执法贯穿于民族宗教工作全过程，扎实推进“一寺一策”依法规范治理和重点寺庙依法连片治理。</w:t>
      </w:r>
      <w:r>
        <w:rPr>
          <w:rFonts w:hint="eastAsia" w:ascii="仿宋_GB2312" w:hAnsi="仿宋_GB2312" w:eastAsia="仿宋_GB2312" w:cs="仿宋_GB2312"/>
          <w:b/>
          <w:bCs/>
          <w:sz w:val="36"/>
          <w:szCs w:val="36"/>
          <w:lang w:val="en-US" w:eastAsia="zh-CN"/>
        </w:rPr>
        <w:t>三是</w:t>
      </w:r>
      <w:r>
        <w:rPr>
          <w:rFonts w:hint="eastAsia" w:ascii="仿宋_GB2312" w:hAnsi="仿宋_GB2312" w:eastAsia="仿宋_GB2312" w:cs="仿宋_GB2312"/>
          <w:b w:val="0"/>
          <w:bCs w:val="0"/>
          <w:sz w:val="36"/>
          <w:szCs w:val="36"/>
          <w:lang w:val="en-US" w:eastAsia="zh-CN"/>
        </w:rPr>
        <w:t>法治建设督导考核，扎实推进“互联网+监管”各项工作，为民服务进一步深化。结合民族宗教系统工作实际，科学制定法治政府部门建设任务分解表，做到横向到边，纵向到底，明确责任单位和责任人，实行压力传递，层层落实目标责任。同时，将单位党政主要负责人履行推进法治建设第一责任人职责情况列入年终述职内容，并不定期组织专班深入基层单位，检查督导法治建设工作落实情况。运用信息化手段，提升监管能力和监管效率，推广“互联网+监管”模式，实施对“互联网+监管”系统的更新，对数据清单质量进行检测，修改相应事项内容。</w:t>
      </w:r>
    </w:p>
    <w:p>
      <w:pPr>
        <w:keepNext w:val="0"/>
        <w:keepLines w:val="0"/>
        <w:pageBreakBefore w:val="0"/>
        <w:widowControl w:val="0"/>
        <w:numPr>
          <w:ilvl w:val="0"/>
          <w:numId w:val="2"/>
        </w:numPr>
        <w:pBdr>
          <w:bottom w:val="single" w:color="FFFFFF" w:sz="4" w:space="29"/>
        </w:pBdr>
        <w:tabs>
          <w:tab w:val="left" w:pos="1440"/>
        </w:tabs>
        <w:kinsoku/>
        <w:wordWrap/>
        <w:overflowPunct/>
        <w:topLinePunct w:val="0"/>
        <w:autoSpaceDE/>
        <w:autoSpaceDN/>
        <w:bidi w:val="0"/>
        <w:adjustRightInd/>
        <w:snapToGrid/>
        <w:spacing w:line="520" w:lineRule="exact"/>
        <w:ind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下一年度推进法治政府建设的主要安排</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20" w:lineRule="exact"/>
        <w:ind w:right="0" w:rightChars="0" w:firstLine="720" w:firstLineChars="200"/>
        <w:jc w:val="both"/>
        <w:textAlignment w:val="auto"/>
        <w:rPr>
          <w:rFonts w:hint="eastAsia" w:ascii="仿宋_GB2312" w:hAnsi="仿宋_GB2312" w:eastAsia="仿宋_GB2312" w:cs="仿宋_GB2312"/>
          <w:b w:val="0"/>
          <w:bCs w:val="0"/>
          <w:sz w:val="36"/>
          <w:szCs w:val="36"/>
          <w:lang w:val="en-US" w:eastAsia="zh-CN"/>
        </w:rPr>
      </w:pPr>
      <w:r>
        <w:rPr>
          <w:rFonts w:hint="eastAsia" w:ascii="仿宋_GB2312" w:hAnsi="仿宋_GB2312" w:eastAsia="仿宋_GB2312" w:cs="仿宋_GB2312"/>
          <w:b w:val="0"/>
          <w:bCs w:val="0"/>
          <w:sz w:val="36"/>
          <w:szCs w:val="36"/>
          <w:lang w:val="en-US" w:eastAsia="zh-CN"/>
        </w:rPr>
        <w:t>坚定以习近平法治思想为指导，认真贯彻中央、省、州、县法治工作会议精神，全面落实依法治县各项决策部署，推动宗教领域法治建设。</w:t>
      </w:r>
      <w:r>
        <w:rPr>
          <w:rFonts w:hint="eastAsia" w:ascii="仿宋_GB2312" w:hAnsi="仿宋_GB2312" w:eastAsia="仿宋_GB2312" w:cs="仿宋_GB2312"/>
          <w:b/>
          <w:bCs/>
          <w:sz w:val="36"/>
          <w:szCs w:val="36"/>
          <w:lang w:val="en-US" w:eastAsia="zh-CN"/>
        </w:rPr>
        <w:t>一是</w:t>
      </w:r>
      <w:r>
        <w:rPr>
          <w:rFonts w:hint="eastAsia" w:ascii="仿宋_GB2312" w:hAnsi="仿宋_GB2312" w:eastAsia="仿宋_GB2312" w:cs="仿宋_GB2312"/>
          <w:b w:val="0"/>
          <w:bCs w:val="0"/>
          <w:sz w:val="36"/>
          <w:szCs w:val="36"/>
          <w:lang w:val="en-US" w:eastAsia="zh-CN"/>
        </w:rPr>
        <w:t>积极对接县依法治县办、县司法局等相关单位，完成《民族宗教法治政府部门建设实施方案（2021-2025年）》《民族宗教“八五”普法规划》编制，组织实施好2022年度工作任务。</w:t>
      </w:r>
      <w:r>
        <w:rPr>
          <w:rFonts w:hint="eastAsia" w:ascii="仿宋_GB2312" w:hAnsi="仿宋_GB2312" w:eastAsia="仿宋_GB2312" w:cs="仿宋_GB2312"/>
          <w:b/>
          <w:bCs/>
          <w:sz w:val="36"/>
          <w:szCs w:val="36"/>
          <w:lang w:val="en-US" w:eastAsia="zh-CN"/>
        </w:rPr>
        <w:t>二是</w:t>
      </w:r>
      <w:r>
        <w:rPr>
          <w:rFonts w:hint="eastAsia" w:ascii="仿宋_GB2312" w:hAnsi="仿宋_GB2312" w:eastAsia="仿宋_GB2312" w:cs="仿宋_GB2312"/>
          <w:b w:val="0"/>
          <w:bCs w:val="0"/>
          <w:sz w:val="36"/>
          <w:szCs w:val="36"/>
          <w:lang w:val="en-US" w:eastAsia="zh-CN"/>
        </w:rPr>
        <w:t>加强依法行政工作。搭建政务一体化服务平台，建立行政权力“三张清单”，及时开展行政权力清理。</w:t>
      </w:r>
      <w:r>
        <w:rPr>
          <w:rFonts w:hint="eastAsia" w:ascii="仿宋_GB2312" w:hAnsi="仿宋_GB2312" w:eastAsia="仿宋_GB2312" w:cs="仿宋_GB2312"/>
          <w:b/>
          <w:bCs/>
          <w:sz w:val="36"/>
          <w:szCs w:val="36"/>
          <w:lang w:val="en-US" w:eastAsia="zh-CN"/>
        </w:rPr>
        <w:t>三是</w:t>
      </w:r>
      <w:r>
        <w:rPr>
          <w:rFonts w:hint="eastAsia" w:ascii="仿宋_GB2312" w:hAnsi="仿宋_GB2312" w:eastAsia="仿宋_GB2312" w:cs="仿宋_GB2312"/>
          <w:b w:val="0"/>
          <w:bCs w:val="0"/>
          <w:sz w:val="36"/>
          <w:szCs w:val="36"/>
          <w:lang w:val="en-US" w:eastAsia="zh-CN"/>
        </w:rPr>
        <w:t>总结“七五”普法经验成果，推广行之有效的普法作法，创新普法形式。以“两联一进”、“法律进寺庙”等为契机，丰富拓展普法责任制落实形式，促进执法与普法工作的有机结合，开辟多元化普法阵地。</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20" w:lineRule="exact"/>
        <w:ind w:right="0" w:rightChars="0" w:firstLine="720" w:firstLineChars="200"/>
        <w:jc w:val="both"/>
        <w:textAlignment w:val="auto"/>
        <w:rPr>
          <w:rFonts w:hint="default" w:ascii="仿宋_GB2312" w:hAnsi="仿宋_GB2312" w:eastAsia="仿宋_GB2312" w:cs="仿宋_GB2312"/>
          <w:b w:val="0"/>
          <w:bCs w:val="0"/>
          <w:sz w:val="36"/>
          <w:szCs w:val="36"/>
          <w:lang w:val="en-US" w:eastAsia="zh-CN"/>
        </w:rPr>
      </w:pPr>
    </w:p>
    <w:p>
      <w:pPr>
        <w:pStyle w:val="2"/>
        <w:rPr>
          <w:rFonts w:hint="default"/>
          <w:lang w:val="en-US" w:eastAsia="zh-CN"/>
        </w:rPr>
      </w:pP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20" w:lineRule="exact"/>
        <w:ind w:right="0" w:rightChars="0" w:firstLine="720" w:firstLineChars="200"/>
        <w:jc w:val="both"/>
        <w:textAlignment w:val="auto"/>
        <w:rPr>
          <w:rFonts w:hint="eastAsia" w:ascii="仿宋_GB2312" w:hAnsi="仿宋_GB2312" w:eastAsia="仿宋_GB2312" w:cs="仿宋_GB2312"/>
          <w:b w:val="0"/>
          <w:bCs w:val="0"/>
          <w:sz w:val="36"/>
          <w:szCs w:val="36"/>
          <w:lang w:val="en-US" w:eastAsia="zh-CN"/>
        </w:rPr>
      </w:pPr>
      <w:r>
        <w:rPr>
          <w:rFonts w:hint="eastAsia" w:ascii="仿宋_GB2312" w:hAnsi="仿宋_GB2312" w:eastAsia="仿宋_GB2312" w:cs="仿宋_GB2312"/>
          <w:b w:val="0"/>
          <w:bCs w:val="0"/>
          <w:sz w:val="36"/>
          <w:szCs w:val="36"/>
          <w:lang w:val="en-US" w:eastAsia="zh-CN"/>
        </w:rPr>
        <w:t xml:space="preserve">                      金川县民族宗教局</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20" w:lineRule="exact"/>
        <w:ind w:right="0" w:rightChars="0" w:firstLine="720" w:firstLineChars="200"/>
        <w:jc w:val="both"/>
        <w:textAlignment w:val="auto"/>
        <w:rPr>
          <w:rFonts w:hint="eastAsia" w:ascii="仿宋_GB2312" w:hAnsi="仿宋_GB2312" w:eastAsia="仿宋_GB2312" w:cs="仿宋_GB2312"/>
          <w:b w:val="0"/>
          <w:bCs w:val="0"/>
          <w:sz w:val="36"/>
          <w:szCs w:val="36"/>
          <w:lang w:val="en-US" w:eastAsia="zh-CN"/>
        </w:rPr>
      </w:pPr>
      <w:r>
        <w:rPr>
          <w:rFonts w:hint="eastAsia" w:ascii="仿宋_GB2312" w:hAnsi="仿宋_GB2312" w:eastAsia="仿宋_GB2312" w:cs="仿宋_GB2312"/>
          <w:b w:val="0"/>
          <w:bCs w:val="0"/>
          <w:sz w:val="36"/>
          <w:szCs w:val="36"/>
          <w:lang w:val="en-US" w:eastAsia="zh-CN"/>
        </w:rPr>
        <w:t xml:space="preserve">                       2022年2月18日</w:t>
      </w:r>
    </w:p>
    <w:p>
      <w:pPr>
        <w:pStyle w:val="2"/>
        <w:rPr>
          <w:rFonts w:hint="eastAsia" w:ascii="仿宋_GB2312" w:hAnsi="仿宋_GB2312" w:eastAsia="仿宋_GB2312" w:cs="仿宋_GB2312"/>
          <w:b w:val="0"/>
          <w:bCs w:val="0"/>
          <w:sz w:val="36"/>
          <w:szCs w:val="36"/>
          <w:lang w:val="en-US" w:eastAsia="zh-CN"/>
        </w:rPr>
      </w:pPr>
    </w:p>
    <w:p>
      <w:pPr>
        <w:rPr>
          <w:rFonts w:hint="eastAsia" w:ascii="仿宋_GB2312" w:hAnsi="仿宋_GB2312" w:eastAsia="仿宋_GB2312" w:cs="仿宋_GB2312"/>
          <w:b w:val="0"/>
          <w:bCs w:val="0"/>
          <w:sz w:val="36"/>
          <w:szCs w:val="36"/>
          <w:lang w:val="en-US" w:eastAsia="zh-CN"/>
        </w:rPr>
      </w:pPr>
    </w:p>
    <w:p>
      <w:pPr>
        <w:pStyle w:val="2"/>
        <w:rPr>
          <w:rFonts w:hint="eastAsia"/>
          <w:lang w:val="en-US" w:eastAsia="zh-CN"/>
        </w:rPr>
      </w:pPr>
      <w:r>
        <w:rPr>
          <w:sz w:val="21"/>
        </w:rPr>
        <mc:AlternateContent>
          <mc:Choice Requires="wps">
            <w:drawing>
              <wp:anchor distT="0" distB="0" distL="114300" distR="114300" simplePos="0" relativeHeight="251661312" behindDoc="0" locked="0" layoutInCell="1" allowOverlap="1">
                <wp:simplePos x="0" y="0"/>
                <wp:positionH relativeFrom="column">
                  <wp:posOffset>62230</wp:posOffset>
                </wp:positionH>
                <wp:positionV relativeFrom="paragraph">
                  <wp:posOffset>194310</wp:posOffset>
                </wp:positionV>
                <wp:extent cx="5292725" cy="0"/>
                <wp:effectExtent l="0" t="0" r="0" b="0"/>
                <wp:wrapNone/>
                <wp:docPr id="4" name="直接连接符 4"/>
                <wp:cNvGraphicFramePr/>
                <a:graphic xmlns:a="http://schemas.openxmlformats.org/drawingml/2006/main">
                  <a:graphicData uri="http://schemas.microsoft.com/office/word/2010/wordprocessingShape">
                    <wps:wsp>
                      <wps:cNvCnPr/>
                      <wps:spPr>
                        <a:xfrm>
                          <a:off x="1205230" y="8462010"/>
                          <a:ext cx="5292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4.9pt;margin-top:15.3pt;height:0pt;width:416.75pt;z-index:251661312;mso-width-relative:page;mso-height-relative:page;" filled="f" stroked="t" coordsize="21600,21600" o:gfxdata="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yYXAYNQAAAAHAQAADwAAAAAAAAABACAAAAAiAAAAZHJzL2Rvd25yZXYueG1sUEsBAhQAFAAAAAgA&#10;h07iQGtDcDHwAQAAvQMAAA4AAAAAAAAAAQAgAAAAIwEAAGRycy9lMm9Eb2MueG1sUEsFBgAAAAAG&#10;AAYAWQEAAIUFAAAAAA==&#10;">
                <v:fill on="f" focussize="0,0"/>
                <v:stroke weight="0.5pt" color="#000000 [3200]" miterlimit="8" joinstyle="miter"/>
                <v:imagedata o:title=""/>
                <o:lock v:ext="edit" aspectratio="f"/>
              </v:line>
            </w:pict>
          </mc:Fallback>
        </mc:AlternateConten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60" w:lineRule="exact"/>
        <w:ind w:firstLine="320" w:firstLineChars="100"/>
        <w:textAlignment w:val="auto"/>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抄送：金川县司法局</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60" w:lineRule="exact"/>
        <w:ind w:firstLine="320" w:firstLineChars="1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mc:AlternateContent>
          <mc:Choice Requires="wps">
            <w:drawing>
              <wp:anchor distT="0" distB="0" distL="114300" distR="114300" simplePos="0" relativeHeight="251660288" behindDoc="0" locked="0" layoutInCell="1" allowOverlap="1">
                <wp:simplePos x="0" y="0"/>
                <wp:positionH relativeFrom="column">
                  <wp:posOffset>23495</wp:posOffset>
                </wp:positionH>
                <wp:positionV relativeFrom="paragraph">
                  <wp:posOffset>32385</wp:posOffset>
                </wp:positionV>
                <wp:extent cx="5372100" cy="19050"/>
                <wp:effectExtent l="0" t="4445" r="0" b="5080"/>
                <wp:wrapNone/>
                <wp:docPr id="2" name="直接连接符 2"/>
                <wp:cNvGraphicFramePr/>
                <a:graphic xmlns:a="http://schemas.openxmlformats.org/drawingml/2006/main">
                  <a:graphicData uri="http://schemas.microsoft.com/office/word/2010/wordprocessingShape">
                    <wps:wsp>
                      <wps:cNvCnPr/>
                      <wps:spPr>
                        <a:xfrm flipV="1">
                          <a:off x="1042670" y="8147685"/>
                          <a:ext cx="53721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85pt;margin-top:2.55pt;height:1.5pt;width:423pt;z-index:251660288;mso-width-relative:page;mso-height-relative:page;" filled="f" stroked="t" coordsize="21600,21600" o:gfxdata="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U8FqD0wAAAAUBAAAPAAAAAAAAAAEAIAAAACIAAABkcnMvZG93bnJldi54bWxQ&#10;SwECFAAUAAAACACHTuJAbniFaPwBAADLAwAADgAAAAAAAAABACAAAAAiAQAAZHJzL2Uyb0RvYy54&#10;bWxQSwUGAAAAAAYABgBZAQAAkAUAAAAA&#10;">
                <v:fill on="f" focussize="0,0"/>
                <v:stroke weight="0.5pt" color="#000000 [3200]" miterlimit="8" joinstyle="miter"/>
                <v:imagedata o:title=""/>
                <o:lock v:ext="edit" aspectratio="f"/>
              </v:line>
            </w:pict>
          </mc:Fallback>
        </mc:AlternateContent>
      </w:r>
      <w:r>
        <w:rPr>
          <w:rFonts w:hint="eastAsia" w:ascii="仿宋" w:hAnsi="仿宋" w:eastAsia="仿宋" w:cs="仿宋"/>
          <w:b w:val="0"/>
          <w:bCs w:val="0"/>
          <w:color w:val="auto"/>
          <w:sz w:val="32"/>
          <w:szCs w:val="32"/>
          <w:lang w:val="en-US" w:eastAsia="zh-CN"/>
        </w:rPr>
        <mc:AlternateContent>
          <mc:Choice Requires="wps">
            <w:drawing>
              <wp:anchor distT="0" distB="0" distL="114300" distR="114300" simplePos="0" relativeHeight="251659264" behindDoc="0" locked="0" layoutInCell="1" allowOverlap="1">
                <wp:simplePos x="0" y="0"/>
                <wp:positionH relativeFrom="column">
                  <wp:posOffset>4445</wp:posOffset>
                </wp:positionH>
                <wp:positionV relativeFrom="paragraph">
                  <wp:posOffset>394335</wp:posOffset>
                </wp:positionV>
                <wp:extent cx="5381625" cy="28575"/>
                <wp:effectExtent l="0" t="4445" r="9525" b="5080"/>
                <wp:wrapNone/>
                <wp:docPr id="1" name="直接连接符 1"/>
                <wp:cNvGraphicFramePr/>
                <a:graphic xmlns:a="http://schemas.openxmlformats.org/drawingml/2006/main">
                  <a:graphicData uri="http://schemas.microsoft.com/office/word/2010/wordprocessingShape">
                    <wps:wsp>
                      <wps:cNvCnPr/>
                      <wps:spPr>
                        <a:xfrm flipV="1">
                          <a:off x="1195070" y="7842885"/>
                          <a:ext cx="5381625"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0.35pt;margin-top:31.05pt;height:2.25pt;width:423.75pt;z-index:251659264;mso-width-relative:page;mso-height-relative:page;" filled="f" stroked="t" coordsize="21600,21600" o:gfxdata="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EhUFA1AAAAAYBAAAPAAAAAAAAAAEAIAAAACIAAABkcnMvZG93bnJldi54bWxQ&#10;SwECFAAUAAAACACHTuJAvcIZwfsBAADLAwAADgAAAAAAAAABACAAAAAjAQAAZHJzL2Uyb0RvYy54&#10;bWxQSwUGAAAAAAYABgBZAQAAkAUAAAAA&#10;">
                <v:fill on="f" focussize="0,0"/>
                <v:stroke weight="0.5pt" color="#000000 [3200]" miterlimit="8" joinstyle="miter"/>
                <v:imagedata o:title=""/>
                <o:lock v:ext="edit" aspectratio="f"/>
              </v:line>
            </w:pict>
          </mc:Fallback>
        </mc:AlternateContent>
      </w:r>
      <w:r>
        <w:rPr>
          <w:rFonts w:hint="eastAsia" w:ascii="仿宋" w:hAnsi="仿宋" w:eastAsia="仿宋" w:cs="仿宋"/>
          <w:b w:val="0"/>
          <w:bCs w:val="0"/>
          <w:color w:val="auto"/>
          <w:sz w:val="32"/>
          <w:szCs w:val="32"/>
          <w:lang w:val="en-US" w:eastAsia="zh-CN"/>
        </w:rPr>
        <w:t>金川县民族宗教局办公室             2022年2月18日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7DDB7D"/>
    <w:multiLevelType w:val="singleLevel"/>
    <w:tmpl w:val="707DDB7D"/>
    <w:lvl w:ilvl="0" w:tentative="0">
      <w:start w:val="3"/>
      <w:numFmt w:val="chineseCounting"/>
      <w:suff w:val="nothing"/>
      <w:lvlText w:val="（%1）"/>
      <w:lvlJc w:val="left"/>
      <w:rPr>
        <w:rFonts w:hint="eastAsia"/>
      </w:rPr>
    </w:lvl>
  </w:abstractNum>
  <w:abstractNum w:abstractNumId="1">
    <w:nsid w:val="7CD04CF2"/>
    <w:multiLevelType w:val="singleLevel"/>
    <w:tmpl w:val="7CD04CF2"/>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986C6E"/>
    <w:rsid w:val="031E27FB"/>
    <w:rsid w:val="07C141A6"/>
    <w:rsid w:val="0B794221"/>
    <w:rsid w:val="0BB37335"/>
    <w:rsid w:val="0BD27D67"/>
    <w:rsid w:val="0CF62EFF"/>
    <w:rsid w:val="0E1009B9"/>
    <w:rsid w:val="0E332C77"/>
    <w:rsid w:val="10AB308F"/>
    <w:rsid w:val="11FD2AE3"/>
    <w:rsid w:val="13CF5AA5"/>
    <w:rsid w:val="14363116"/>
    <w:rsid w:val="14400486"/>
    <w:rsid w:val="16502DFA"/>
    <w:rsid w:val="16EC51D5"/>
    <w:rsid w:val="184F63DB"/>
    <w:rsid w:val="185B2874"/>
    <w:rsid w:val="19F76442"/>
    <w:rsid w:val="1E634A4F"/>
    <w:rsid w:val="1FFE562C"/>
    <w:rsid w:val="21B55237"/>
    <w:rsid w:val="244460AB"/>
    <w:rsid w:val="264048FF"/>
    <w:rsid w:val="26986C6E"/>
    <w:rsid w:val="286850F4"/>
    <w:rsid w:val="2B773C04"/>
    <w:rsid w:val="2E8F0A61"/>
    <w:rsid w:val="2E9E18F5"/>
    <w:rsid w:val="2ECD6749"/>
    <w:rsid w:val="2FE92741"/>
    <w:rsid w:val="310A4FEB"/>
    <w:rsid w:val="32D03799"/>
    <w:rsid w:val="32FB5A50"/>
    <w:rsid w:val="34D7196B"/>
    <w:rsid w:val="358737A2"/>
    <w:rsid w:val="3827203B"/>
    <w:rsid w:val="387A33DB"/>
    <w:rsid w:val="39B81056"/>
    <w:rsid w:val="3AF6687A"/>
    <w:rsid w:val="3C3063F2"/>
    <w:rsid w:val="3C590C2B"/>
    <w:rsid w:val="3C6F480D"/>
    <w:rsid w:val="3D3D675A"/>
    <w:rsid w:val="3D7910EB"/>
    <w:rsid w:val="3DBD6BE6"/>
    <w:rsid w:val="3E286A80"/>
    <w:rsid w:val="3E5949CB"/>
    <w:rsid w:val="41E24885"/>
    <w:rsid w:val="4333336F"/>
    <w:rsid w:val="44955413"/>
    <w:rsid w:val="4680146E"/>
    <w:rsid w:val="47801AC6"/>
    <w:rsid w:val="47BB21F9"/>
    <w:rsid w:val="4B7E2A09"/>
    <w:rsid w:val="4EE36906"/>
    <w:rsid w:val="4F0C4758"/>
    <w:rsid w:val="50233B74"/>
    <w:rsid w:val="515C3FB1"/>
    <w:rsid w:val="580D245D"/>
    <w:rsid w:val="594A4EE1"/>
    <w:rsid w:val="59714D78"/>
    <w:rsid w:val="599055BE"/>
    <w:rsid w:val="5ACF3698"/>
    <w:rsid w:val="5E082F7C"/>
    <w:rsid w:val="5EB83CC6"/>
    <w:rsid w:val="5F4A5EB5"/>
    <w:rsid w:val="60590DE4"/>
    <w:rsid w:val="6084485A"/>
    <w:rsid w:val="620A3C4C"/>
    <w:rsid w:val="65030A00"/>
    <w:rsid w:val="65673585"/>
    <w:rsid w:val="678F1CD7"/>
    <w:rsid w:val="6A0072A4"/>
    <w:rsid w:val="6E4273AA"/>
    <w:rsid w:val="6E7C3286"/>
    <w:rsid w:val="714711BB"/>
    <w:rsid w:val="7315654E"/>
    <w:rsid w:val="74815A04"/>
    <w:rsid w:val="75781461"/>
    <w:rsid w:val="76E3256D"/>
    <w:rsid w:val="7A904960"/>
    <w:rsid w:val="7A94380D"/>
    <w:rsid w:val="7AFC0E53"/>
    <w:rsid w:val="7B8D78EA"/>
    <w:rsid w:val="7C5A789E"/>
    <w:rsid w:val="7E7831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able of figures"/>
    <w:basedOn w:val="1"/>
    <w:next w:val="1"/>
    <w:qFormat/>
    <w:uiPriority w:val="99"/>
    <w:pPr>
      <w:ind w:left="200" w:leftChars="200" w:hanging="200" w:hangingChars="200"/>
    </w:pPr>
  </w:style>
  <w:style w:type="paragraph" w:styleId="3">
    <w:name w:val="Body Text"/>
    <w:basedOn w:val="1"/>
    <w:qFormat/>
    <w:uiPriority w:val="0"/>
    <w:rPr>
      <w:sz w:val="44"/>
    </w:rPr>
  </w:style>
  <w:style w:type="paragraph" w:styleId="4">
    <w:name w:val="Body Text Indent"/>
    <w:basedOn w:val="1"/>
    <w:next w:val="5"/>
    <w:unhideWhenUsed/>
    <w:qFormat/>
    <w:uiPriority w:val="99"/>
    <w:pPr>
      <w:spacing w:after="120"/>
      <w:ind w:left="420" w:leftChars="200"/>
    </w:pPr>
  </w:style>
  <w:style w:type="paragraph" w:styleId="5">
    <w:name w:val="Body Text First Indent 2"/>
    <w:basedOn w:val="4"/>
    <w:qFormat/>
    <w:uiPriority w:val="99"/>
    <w:pPr>
      <w:adjustRightInd/>
      <w:snapToGrid/>
      <w:spacing w:after="0" w:line="540" w:lineRule="exact"/>
      <w:ind w:left="0" w:leftChars="0" w:firstLine="200" w:firstLineChars="200"/>
      <w:jc w:val="both"/>
      <w:textAlignment w:val="baseline"/>
    </w:pPr>
    <w:rPr>
      <w:rFonts w:ascii="Times New Roman" w:hAnsi="Times New Roman" w:eastAsia="宋体" w:cs="Times New Roman"/>
      <w:color w:val="000000"/>
      <w:sz w:val="32"/>
      <w:szCs w:val="32"/>
      <w:u w:color="000000"/>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after="120"/>
      <w:ind w:left="420" w:leftChars="200"/>
    </w:pPr>
    <w:rPr>
      <w:sz w:val="16"/>
      <w:szCs w:val="16"/>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2">
    <w:name w:val="page number"/>
    <w:basedOn w:val="11"/>
    <w:qFormat/>
    <w:uiPriority w:val="0"/>
  </w:style>
  <w:style w:type="paragraph" w:customStyle="1" w:styleId="13">
    <w:name w:val="文档正文"/>
    <w:basedOn w:val="1"/>
    <w:qFormat/>
    <w:uiPriority w:val="0"/>
    <w:pPr>
      <w:adjustRightInd w:val="0"/>
      <w:spacing w:line="480" w:lineRule="atLeast"/>
      <w:textAlignment w:val="baseline"/>
    </w:pPr>
    <w:rPr>
      <w:rFonts w:ascii="Arial" w:hAnsi="Arial"/>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2019-05-20T08:06:00Z</dcterms:created>
  <dc:creator>办公室</dc:creator>
  <cp:lastModifiedBy>紫色蒲公英</cp:lastModifiedBy>
  <cp:lastPrinted>2022-02-18T07:36:47Z</cp:lastPrinted>
  <dcterms:modified xsi:type="dcterms:W3CDTF">2022-02-18T07:36:57Z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C97AE2FA1306414D84D6533B8B601274</vt:lpwstr>
  </property>
</Properties>
</file>