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2DD22">
      <w:pPr>
        <w:jc w:val="both"/>
        <w:rPr>
          <w:rFonts w:hint="default" w:ascii="Times New Roman" w:hAnsi="Times New Roman" w:eastAsia="方正仿宋_GBK" w:cs="Times New Roman"/>
          <w:color w:val="auto"/>
          <w:sz w:val="32"/>
          <w:szCs w:val="32"/>
        </w:rPr>
      </w:pPr>
      <w:bookmarkStart w:id="0" w:name="_GoBack"/>
      <w:bookmarkEnd w:id="0"/>
    </w:p>
    <w:p w14:paraId="10857730">
      <w:pPr>
        <w:jc w:val="both"/>
        <w:rPr>
          <w:rFonts w:hint="default" w:ascii="Times New Roman" w:hAnsi="Times New Roman" w:eastAsia="方正仿宋_GBK" w:cs="Times New Roman"/>
          <w:color w:val="auto"/>
          <w:sz w:val="32"/>
          <w:szCs w:val="32"/>
        </w:rPr>
      </w:pPr>
    </w:p>
    <w:p w14:paraId="2E7C1AFB">
      <w:pPr>
        <w:jc w:val="both"/>
        <w:rPr>
          <w:rFonts w:hint="default" w:ascii="Times New Roman" w:hAnsi="Times New Roman" w:eastAsia="方正仿宋_GBK" w:cs="Times New Roman"/>
          <w:color w:val="auto"/>
          <w:sz w:val="32"/>
          <w:szCs w:val="32"/>
        </w:rPr>
      </w:pPr>
      <w:r>
        <w:rPr>
          <w:rFonts w:hint="default" w:ascii="Times New Roman" w:hAnsi="Times New Roman" w:cs="Times New Roman"/>
          <w:color w:val="auto"/>
        </w:rPr>
        <w:drawing>
          <wp:anchor distT="0" distB="0" distL="114300" distR="114300" simplePos="0" relativeHeight="251659264" behindDoc="1" locked="0" layoutInCell="1" allowOverlap="1">
            <wp:simplePos x="0" y="0"/>
            <wp:positionH relativeFrom="column">
              <wp:posOffset>147955</wp:posOffset>
            </wp:positionH>
            <wp:positionV relativeFrom="paragraph">
              <wp:posOffset>302895</wp:posOffset>
            </wp:positionV>
            <wp:extent cx="5352415" cy="2076450"/>
            <wp:effectExtent l="0" t="0" r="635" b="0"/>
            <wp:wrapNone/>
            <wp:docPr id="1"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
                    <pic:cNvPicPr>
                      <a:picLocks noChangeAspect="1"/>
                    </pic:cNvPicPr>
                  </pic:nvPicPr>
                  <pic:blipFill>
                    <a:blip r:embed="rId4"/>
                    <a:stretch>
                      <a:fillRect/>
                    </a:stretch>
                  </pic:blipFill>
                  <pic:spPr>
                    <a:xfrm>
                      <a:off x="0" y="0"/>
                      <a:ext cx="5352415" cy="2076450"/>
                    </a:xfrm>
                    <a:prstGeom prst="rect">
                      <a:avLst/>
                    </a:prstGeom>
                    <a:noFill/>
                    <a:ln>
                      <a:noFill/>
                    </a:ln>
                  </pic:spPr>
                </pic:pic>
              </a:graphicData>
            </a:graphic>
          </wp:anchor>
        </w:drawing>
      </w:r>
    </w:p>
    <w:p w14:paraId="244F1ED4">
      <w:pPr>
        <w:jc w:val="both"/>
        <w:rPr>
          <w:rFonts w:hint="default" w:ascii="Times New Roman" w:hAnsi="Times New Roman" w:eastAsia="方正仿宋_GBK" w:cs="Times New Roman"/>
          <w:color w:val="auto"/>
          <w:sz w:val="32"/>
          <w:szCs w:val="32"/>
        </w:rPr>
      </w:pPr>
    </w:p>
    <w:p w14:paraId="4DE98C3B">
      <w:pPr>
        <w:jc w:val="both"/>
        <w:rPr>
          <w:rFonts w:hint="default" w:ascii="Times New Roman" w:hAnsi="Times New Roman" w:eastAsia="方正仿宋_GBK" w:cs="Times New Roman"/>
          <w:color w:val="auto"/>
          <w:sz w:val="32"/>
          <w:szCs w:val="32"/>
        </w:rPr>
      </w:pPr>
    </w:p>
    <w:p w14:paraId="740E9E3E">
      <w:pPr>
        <w:jc w:val="both"/>
        <w:rPr>
          <w:rFonts w:hint="default" w:ascii="Times New Roman" w:hAnsi="Times New Roman" w:eastAsia="方正仿宋_GBK" w:cs="Times New Roman"/>
          <w:color w:val="auto"/>
          <w:sz w:val="32"/>
          <w:szCs w:val="32"/>
        </w:rPr>
      </w:pPr>
    </w:p>
    <w:p w14:paraId="3902A2E2">
      <w:pPr>
        <w:jc w:val="center"/>
        <w:rPr>
          <w:rFonts w:hint="default" w:ascii="Times New Roman" w:hAnsi="Times New Roman" w:eastAsia="方正仿宋_GBK" w:cs="Times New Roman"/>
          <w:color w:val="auto"/>
          <w:sz w:val="32"/>
          <w:szCs w:val="32"/>
        </w:rPr>
      </w:pPr>
    </w:p>
    <w:p w14:paraId="291F59DC">
      <w:pPr>
        <w:ind w:firstLine="640" w:firstLineChars="200"/>
        <w:jc w:val="both"/>
        <w:rPr>
          <w:rFonts w:hint="default" w:ascii="Times New Roman" w:hAnsi="Times New Roman" w:eastAsia="方正小标宋_GBK" w:cs="Times New Roman"/>
          <w:color w:val="auto"/>
          <w:w w:val="95"/>
          <w:sz w:val="44"/>
          <w:szCs w:val="44"/>
        </w:rPr>
      </w:pPr>
      <w:r>
        <w:rPr>
          <w:rFonts w:hint="default" w:ascii="Times New Roman" w:hAnsi="Times New Roman" w:eastAsia="方正仿宋_GBK" w:cs="Times New Roman"/>
          <w:color w:val="auto"/>
          <w:sz w:val="32"/>
          <w:szCs w:val="32"/>
        </w:rPr>
        <w:t>金市监</w:t>
      </w:r>
      <w:r>
        <w:rPr>
          <w:rFonts w:hint="default" w:ascii="Times New Roman" w:hAnsi="Times New Roman" w:eastAsia="仿宋" w:cs="Times New Roman"/>
          <w:color w:val="auto"/>
          <w:sz w:val="32"/>
          <w:szCs w:val="32"/>
        </w:rPr>
        <w:t>〔</w:t>
      </w:r>
      <w:r>
        <w:rPr>
          <w:rFonts w:hint="default" w:ascii="Times New Roman" w:hAnsi="Times New Roman" w:eastAsia="方正仿宋_GBK" w:cs="Times New Roman"/>
          <w:color w:val="auto"/>
          <w:sz w:val="32"/>
          <w:szCs w:val="32"/>
        </w:rPr>
        <w:t>202</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仿宋" w:cs="Times New Roman"/>
          <w:color w:val="auto"/>
          <w:sz w:val="32"/>
          <w:szCs w:val="32"/>
        </w:rPr>
        <w:t>〕</w:t>
      </w:r>
      <w:r>
        <w:rPr>
          <w:rFonts w:hint="default" w:ascii="Times New Roman" w:hAnsi="Times New Roman" w:eastAsia="方正仿宋_GBK" w:cs="Times New Roman"/>
          <w:color w:val="auto"/>
          <w:sz w:val="32"/>
          <w:szCs w:val="32"/>
          <w:lang w:val="en-US" w:eastAsia="zh-CN"/>
        </w:rPr>
        <w:t>7</w:t>
      </w:r>
      <w:r>
        <w:rPr>
          <w:rFonts w:hint="default" w:ascii="Times New Roman" w:hAnsi="Times New Roman" w:eastAsia="方正仿宋_GBK" w:cs="Times New Roman"/>
          <w:color w:val="auto"/>
          <w:sz w:val="32"/>
          <w:szCs w:val="32"/>
        </w:rPr>
        <w:t>号               签发人：</w:t>
      </w:r>
      <w:r>
        <w:rPr>
          <w:rFonts w:hint="default" w:ascii="Times New Roman" w:hAnsi="Times New Roman" w:eastAsia="方正楷体_GBK" w:cs="Times New Roman"/>
          <w:color w:val="auto"/>
          <w:sz w:val="32"/>
          <w:szCs w:val="32"/>
          <w:lang w:eastAsia="zh-CN"/>
        </w:rPr>
        <w:t>王加元</w:t>
      </w:r>
    </w:p>
    <w:p w14:paraId="585823DD">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44"/>
          <w:szCs w:val="44"/>
          <w:lang w:eastAsia="zh-CN"/>
        </w:rPr>
      </w:pPr>
    </w:p>
    <w:p w14:paraId="4F011982">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44"/>
          <w:szCs w:val="44"/>
          <w:lang w:eastAsia="zh-CN"/>
        </w:rPr>
      </w:pPr>
      <w:r>
        <w:rPr>
          <w:rFonts w:hint="default" w:ascii="Times New Roman" w:hAnsi="Times New Roman" w:eastAsia="方正小标宋简体" w:cs="Times New Roman"/>
          <w:color w:val="auto"/>
          <w:sz w:val="44"/>
          <w:szCs w:val="44"/>
          <w:lang w:eastAsia="zh-CN"/>
        </w:rPr>
        <w:t>金川县市场监督管理局</w:t>
      </w:r>
    </w:p>
    <w:p w14:paraId="0F005BAB">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44"/>
          <w:szCs w:val="44"/>
          <w:lang w:val="en-US" w:eastAsia="zh-CN"/>
        </w:rPr>
      </w:pPr>
      <w:r>
        <w:rPr>
          <w:rFonts w:hint="default" w:ascii="Times New Roman" w:hAnsi="Times New Roman" w:eastAsia="方正小标宋简体" w:cs="Times New Roman"/>
          <w:color w:val="auto"/>
          <w:sz w:val="44"/>
          <w:szCs w:val="44"/>
          <w:lang w:eastAsia="zh-CN"/>
        </w:rPr>
        <w:t>关于</w:t>
      </w:r>
      <w:r>
        <w:rPr>
          <w:rFonts w:hint="default" w:ascii="Times New Roman" w:hAnsi="Times New Roman" w:eastAsia="方正小标宋简体" w:cs="Times New Roman"/>
          <w:color w:val="auto"/>
          <w:sz w:val="44"/>
          <w:szCs w:val="44"/>
          <w:lang w:val="en-US" w:eastAsia="zh-CN"/>
        </w:rPr>
        <w:t>2021年度法治政府建设工作情况的</w:t>
      </w:r>
    </w:p>
    <w:p w14:paraId="2FA03FE3">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44"/>
          <w:szCs w:val="44"/>
          <w:lang w:val="en-US" w:eastAsia="zh-CN"/>
        </w:rPr>
      </w:pPr>
      <w:r>
        <w:rPr>
          <w:rFonts w:hint="default" w:ascii="Times New Roman" w:hAnsi="Times New Roman" w:eastAsia="方正小标宋简体" w:cs="Times New Roman"/>
          <w:color w:val="auto"/>
          <w:sz w:val="44"/>
          <w:szCs w:val="44"/>
          <w:lang w:val="en-US" w:eastAsia="zh-CN"/>
        </w:rPr>
        <w:t>报  告</w:t>
      </w:r>
    </w:p>
    <w:p w14:paraId="77525BFE">
      <w:pPr>
        <w:pStyle w:val="2"/>
        <w:rPr>
          <w:rFonts w:hint="default" w:ascii="Times New Roman" w:hAnsi="Times New Roman" w:cs="Times New Roman"/>
          <w:color w:val="auto"/>
          <w:lang w:val="en-US" w:eastAsia="zh-CN"/>
        </w:rPr>
      </w:pPr>
    </w:p>
    <w:p w14:paraId="207FE1C3">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金川县人民政府：</w:t>
      </w:r>
    </w:p>
    <w:p w14:paraId="0E19B774">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为深入贯彻习近平法治思想，全面落实中央、省、州、县各级会议精神，深入推进法治金川、平安金川建设，按照金川县人民政府办公室《关于印发&lt;金川县人民政府2021年度法治政府重点工作安排&gt;的通知》（金川府办发〔2021〕13号）文件有关要求，金川县市场监督管理局</w:t>
      </w:r>
      <w:r>
        <w:rPr>
          <w:rFonts w:hint="default" w:ascii="Times New Roman" w:hAnsi="Times New Roman" w:eastAsia="仿宋_GB2312" w:cs="Times New Roman"/>
          <w:color w:val="auto"/>
          <w:sz w:val="32"/>
          <w:szCs w:val="32"/>
          <w:lang w:eastAsia="zh-CN"/>
        </w:rPr>
        <w:t>对照工作要点责任分工，全面梳理总结、发现问题、补齐短板，积极</w:t>
      </w:r>
      <w:r>
        <w:rPr>
          <w:rFonts w:hint="default" w:ascii="Times New Roman" w:hAnsi="Times New Roman" w:eastAsia="仿宋_GB2312" w:cs="Times New Roman"/>
          <w:color w:val="auto"/>
          <w:sz w:val="32"/>
          <w:szCs w:val="32"/>
          <w:lang w:val="en-US" w:eastAsia="zh-CN"/>
        </w:rPr>
        <w:t>推进法治政府建设</w:t>
      </w:r>
      <w:r>
        <w:rPr>
          <w:rFonts w:hint="default" w:ascii="Times New Roman" w:hAnsi="Times New Roman" w:eastAsia="仿宋_GB2312" w:cs="Times New Roman"/>
          <w:color w:val="auto"/>
          <w:sz w:val="32"/>
          <w:szCs w:val="32"/>
          <w:lang w:eastAsia="zh-CN"/>
        </w:rPr>
        <w:t>。</w:t>
      </w:r>
    </w:p>
    <w:p w14:paraId="54AB42CD">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一、2021年度推进法治政府建设的主要举措和成效</w:t>
      </w:r>
    </w:p>
    <w:p w14:paraId="006F7047">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lang w:val="en-US" w:eastAsia="zh-CN"/>
        </w:rPr>
        <w:t>（一）深化“放管服”改革。</w:t>
      </w:r>
      <w:r>
        <w:rPr>
          <w:rFonts w:hint="default" w:ascii="Times New Roman" w:hAnsi="Times New Roman" w:eastAsia="仿宋_GB2312" w:cs="Times New Roman"/>
          <w:color w:val="auto"/>
          <w:sz w:val="32"/>
          <w:szCs w:val="32"/>
        </w:rPr>
        <w:t>持续下放或委托乡(镇)实施一批</w:t>
      </w:r>
      <w:r>
        <w:rPr>
          <w:rFonts w:hint="default" w:ascii="Times New Roman" w:hAnsi="Times New Roman" w:eastAsia="仿宋_GB2312" w:cs="Times New Roman"/>
          <w:color w:val="auto"/>
          <w:sz w:val="32"/>
          <w:szCs w:val="32"/>
          <w:lang w:eastAsia="zh-CN"/>
        </w:rPr>
        <w:t>县</w:t>
      </w:r>
      <w:r>
        <w:rPr>
          <w:rFonts w:hint="default" w:ascii="Times New Roman" w:hAnsi="Times New Roman" w:eastAsia="仿宋_GB2312" w:cs="Times New Roman"/>
          <w:color w:val="auto"/>
          <w:sz w:val="32"/>
          <w:szCs w:val="32"/>
        </w:rPr>
        <w:t>级行政职权，推进涉企经营许可事项“证照分离”改革，进一步降低企业制度性交易成本。严格落实“双随机、一公开”监管，统一规范随机抽查事项清单，动态调整完善。纵深推进“一网通办”前提下“最多跑一次”改革，主动融入成渝地区双城经济圈“放管服”改革。按照全省统一标准和流程，承接梳理“省内通办”清单。</w:t>
      </w:r>
    </w:p>
    <w:p w14:paraId="3103F32D">
      <w:pPr>
        <w:pStyle w:val="2"/>
        <w:keepNext w:val="0"/>
        <w:keepLines w:val="0"/>
        <w:pageBreakBefore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全面落实《优化营商环境条例》，持续打造市场化、法治化、国际化营商环境。认真学习贯彻习近平总书记关于保护民营企业发展的重要指示精神，紧扣持续优化营商环境这个主线，把平等保护贯彻到市场监管各个环节，推进重点领域立法，为持续优化营商环境提供法治保障，努力运用法治手段促进新兴产业发展，防范化解行业风险。</w:t>
      </w:r>
      <w:r>
        <w:rPr>
          <w:rFonts w:hint="default" w:ascii="Times New Roman" w:hAnsi="Times New Roman" w:eastAsia="仿宋_GB2312" w:cs="Times New Roman"/>
          <w:color w:val="auto"/>
          <w:sz w:val="32"/>
          <w:szCs w:val="32"/>
        </w:rPr>
        <w:t>召开</w:t>
      </w:r>
      <w:r>
        <w:rPr>
          <w:rFonts w:hint="eastAsia" w:ascii="Times New Roman" w:hAnsi="Times New Roman" w:eastAsia="仿宋_GB2312" w:cs="Times New Roman"/>
          <w:color w:val="auto"/>
          <w:sz w:val="32"/>
          <w:szCs w:val="32"/>
          <w:lang w:eastAsia="zh-CN"/>
        </w:rPr>
        <w:t>民营企业座谈会</w:t>
      </w:r>
      <w:r>
        <w:rPr>
          <w:rFonts w:hint="default" w:ascii="Times New Roman" w:hAnsi="Times New Roman" w:eastAsia="仿宋_GB2312" w:cs="Times New Roman"/>
          <w:color w:val="auto"/>
          <w:sz w:val="32"/>
          <w:szCs w:val="32"/>
        </w:rPr>
        <w:t>和全县民营经济健康发展大会，聚焦企业难题，广泛听取民营企业代表意见建议，查找短板、研究措施、解决问题。开展现代企业制度创建工作</w:t>
      </w:r>
      <w:r>
        <w:rPr>
          <w:rFonts w:hint="default" w:ascii="Times New Roman" w:hAnsi="Times New Roman" w:eastAsia="仿宋_GB2312" w:cs="Times New Roman"/>
          <w:color w:val="auto"/>
          <w:sz w:val="32"/>
          <w:szCs w:val="32"/>
          <w:lang w:eastAsia="zh-CN"/>
        </w:rPr>
        <w:t>，助推民营经济健康发展。</w:t>
      </w:r>
    </w:p>
    <w:p w14:paraId="63A6D3EB">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lang w:eastAsia="zh-CN"/>
        </w:rPr>
        <w:t>（二）</w:t>
      </w:r>
      <w:r>
        <w:rPr>
          <w:rFonts w:hint="default" w:ascii="Times New Roman" w:hAnsi="Times New Roman" w:eastAsia="楷体_GB2312" w:cs="Times New Roman"/>
          <w:b/>
          <w:bCs/>
          <w:color w:val="auto"/>
          <w:sz w:val="32"/>
          <w:szCs w:val="32"/>
        </w:rPr>
        <w:t>构建公平竞争市场秩序。</w:t>
      </w:r>
      <w:r>
        <w:rPr>
          <w:rFonts w:hint="default" w:ascii="Times New Roman" w:hAnsi="Times New Roman" w:eastAsia="仿宋_GB2312" w:cs="Times New Roman"/>
          <w:color w:val="auto"/>
          <w:sz w:val="32"/>
          <w:szCs w:val="32"/>
        </w:rPr>
        <w:t>贯彻落实最新版市场准入负面清单。落实公平竞争审查制度，重点加强对实行地方保护、妨碍经营者准入或退出市场、对特定经营者给予奖补等情形的审查。</w:t>
      </w:r>
    </w:p>
    <w:p w14:paraId="0D259A2F">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lang w:eastAsia="zh-CN"/>
        </w:rPr>
        <w:t>（三）</w:t>
      </w:r>
      <w:r>
        <w:rPr>
          <w:rFonts w:hint="default" w:ascii="Times New Roman" w:hAnsi="Times New Roman" w:eastAsia="楷体_GB2312" w:cs="Times New Roman"/>
          <w:b/>
          <w:bCs/>
          <w:color w:val="auto"/>
          <w:sz w:val="32"/>
          <w:szCs w:val="32"/>
        </w:rPr>
        <w:t>深化行政执法体制改革。</w:t>
      </w:r>
      <w:r>
        <w:rPr>
          <w:rFonts w:hint="default" w:ascii="Times New Roman" w:hAnsi="Times New Roman" w:eastAsia="仿宋_GB2312" w:cs="Times New Roman"/>
          <w:color w:val="auto"/>
          <w:sz w:val="32"/>
          <w:szCs w:val="32"/>
        </w:rPr>
        <w:t>持续深化市场监管领域行政执法改革，构建综合行政执法协调配合机制。</w:t>
      </w:r>
      <w:r>
        <w:rPr>
          <w:rFonts w:hint="default" w:ascii="Times New Roman" w:hAnsi="Times New Roman" w:eastAsia="仿宋_GB2312" w:cs="Times New Roman"/>
          <w:color w:val="auto"/>
          <w:sz w:val="32"/>
          <w:szCs w:val="32"/>
          <w:lang w:val="en-US" w:eastAsia="zh-CN"/>
        </w:rPr>
        <w:t>依法履行工作职能，推行权力清单、负面清单管理制度，并实行动态管理。按照机构改革，职能划转的要求，对我单位的权力进行逐条逐项梳理，仔细核对，对照行政权力的界定标准，拟出需要划转的权力清单，清理属于单位职责清单，落实责任主体，规范职责权限，明确相应责任。</w:t>
      </w:r>
    </w:p>
    <w:p w14:paraId="42A6F776">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lang w:eastAsia="zh-CN"/>
        </w:rPr>
        <w:t>（四）</w:t>
      </w:r>
      <w:r>
        <w:rPr>
          <w:rFonts w:hint="default" w:ascii="Times New Roman" w:hAnsi="Times New Roman" w:eastAsia="楷体_GB2312" w:cs="Times New Roman"/>
          <w:b/>
          <w:bCs/>
          <w:color w:val="auto"/>
          <w:sz w:val="32"/>
          <w:szCs w:val="32"/>
        </w:rPr>
        <w:t>加强重点领域执法力度</w:t>
      </w: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color w:val="auto"/>
          <w:sz w:val="32"/>
          <w:szCs w:val="32"/>
        </w:rPr>
        <w:t>加强重点领域整治力度，筑牢食品、药品、特种设备、重点工业产品安全底线。加大网络交易执法力度，严厉查处利用互联网制售侵权假冒伪劣商品、发布虚假违法广告及不正当竞争等行为</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 xml:space="preserve">全年开展重点领域监管，共出动执法人员1897人次，检查监管对象2542家次。                                                                                                                                                                                                                                                                                                                                                                                                                                                                                                                                                                                                                                                                                                                                                                                                                                                                                                                                                                                                                                                                                                                                                                                                                                                                                                                                                                                                                                                                                                                                                                                                                                                                                                                                                                                                                                                                                                                                                                                                                                                                                                                                                                                                                                                                                                                                                                                                                                                                                                                                                                                                                                                                                                                                                                                                          </w:t>
      </w:r>
    </w:p>
    <w:p w14:paraId="1CF08A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二、2021年度推进法治政府建设存在的不足和原因</w:t>
      </w:r>
    </w:p>
    <w:p w14:paraId="3A26CFB1">
      <w:pPr>
        <w:pStyle w:val="2"/>
        <w:keepNext w:val="0"/>
        <w:keepLines w:val="0"/>
        <w:pageBreakBefore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体制改革工作需进一步完善。机构改革后新的职能合并，需要在实践中不断探索，寻求方式方法，切实落实机构改革的总要求。监管工作任务重，人员紧缺，人员老龄化严重，全局职工平均年龄49岁，市场监管对象面广量大，案件审核量大，重点难点有待进一步突破，基层监管的深度和广度还需进一步延伸，人员紧缺明显突出。</w:t>
      </w:r>
    </w:p>
    <w:p w14:paraId="48B0E40B">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三、2021年度党政主要负责人履行推进法治建设第一责任人职责，加强法治政府建设的有关情况</w:t>
      </w:r>
    </w:p>
    <w:p w14:paraId="00282DEE">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lang w:val="en-US" w:eastAsia="zh-CN"/>
        </w:rPr>
        <w:t>（一）加强法律法规学习。</w:t>
      </w:r>
      <w:r>
        <w:rPr>
          <w:rFonts w:hint="default" w:ascii="Times New Roman" w:hAnsi="Times New Roman" w:eastAsia="仿宋_GB2312" w:cs="Times New Roman"/>
          <w:color w:val="auto"/>
          <w:sz w:val="32"/>
          <w:szCs w:val="32"/>
          <w:lang w:val="en-US" w:eastAsia="zh-CN"/>
        </w:rPr>
        <w:t>局党组书记、局长亲自抓学习，及时组织干部职工学习习近平总书记全面依法治国新理念新思想新战略和中央依法治国委第一次、第二次、第三次会议精神。</w:t>
      </w:r>
      <w:r>
        <w:rPr>
          <w:rFonts w:hint="default" w:ascii="Times New Roman" w:hAnsi="Times New Roman" w:eastAsia="仿宋_GB2312" w:cs="Times New Roman"/>
          <w:bCs/>
          <w:color w:val="auto"/>
          <w:sz w:val="32"/>
          <w:szCs w:val="32"/>
          <w:lang w:eastAsia="zh-CN"/>
        </w:rPr>
        <w:t>一是充分利用每周五例会时间开展会前学习，集中学习《宪法》、《民法典》、廉政纪律和法规以及业务相关的法律法规，</w:t>
      </w:r>
      <w:r>
        <w:rPr>
          <w:rFonts w:hint="default" w:ascii="Times New Roman" w:hAnsi="Times New Roman" w:eastAsia="仿宋_GB2312" w:cs="Times New Roman"/>
          <w:color w:val="auto"/>
          <w:kern w:val="2"/>
          <w:sz w:val="32"/>
          <w:szCs w:val="32"/>
          <w:lang w:val="en-US" w:eastAsia="zh-CN"/>
        </w:rPr>
        <w:t>不断加强学习，提高法律素养，</w:t>
      </w:r>
      <w:r>
        <w:rPr>
          <w:rFonts w:hint="default" w:ascii="Times New Roman" w:hAnsi="Times New Roman" w:eastAsia="仿宋_GB2312" w:cs="Times New Roman"/>
          <w:bCs/>
          <w:color w:val="auto"/>
          <w:sz w:val="32"/>
          <w:szCs w:val="32"/>
        </w:rPr>
        <w:t>使干部职工牢固树立依法行政的观念，强化责任意识</w:t>
      </w:r>
      <w:r>
        <w:rPr>
          <w:rFonts w:hint="default" w:ascii="Times New Roman" w:hAnsi="Times New Roman" w:eastAsia="仿宋_GB2312" w:cs="Times New Roman"/>
          <w:bCs/>
          <w:color w:val="auto"/>
          <w:sz w:val="32"/>
          <w:szCs w:val="32"/>
          <w:lang w:eastAsia="zh-CN"/>
        </w:rPr>
        <w:t>，</w:t>
      </w:r>
      <w:r>
        <w:rPr>
          <w:rFonts w:hint="default" w:ascii="Times New Roman" w:hAnsi="Times New Roman" w:eastAsia="仿宋_GB2312" w:cs="Times New Roman"/>
          <w:color w:val="auto"/>
          <w:kern w:val="2"/>
          <w:sz w:val="32"/>
          <w:szCs w:val="32"/>
          <w:lang w:val="en-US" w:eastAsia="zh-CN"/>
        </w:rPr>
        <w:t>做到依法行政。</w:t>
      </w:r>
      <w:r>
        <w:rPr>
          <w:rFonts w:hint="default" w:ascii="Times New Roman" w:hAnsi="Times New Roman" w:eastAsia="仿宋_GB2312" w:cs="Times New Roman"/>
          <w:bCs/>
          <w:color w:val="auto"/>
          <w:sz w:val="32"/>
          <w:szCs w:val="32"/>
          <w:lang w:eastAsia="zh-CN"/>
        </w:rPr>
        <w:t>二是立足本职工作，理论与实践相结合，重点学习与业务工作相关的法律法规知识，</w:t>
      </w:r>
      <w:r>
        <w:rPr>
          <w:rFonts w:hint="default" w:ascii="Times New Roman" w:hAnsi="Times New Roman" w:eastAsia="仿宋_GB2312" w:cs="Times New Roman"/>
          <w:bCs/>
          <w:color w:val="auto"/>
          <w:sz w:val="32"/>
          <w:szCs w:val="32"/>
        </w:rPr>
        <w:t>抓好执法人员的法律培训</w:t>
      </w:r>
      <w:r>
        <w:rPr>
          <w:rFonts w:hint="default" w:ascii="Times New Roman" w:hAnsi="Times New Roman" w:eastAsia="仿宋_GB2312" w:cs="Times New Roman"/>
          <w:bCs/>
          <w:color w:val="auto"/>
          <w:sz w:val="32"/>
          <w:szCs w:val="32"/>
          <w:lang w:eastAsia="zh-CN"/>
        </w:rPr>
        <w:t>。三是</w:t>
      </w:r>
      <w:r>
        <w:rPr>
          <w:rFonts w:hint="default" w:ascii="Times New Roman" w:hAnsi="Times New Roman" w:eastAsia="仿宋_GB2312" w:cs="Times New Roman"/>
          <w:bCs/>
          <w:color w:val="auto"/>
          <w:sz w:val="32"/>
          <w:szCs w:val="32"/>
        </w:rPr>
        <w:t>组织干部职工</w:t>
      </w:r>
      <w:r>
        <w:rPr>
          <w:rFonts w:hint="default" w:ascii="Times New Roman" w:hAnsi="Times New Roman" w:eastAsia="仿宋_GB2312" w:cs="Times New Roman"/>
          <w:bCs/>
          <w:color w:val="auto"/>
          <w:sz w:val="32"/>
          <w:szCs w:val="32"/>
          <w:lang w:eastAsia="zh-CN"/>
        </w:rPr>
        <w:t>参与</w:t>
      </w:r>
      <w:r>
        <w:rPr>
          <w:rFonts w:hint="default" w:ascii="Times New Roman" w:hAnsi="Times New Roman" w:eastAsia="仿宋_GB2312" w:cs="Times New Roman"/>
          <w:bCs/>
          <w:color w:val="auto"/>
          <w:sz w:val="32"/>
          <w:szCs w:val="32"/>
        </w:rPr>
        <w:t>“互联网+”模式进行行政执法人员通用法律知识培训。</w:t>
      </w:r>
      <w:r>
        <w:rPr>
          <w:rFonts w:hint="default" w:ascii="Times New Roman" w:hAnsi="Times New Roman" w:eastAsia="仿宋_GB2312" w:cs="Times New Roman"/>
          <w:bCs/>
          <w:color w:val="auto"/>
          <w:sz w:val="32"/>
          <w:szCs w:val="32"/>
          <w:lang w:eastAsia="zh-CN"/>
        </w:rPr>
        <w:t>四是</w:t>
      </w:r>
      <w:r>
        <w:rPr>
          <w:rFonts w:hint="default" w:ascii="Times New Roman" w:hAnsi="Times New Roman" w:eastAsia="仿宋_GB2312" w:cs="Times New Roman"/>
          <w:color w:val="auto"/>
          <w:sz w:val="32"/>
          <w:szCs w:val="32"/>
          <w:lang w:val="en-US" w:eastAsia="zh-CN"/>
        </w:rPr>
        <w:t>组织全局干部职工集中学习《宪法》、《民法典》、党内法规以及涉及市场监管的法律法规，营造市场监管干部遵法守法、学法用法的良好氛围，以进一步提高市场监管依法行政的能力和水平。同时，组织干部职工积极参与答题，本次参与答题27人，参与率100%。</w:t>
      </w:r>
    </w:p>
    <w:p w14:paraId="0678B86F">
      <w:pPr>
        <w:pStyle w:val="3"/>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楷体_GB2312" w:cs="Times New Roman"/>
          <w:b/>
          <w:bCs/>
          <w:color w:val="auto"/>
          <w:sz w:val="32"/>
          <w:szCs w:val="32"/>
          <w:lang w:val="en-US" w:eastAsia="zh-CN"/>
        </w:rPr>
        <w:t>（二）</w:t>
      </w:r>
      <w:r>
        <w:rPr>
          <w:rFonts w:hint="default" w:ascii="Times New Roman" w:hAnsi="Times New Roman" w:eastAsia="楷体_GB2312" w:cs="Times New Roman"/>
          <w:b/>
          <w:bCs/>
          <w:color w:val="auto"/>
          <w:sz w:val="32"/>
          <w:szCs w:val="32"/>
        </w:rPr>
        <w:t>抓好监管对象法制宣传教育</w:t>
      </w:r>
      <w:r>
        <w:rPr>
          <w:rFonts w:hint="default" w:ascii="Times New Roman" w:hAnsi="Times New Roman" w:eastAsia="楷体_GB2312" w:cs="Times New Roman"/>
          <w:b/>
          <w:bCs/>
          <w:color w:val="auto"/>
          <w:sz w:val="32"/>
          <w:szCs w:val="32"/>
          <w:lang w:eastAsia="zh-CN"/>
        </w:rPr>
        <w:t>，提高全民法治素养。</w:t>
      </w:r>
      <w:r>
        <w:rPr>
          <w:rFonts w:hint="default" w:ascii="Times New Roman" w:hAnsi="Times New Roman" w:eastAsia="仿宋_GB2312" w:cs="Times New Roman"/>
          <w:bCs/>
          <w:color w:val="auto"/>
          <w:sz w:val="32"/>
          <w:szCs w:val="32"/>
        </w:rPr>
        <w:t>一是充分利用</w:t>
      </w:r>
      <w:r>
        <w:rPr>
          <w:rFonts w:hint="default" w:ascii="Times New Roman" w:hAnsi="Times New Roman" w:eastAsia="仿宋_GB2312" w:cs="Times New Roman"/>
          <w:i w:val="0"/>
          <w:iCs w:val="0"/>
          <w:caps w:val="0"/>
          <w:color w:val="auto"/>
          <w:spacing w:val="0"/>
          <w:sz w:val="32"/>
          <w:szCs w:val="32"/>
        </w:rPr>
        <w:t>“3:15"消费者权益保护日、“4.26”世界知识产权日、“5</w:t>
      </w:r>
      <w:r>
        <w:rPr>
          <w:rFonts w:hint="default" w:ascii="Times New Roman" w:hAnsi="Times New Roman" w:eastAsia="仿宋_GB2312" w:cs="Times New Roman"/>
          <w:i w:val="0"/>
          <w:iCs w:val="0"/>
          <w:caps w:val="0"/>
          <w:color w:val="auto"/>
          <w:spacing w:val="0"/>
          <w:sz w:val="32"/>
          <w:szCs w:val="32"/>
          <w:lang w:val="en-US" w:eastAsia="zh-CN"/>
        </w:rPr>
        <w:t>.</w:t>
      </w:r>
      <w:r>
        <w:rPr>
          <w:rFonts w:hint="default" w:ascii="Times New Roman" w:hAnsi="Times New Roman" w:eastAsia="仿宋_GB2312" w:cs="Times New Roman"/>
          <w:i w:val="0"/>
          <w:iCs w:val="0"/>
          <w:caps w:val="0"/>
          <w:color w:val="auto"/>
          <w:spacing w:val="0"/>
          <w:sz w:val="32"/>
          <w:szCs w:val="32"/>
        </w:rPr>
        <w:t>20”世界计量日、质量安全月、</w:t>
      </w:r>
      <w:r>
        <w:rPr>
          <w:rFonts w:hint="default" w:ascii="Times New Roman" w:hAnsi="Times New Roman" w:eastAsia="仿宋_GB2312" w:cs="Times New Roman"/>
          <w:i w:val="0"/>
          <w:iCs w:val="0"/>
          <w:caps w:val="0"/>
          <w:color w:val="auto"/>
          <w:spacing w:val="0"/>
          <w:sz w:val="32"/>
          <w:szCs w:val="32"/>
          <w:lang w:eastAsia="zh-CN"/>
        </w:rPr>
        <w:t>“</w:t>
      </w:r>
      <w:r>
        <w:rPr>
          <w:rFonts w:hint="default" w:ascii="Times New Roman" w:hAnsi="Times New Roman" w:eastAsia="仿宋_GB2312" w:cs="Times New Roman"/>
          <w:i w:val="0"/>
          <w:iCs w:val="0"/>
          <w:caps w:val="0"/>
          <w:color w:val="auto"/>
          <w:spacing w:val="0"/>
          <w:sz w:val="32"/>
          <w:szCs w:val="32"/>
          <w:lang w:val="en-US" w:eastAsia="zh-CN"/>
        </w:rPr>
        <w:t>5.25</w:t>
      </w:r>
      <w:r>
        <w:rPr>
          <w:rFonts w:hint="default" w:ascii="Times New Roman" w:hAnsi="Times New Roman" w:eastAsia="仿宋_GB2312" w:cs="Times New Roman"/>
          <w:i w:val="0"/>
          <w:iCs w:val="0"/>
          <w:caps w:val="0"/>
          <w:color w:val="auto"/>
          <w:spacing w:val="0"/>
          <w:sz w:val="32"/>
          <w:szCs w:val="32"/>
          <w:lang w:eastAsia="zh-CN"/>
        </w:rPr>
        <w:t>”美肤日、药品宣传周</w:t>
      </w:r>
      <w:r>
        <w:rPr>
          <w:rFonts w:hint="default" w:ascii="Times New Roman" w:hAnsi="Times New Roman" w:eastAsia="仿宋_GB2312" w:cs="Times New Roman"/>
          <w:bCs/>
          <w:color w:val="auto"/>
          <w:sz w:val="32"/>
          <w:szCs w:val="32"/>
        </w:rPr>
        <w:t>等主题活动日开展系列法制宣传活动</w:t>
      </w:r>
      <w:r>
        <w:rPr>
          <w:rFonts w:hint="default" w:ascii="Times New Roman" w:hAnsi="Times New Roman" w:eastAsia="仿宋_GB2312" w:cs="Times New Roman"/>
          <w:bCs/>
          <w:color w:val="auto"/>
          <w:sz w:val="32"/>
          <w:szCs w:val="32"/>
          <w:lang w:eastAsia="zh-CN"/>
        </w:rPr>
        <w:t>。结合“两联一进”工作</w:t>
      </w:r>
      <w:r>
        <w:rPr>
          <w:rFonts w:hint="default" w:ascii="Times New Roman" w:hAnsi="Times New Roman" w:eastAsia="仿宋_GB2312" w:cs="Times New Roman"/>
          <w:bCs/>
          <w:color w:val="auto"/>
          <w:sz w:val="32"/>
          <w:szCs w:val="32"/>
        </w:rPr>
        <w:t>开展了《消费者权益保护法》、《产品质量法》、《个体工商户条例》、《禁毒法》、《特种设备安全法》、《网络交易管理办法》、</w:t>
      </w:r>
      <w:r>
        <w:rPr>
          <w:rFonts w:hint="default" w:ascii="Times New Roman" w:hAnsi="Times New Roman" w:eastAsia="仿宋_GB2312" w:cs="Times New Roman"/>
          <w:bCs/>
          <w:color w:val="auto"/>
          <w:sz w:val="32"/>
          <w:szCs w:val="32"/>
          <w:lang w:eastAsia="zh-CN"/>
        </w:rPr>
        <w:t>《药品管理法》、《疫苗管理法》、《价格法》、《知识产权法》</w:t>
      </w:r>
      <w:r>
        <w:rPr>
          <w:rFonts w:hint="default" w:ascii="Times New Roman" w:hAnsi="Times New Roman" w:eastAsia="仿宋_GB2312" w:cs="Times New Roman"/>
          <w:bCs/>
          <w:color w:val="auto"/>
          <w:sz w:val="32"/>
          <w:szCs w:val="32"/>
        </w:rPr>
        <w:t>等法律法规</w:t>
      </w:r>
      <w:r>
        <w:rPr>
          <w:rFonts w:hint="default" w:ascii="Times New Roman" w:hAnsi="Times New Roman" w:eastAsia="仿宋_GB2312" w:cs="Times New Roman"/>
          <w:bCs/>
          <w:color w:val="auto"/>
          <w:sz w:val="32"/>
          <w:szCs w:val="32"/>
          <w:lang w:eastAsia="zh-CN"/>
        </w:rPr>
        <w:t>进农户、进学校、进社区</w:t>
      </w:r>
      <w:r>
        <w:rPr>
          <w:rFonts w:hint="default" w:ascii="Times New Roman" w:hAnsi="Times New Roman" w:eastAsia="仿宋_GB2312" w:cs="Times New Roman"/>
          <w:bCs/>
          <w:color w:val="auto"/>
          <w:sz w:val="32"/>
          <w:szCs w:val="32"/>
        </w:rPr>
        <w:t>的宣传和咨询服务。</w:t>
      </w:r>
      <w:r>
        <w:rPr>
          <w:rFonts w:hint="default" w:ascii="Times New Roman" w:hAnsi="Times New Roman" w:eastAsia="仿宋_GB2312" w:cs="Times New Roman"/>
          <w:bCs/>
          <w:color w:val="auto"/>
          <w:sz w:val="32"/>
          <w:szCs w:val="32"/>
          <w:lang w:eastAsia="zh-CN"/>
        </w:rPr>
        <w:t>一年</w:t>
      </w:r>
      <w:r>
        <w:rPr>
          <w:rFonts w:hint="default" w:ascii="Times New Roman" w:hAnsi="Times New Roman" w:eastAsia="仿宋_GB2312" w:cs="Times New Roman"/>
          <w:bCs/>
          <w:color w:val="auto"/>
          <w:sz w:val="32"/>
          <w:szCs w:val="32"/>
        </w:rPr>
        <w:t>以来，我局共组织和参与了</w:t>
      </w:r>
      <w:r>
        <w:rPr>
          <w:rFonts w:hint="default" w:ascii="Times New Roman" w:hAnsi="Times New Roman" w:eastAsia="仿宋_GB2312" w:cs="Times New Roman"/>
          <w:bCs/>
          <w:color w:val="auto"/>
          <w:sz w:val="32"/>
          <w:szCs w:val="32"/>
          <w:lang w:val="en-US" w:eastAsia="zh-CN"/>
        </w:rPr>
        <w:t>10</w:t>
      </w:r>
      <w:r>
        <w:rPr>
          <w:rFonts w:hint="default" w:ascii="Times New Roman" w:hAnsi="Times New Roman" w:eastAsia="仿宋_GB2312" w:cs="Times New Roman"/>
          <w:bCs/>
          <w:color w:val="auto"/>
          <w:sz w:val="32"/>
          <w:szCs w:val="32"/>
        </w:rPr>
        <w:t>次相关法制宣传活动，出动工作人员</w:t>
      </w:r>
      <w:r>
        <w:rPr>
          <w:rFonts w:hint="default" w:ascii="Times New Roman" w:hAnsi="Times New Roman" w:eastAsia="仿宋_GB2312" w:cs="Times New Roman"/>
          <w:bCs/>
          <w:color w:val="auto"/>
          <w:sz w:val="32"/>
          <w:szCs w:val="32"/>
          <w:lang w:val="en-US" w:eastAsia="zh-CN"/>
        </w:rPr>
        <w:t>28</w:t>
      </w:r>
      <w:r>
        <w:rPr>
          <w:rFonts w:hint="default" w:ascii="Times New Roman" w:hAnsi="Times New Roman" w:eastAsia="仿宋_GB2312" w:cs="Times New Roman"/>
          <w:bCs/>
          <w:color w:val="auto"/>
          <w:sz w:val="32"/>
          <w:szCs w:val="32"/>
        </w:rPr>
        <w:t>人次，发放相关宣传资料</w:t>
      </w:r>
      <w:r>
        <w:rPr>
          <w:rFonts w:hint="default" w:ascii="Times New Roman" w:hAnsi="Times New Roman" w:eastAsia="仿宋_GB2312" w:cs="Times New Roman"/>
          <w:bCs/>
          <w:color w:val="auto"/>
          <w:sz w:val="32"/>
          <w:szCs w:val="32"/>
          <w:lang w:val="en-US" w:eastAsia="zh-CN"/>
        </w:rPr>
        <w:t>3000</w:t>
      </w:r>
      <w:r>
        <w:rPr>
          <w:rFonts w:hint="default" w:ascii="Times New Roman" w:hAnsi="Times New Roman" w:eastAsia="仿宋_GB2312" w:cs="Times New Roman"/>
          <w:bCs/>
          <w:color w:val="auto"/>
          <w:sz w:val="32"/>
          <w:szCs w:val="32"/>
        </w:rPr>
        <w:t>余份。以现场设置知识咨询台、宣传资料发放等，为群众解答相关知识，宣传相关法律法规，增强广大群众依法维权和监督意识，营造全社会参与和全民学法的良好氛围；二是利用下乡执法检查开展来送法下乡活动，宣传</w:t>
      </w:r>
      <w:r>
        <w:rPr>
          <w:rFonts w:hint="default" w:ascii="Times New Roman" w:hAnsi="Times New Roman" w:eastAsia="仿宋_GB2312" w:cs="Times New Roman"/>
          <w:bCs/>
          <w:color w:val="auto"/>
          <w:sz w:val="32"/>
          <w:szCs w:val="32"/>
          <w:lang w:eastAsia="zh-CN"/>
        </w:rPr>
        <w:t>市场监管</w:t>
      </w:r>
      <w:r>
        <w:rPr>
          <w:rFonts w:hint="default" w:ascii="Times New Roman" w:hAnsi="Times New Roman" w:eastAsia="仿宋_GB2312" w:cs="Times New Roman"/>
          <w:bCs/>
          <w:color w:val="auto"/>
          <w:sz w:val="32"/>
          <w:szCs w:val="32"/>
        </w:rPr>
        <w:t>相关法律法规；三是开展送法进</w:t>
      </w:r>
      <w:r>
        <w:rPr>
          <w:rFonts w:hint="default" w:ascii="Times New Roman" w:hAnsi="Times New Roman" w:eastAsia="仿宋_GB2312" w:cs="Times New Roman"/>
          <w:bCs/>
          <w:color w:val="auto"/>
          <w:sz w:val="32"/>
          <w:szCs w:val="32"/>
          <w:lang w:eastAsia="zh-CN"/>
        </w:rPr>
        <w:t>寺庙</w:t>
      </w:r>
      <w:r>
        <w:rPr>
          <w:rFonts w:hint="default" w:ascii="Times New Roman" w:hAnsi="Times New Roman" w:eastAsia="仿宋_GB2312" w:cs="Times New Roman"/>
          <w:bCs/>
          <w:color w:val="auto"/>
          <w:sz w:val="32"/>
          <w:szCs w:val="32"/>
        </w:rPr>
        <w:t>活动，</w:t>
      </w:r>
      <w:r>
        <w:rPr>
          <w:rFonts w:hint="default" w:ascii="Times New Roman" w:hAnsi="Times New Roman" w:eastAsia="仿宋_GB2312" w:cs="Times New Roman"/>
          <w:bCs/>
          <w:color w:val="auto"/>
          <w:sz w:val="32"/>
          <w:szCs w:val="32"/>
          <w:lang w:eastAsia="zh-CN"/>
        </w:rPr>
        <w:t>对</w:t>
      </w:r>
      <w:r>
        <w:rPr>
          <w:rFonts w:hint="default" w:ascii="Times New Roman" w:hAnsi="Times New Roman" w:eastAsia="仿宋_GB2312" w:cs="Times New Roman"/>
          <w:color w:val="auto"/>
          <w:sz w:val="32"/>
          <w:szCs w:val="32"/>
        </w:rPr>
        <w:t>俄热乡娃姑寺</w:t>
      </w:r>
      <w:r>
        <w:rPr>
          <w:rFonts w:hint="default" w:ascii="Times New Roman" w:hAnsi="Times New Roman" w:eastAsia="仿宋_GB2312" w:cs="Times New Roman"/>
          <w:color w:val="auto"/>
          <w:sz w:val="32"/>
          <w:szCs w:val="32"/>
          <w:lang w:eastAsia="zh-CN"/>
        </w:rPr>
        <w:t>僧人</w:t>
      </w:r>
      <w:r>
        <w:rPr>
          <w:rFonts w:hint="default" w:ascii="Times New Roman" w:hAnsi="Times New Roman" w:eastAsia="仿宋_GB2312" w:cs="Times New Roman"/>
          <w:color w:val="auto"/>
          <w:sz w:val="32"/>
          <w:szCs w:val="32"/>
        </w:rPr>
        <w:t>开展“一对一”法律政策互动沟通学习宣传</w:t>
      </w:r>
      <w:r>
        <w:rPr>
          <w:rFonts w:hint="default" w:ascii="Times New Roman" w:hAnsi="Times New Roman" w:eastAsia="仿宋_GB2312" w:cs="Times New Roman"/>
          <w:color w:val="auto"/>
          <w:sz w:val="32"/>
          <w:szCs w:val="32"/>
          <w:lang w:eastAsia="zh-CN"/>
        </w:rPr>
        <w:t>。</w:t>
      </w:r>
    </w:p>
    <w:p w14:paraId="7DC6A4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right="0" w:firstLine="640"/>
        <w:jc w:val="lef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lang w:val="en-US" w:eastAsia="zh-CN"/>
        </w:rPr>
        <w:t>（三）进一步提高依法行政能力和水平。</w:t>
      </w:r>
      <w:r>
        <w:rPr>
          <w:rFonts w:hint="default" w:ascii="Times New Roman" w:hAnsi="Times New Roman" w:eastAsia="仿宋_GB2312" w:cs="Times New Roman"/>
          <w:color w:val="auto"/>
          <w:sz w:val="32"/>
          <w:szCs w:val="32"/>
          <w:lang w:val="en-US" w:eastAsia="zh-CN"/>
        </w:rPr>
        <w:t>准确把握法治政府建设在全面依法治中的战略地位，着眼于法治政府建设的系统性、长期性和渐进性，抓住法治政府建设的关键环节和“关键少数”，不断完善推进机制，创新工作方法，坚定法治信仰、强化法治思维、提高法律素养，提高干部职工执法能力和执法水平。</w:t>
      </w:r>
    </w:p>
    <w:p w14:paraId="4C9AE80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四、下一年度推进法治政府建设的主要安排</w:t>
      </w:r>
    </w:p>
    <w:p w14:paraId="79788C35">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lang w:val="en-US" w:eastAsia="zh-CN"/>
        </w:rPr>
        <w:t>（一）深化“放管服”改革。</w:t>
      </w:r>
      <w:r>
        <w:rPr>
          <w:rFonts w:hint="default" w:ascii="Times New Roman" w:hAnsi="Times New Roman" w:eastAsia="仿宋_GB2312" w:cs="Times New Roman"/>
          <w:color w:val="auto"/>
          <w:sz w:val="32"/>
          <w:szCs w:val="32"/>
        </w:rPr>
        <w:t>持续下放或委托乡(镇)实施一批</w:t>
      </w:r>
      <w:r>
        <w:rPr>
          <w:rFonts w:hint="default" w:ascii="Times New Roman" w:hAnsi="Times New Roman" w:eastAsia="仿宋_GB2312" w:cs="Times New Roman"/>
          <w:color w:val="auto"/>
          <w:sz w:val="32"/>
          <w:szCs w:val="32"/>
          <w:lang w:eastAsia="zh-CN"/>
        </w:rPr>
        <w:t>县</w:t>
      </w:r>
      <w:r>
        <w:rPr>
          <w:rFonts w:hint="default" w:ascii="Times New Roman" w:hAnsi="Times New Roman" w:eastAsia="仿宋_GB2312" w:cs="Times New Roman"/>
          <w:color w:val="auto"/>
          <w:sz w:val="32"/>
          <w:szCs w:val="32"/>
        </w:rPr>
        <w:t>级行政职权，推进涉企经营许可事项改革，进一步降低企业制度性交易成本。严格落实“双随机、一公开”监管，统一规范随机抽查事项清单，动态调整完善。纵深推进“一网通办”前提下“最多跑一次”改革，主动融入成渝地区双城经济圈“放管服”改革。按照全省统一标准和流程，承接梳理“省内通办”清单。</w:t>
      </w:r>
    </w:p>
    <w:p w14:paraId="40737520">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lang w:eastAsia="zh-CN"/>
        </w:rPr>
        <w:t>（二）</w:t>
      </w:r>
      <w:r>
        <w:rPr>
          <w:rFonts w:hint="default" w:ascii="Times New Roman" w:hAnsi="Times New Roman" w:eastAsia="楷体_GB2312" w:cs="Times New Roman"/>
          <w:b/>
          <w:bCs/>
          <w:color w:val="auto"/>
          <w:sz w:val="32"/>
          <w:szCs w:val="32"/>
        </w:rPr>
        <w:t>构建公平竞争市场秩序。</w:t>
      </w:r>
      <w:r>
        <w:rPr>
          <w:rFonts w:hint="default" w:ascii="Times New Roman" w:hAnsi="Times New Roman" w:eastAsia="仿宋_GB2312" w:cs="Times New Roman"/>
          <w:color w:val="auto"/>
          <w:sz w:val="32"/>
          <w:szCs w:val="32"/>
        </w:rPr>
        <w:t>贯彻落实最新版市场准入负面清单。落实公平竞争审查制度，重点加强对实行地方保护、妨碍经营者准入或退出市场、对特定经营者给予奖补等情形的审查。</w:t>
      </w:r>
    </w:p>
    <w:p w14:paraId="72B5F099">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lang w:eastAsia="zh-CN"/>
        </w:rPr>
        <w:t>（三）</w:t>
      </w:r>
      <w:r>
        <w:rPr>
          <w:rFonts w:hint="default" w:ascii="Times New Roman" w:hAnsi="Times New Roman" w:eastAsia="楷体_GB2312" w:cs="Times New Roman"/>
          <w:b/>
          <w:bCs/>
          <w:color w:val="auto"/>
          <w:sz w:val="32"/>
          <w:szCs w:val="32"/>
        </w:rPr>
        <w:t>加强重点领域执法力度</w:t>
      </w: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color w:val="auto"/>
          <w:sz w:val="32"/>
          <w:szCs w:val="32"/>
        </w:rPr>
        <w:t>加强重点领域整治力度，筑牢食品、药品、特种设备、重点工业产品安全底线。加大网络交易执法力度，严厉查处利用互联网制售侵权假冒伪劣商品、发布虚假违法广告及不正当竞争等行为。</w:t>
      </w:r>
      <w:r>
        <w:rPr>
          <w:rFonts w:hint="default" w:ascii="Times New Roman" w:hAnsi="Times New Roman" w:eastAsia="仿宋_GB2312" w:cs="Times New Roman"/>
          <w:color w:val="auto"/>
          <w:sz w:val="32"/>
          <w:szCs w:val="32"/>
          <w:lang w:val="en-US" w:eastAsia="zh-CN"/>
        </w:rPr>
        <w:t xml:space="preserve">              </w:t>
      </w:r>
    </w:p>
    <w:p w14:paraId="290800F5">
      <w:pPr>
        <w:pStyle w:val="2"/>
        <w:keepNext w:val="0"/>
        <w:keepLines w:val="0"/>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eastAsia="仿宋_GB2312" w:cs="Times New Roman"/>
          <w:color w:val="auto"/>
          <w:sz w:val="32"/>
          <w:szCs w:val="32"/>
          <w:lang w:val="en-US" w:eastAsia="zh-CN"/>
        </w:rPr>
      </w:pPr>
    </w:p>
    <w:p w14:paraId="1EF76B1A">
      <w:pPr>
        <w:pStyle w:val="2"/>
        <w:keepNext w:val="0"/>
        <w:keepLines w:val="0"/>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eastAsia="仿宋_GB2312" w:cs="Times New Roman"/>
          <w:color w:val="auto"/>
          <w:sz w:val="32"/>
          <w:szCs w:val="32"/>
          <w:lang w:val="en-US" w:eastAsia="zh-CN"/>
        </w:rPr>
      </w:pPr>
    </w:p>
    <w:p w14:paraId="6A4F9DC5">
      <w:pPr>
        <w:pStyle w:val="2"/>
        <w:keepNext w:val="0"/>
        <w:keepLines w:val="0"/>
        <w:pageBreakBefore w:val="0"/>
        <w:kinsoku/>
        <w:wordWrap/>
        <w:overflowPunct/>
        <w:topLinePunct w:val="0"/>
        <w:autoSpaceDE/>
        <w:autoSpaceDN/>
        <w:bidi w:val="0"/>
        <w:adjustRightInd/>
        <w:snapToGrid/>
        <w:spacing w:after="0" w:line="560" w:lineRule="exact"/>
        <w:ind w:firstLine="4480" w:firstLineChars="1400"/>
        <w:textAlignment w:val="auto"/>
        <w:rPr>
          <w:rFonts w:hint="default" w:ascii="Times New Roman" w:hAnsi="Times New Roman" w:eastAsia="仿宋_GB2312" w:cs="Times New Roman"/>
          <w:color w:val="auto"/>
          <w:sz w:val="32"/>
          <w:szCs w:val="32"/>
          <w:lang w:val="en-US" w:eastAsia="zh-CN"/>
        </w:rPr>
      </w:pPr>
    </w:p>
    <w:p w14:paraId="0CAE1296">
      <w:pPr>
        <w:pStyle w:val="2"/>
        <w:keepNext w:val="0"/>
        <w:keepLines w:val="0"/>
        <w:pageBreakBefore w:val="0"/>
        <w:kinsoku/>
        <w:wordWrap/>
        <w:overflowPunct/>
        <w:topLinePunct w:val="0"/>
        <w:autoSpaceDE/>
        <w:autoSpaceDN/>
        <w:bidi w:val="0"/>
        <w:adjustRightInd/>
        <w:snapToGrid/>
        <w:spacing w:after="0" w:line="560" w:lineRule="exact"/>
        <w:ind w:firstLine="4480" w:firstLineChars="1400"/>
        <w:textAlignment w:val="auto"/>
        <w:rPr>
          <w:rFonts w:hint="default" w:ascii="Times New Roman" w:hAnsi="Times New Roman" w:eastAsia="仿宋_GB2312" w:cs="Times New Roman"/>
          <w:color w:val="auto"/>
          <w:sz w:val="32"/>
          <w:szCs w:val="32"/>
          <w:lang w:val="en-US" w:eastAsia="zh-CN"/>
        </w:rPr>
      </w:pPr>
    </w:p>
    <w:p w14:paraId="56388395">
      <w:pPr>
        <w:pStyle w:val="2"/>
        <w:keepNext w:val="0"/>
        <w:keepLines w:val="0"/>
        <w:pageBreakBefore w:val="0"/>
        <w:kinsoku/>
        <w:wordWrap/>
        <w:overflowPunct/>
        <w:topLinePunct w:val="0"/>
        <w:autoSpaceDE/>
        <w:autoSpaceDN/>
        <w:bidi w:val="0"/>
        <w:adjustRightInd/>
        <w:snapToGrid/>
        <w:spacing w:after="0" w:line="560" w:lineRule="exact"/>
        <w:ind w:firstLine="4480" w:firstLineChars="14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金川县市场监督管理局</w:t>
      </w:r>
    </w:p>
    <w:p w14:paraId="1F775FEB">
      <w:pPr>
        <w:pStyle w:val="2"/>
        <w:keepNext w:val="0"/>
        <w:keepLines w:val="0"/>
        <w:pageBreakBefore w:val="0"/>
        <w:kinsoku/>
        <w:wordWrap/>
        <w:overflowPunct/>
        <w:topLinePunct w:val="0"/>
        <w:autoSpaceDE/>
        <w:autoSpaceDN/>
        <w:bidi w:val="0"/>
        <w:adjustRightInd/>
        <w:snapToGrid/>
        <w:spacing w:after="0" w:line="560" w:lineRule="exact"/>
        <w:ind w:firstLine="4800" w:firstLineChars="15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2022年2月22日</w:t>
      </w:r>
    </w:p>
    <w:p w14:paraId="58F9332B">
      <w:pPr>
        <w:keepNext w:val="0"/>
        <w:keepLines w:val="0"/>
        <w:pageBreakBefore w:val="0"/>
        <w:numPr>
          <w:ilvl w:val="0"/>
          <w:numId w:val="0"/>
        </w:numP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color w:val="auto"/>
          <w:sz w:val="32"/>
          <w:szCs w:val="32"/>
          <w:lang w:val="en-US" w:eastAsia="zh-CN"/>
        </w:rPr>
      </w:pPr>
    </w:p>
    <w:p w14:paraId="474F2363">
      <w:pPr>
        <w:pStyle w:val="2"/>
        <w:rPr>
          <w:rFonts w:hint="default" w:ascii="Times New Roman" w:hAnsi="Times New Roman" w:eastAsia="仿宋_GB2312" w:cs="Times New Roman"/>
          <w:color w:val="auto"/>
          <w:sz w:val="32"/>
          <w:szCs w:val="32"/>
          <w:lang w:val="en-US" w:eastAsia="zh-CN"/>
        </w:rPr>
      </w:pPr>
    </w:p>
    <w:p w14:paraId="2B0FA7F5">
      <w:pPr>
        <w:pStyle w:val="2"/>
        <w:rPr>
          <w:rFonts w:hint="default" w:ascii="Times New Roman" w:hAnsi="Times New Roman" w:eastAsia="仿宋_GB2312" w:cs="Times New Roman"/>
          <w:color w:val="auto"/>
          <w:sz w:val="32"/>
          <w:szCs w:val="32"/>
          <w:lang w:val="en-US" w:eastAsia="zh-CN"/>
        </w:rPr>
      </w:pPr>
    </w:p>
    <w:p w14:paraId="2EAF961F">
      <w:pPr>
        <w:pStyle w:val="2"/>
        <w:rPr>
          <w:rFonts w:hint="default" w:ascii="Times New Roman" w:hAnsi="Times New Roman" w:eastAsia="仿宋_GB2312" w:cs="Times New Roman"/>
          <w:color w:val="auto"/>
          <w:sz w:val="32"/>
          <w:szCs w:val="32"/>
          <w:lang w:val="en-US" w:eastAsia="zh-CN"/>
        </w:rPr>
      </w:pPr>
    </w:p>
    <w:p w14:paraId="639BF5F8">
      <w:pPr>
        <w:pStyle w:val="2"/>
        <w:rPr>
          <w:rFonts w:hint="default" w:ascii="Times New Roman" w:hAnsi="Times New Roman" w:eastAsia="仿宋_GB2312" w:cs="Times New Roman"/>
          <w:color w:val="auto"/>
          <w:sz w:val="32"/>
          <w:szCs w:val="32"/>
          <w:lang w:val="en-US" w:eastAsia="zh-CN"/>
        </w:rPr>
      </w:pPr>
    </w:p>
    <w:p w14:paraId="26747135">
      <w:pPr>
        <w:pStyle w:val="2"/>
        <w:rPr>
          <w:rFonts w:hint="default" w:ascii="Times New Roman" w:hAnsi="Times New Roman" w:eastAsia="仿宋_GB2312" w:cs="Times New Roman"/>
          <w:color w:val="auto"/>
          <w:sz w:val="32"/>
          <w:szCs w:val="32"/>
          <w:lang w:val="en-US" w:eastAsia="zh-CN"/>
        </w:rPr>
      </w:pPr>
    </w:p>
    <w:p w14:paraId="44D03719">
      <w:pPr>
        <w:pStyle w:val="2"/>
        <w:rPr>
          <w:rFonts w:hint="default" w:ascii="Times New Roman" w:hAnsi="Times New Roman" w:eastAsia="仿宋_GB2312" w:cs="Times New Roman"/>
          <w:color w:val="auto"/>
          <w:sz w:val="32"/>
          <w:szCs w:val="32"/>
          <w:lang w:val="en-US" w:eastAsia="zh-CN"/>
        </w:rPr>
      </w:pPr>
    </w:p>
    <w:p w14:paraId="6A925D5F">
      <w:pPr>
        <w:pStyle w:val="2"/>
        <w:rPr>
          <w:rFonts w:hint="default" w:ascii="Times New Roman" w:hAnsi="Times New Roman" w:eastAsia="方正仿宋_GBK" w:cs="Times New Roman"/>
          <w:color w:val="auto"/>
          <w:sz w:val="32"/>
          <w:szCs w:val="32"/>
        </w:rPr>
      </w:pPr>
    </w:p>
    <w:p w14:paraId="6B7D3B37">
      <w:pPr>
        <w:pStyle w:val="2"/>
        <w:rPr>
          <w:rFonts w:hint="default" w:ascii="Times New Roman" w:hAnsi="Times New Roman" w:eastAsia="方正仿宋_GBK" w:cs="Times New Roman"/>
          <w:color w:val="auto"/>
          <w:sz w:val="32"/>
          <w:szCs w:val="32"/>
        </w:rPr>
      </w:pPr>
    </w:p>
    <w:p w14:paraId="285E26CB">
      <w:pPr>
        <w:pStyle w:val="2"/>
        <w:rPr>
          <w:rFonts w:hint="default" w:ascii="Times New Roman" w:hAnsi="Times New Roman" w:eastAsia="方正仿宋_GBK" w:cs="Times New Roman"/>
          <w:color w:val="auto"/>
          <w:sz w:val="32"/>
          <w:szCs w:val="32"/>
        </w:rPr>
      </w:pPr>
    </w:p>
    <w:p w14:paraId="79CBE007">
      <w:pPr>
        <w:pStyle w:val="2"/>
        <w:rPr>
          <w:rFonts w:hint="default" w:ascii="Times New Roman" w:hAnsi="Times New Roman" w:eastAsia="方正仿宋_GBK" w:cs="Times New Roman"/>
          <w:color w:val="auto"/>
          <w:sz w:val="32"/>
          <w:szCs w:val="32"/>
        </w:rPr>
      </w:pPr>
    </w:p>
    <w:p w14:paraId="46CABA34">
      <w:pPr>
        <w:pStyle w:val="2"/>
        <w:rPr>
          <w:rFonts w:hint="default" w:ascii="Times New Roman" w:hAnsi="Times New Roman" w:eastAsia="方正仿宋_GBK" w:cs="Times New Roman"/>
          <w:color w:val="auto"/>
          <w:sz w:val="32"/>
          <w:szCs w:val="32"/>
        </w:rPr>
      </w:pPr>
    </w:p>
    <w:p w14:paraId="38075922">
      <w:pPr>
        <w:pStyle w:val="2"/>
        <w:rPr>
          <w:rFonts w:hint="default" w:ascii="Times New Roman" w:hAnsi="Times New Roman" w:eastAsia="方正仿宋_GBK" w:cs="Times New Roman"/>
          <w:color w:val="auto"/>
          <w:sz w:val="32"/>
          <w:szCs w:val="32"/>
        </w:rPr>
      </w:pPr>
    </w:p>
    <w:p w14:paraId="64E992C6">
      <w:pPr>
        <w:pBdr>
          <w:top w:val="single" w:color="auto" w:sz="6" w:space="0"/>
          <w:bottom w:val="single" w:color="auto" w:sz="6" w:space="1"/>
        </w:pBdr>
        <w:spacing w:line="560" w:lineRule="exact"/>
        <w:rPr>
          <w:rFonts w:hint="default" w:ascii="Times New Roman" w:hAnsi="Times New Roman" w:eastAsia="仿宋_GB2312" w:cs="Times New Roman"/>
          <w:color w:val="auto"/>
          <w:sz w:val="32"/>
          <w:szCs w:val="32"/>
          <w:lang w:val="en-US" w:eastAsia="zh-CN"/>
        </w:rPr>
      </w:pP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color w:val="auto"/>
          <w:sz w:val="24"/>
        </w:rPr>
        <w:t>金川县市场监督管理局办公室                      202</w:t>
      </w:r>
      <w:r>
        <w:rPr>
          <w:rFonts w:hint="default" w:ascii="Times New Roman" w:hAnsi="Times New Roman" w:eastAsia="方正仿宋_GBK" w:cs="Times New Roman"/>
          <w:color w:val="auto"/>
          <w:sz w:val="24"/>
          <w:lang w:val="en-US" w:eastAsia="zh-CN"/>
        </w:rPr>
        <w:t>2</w:t>
      </w:r>
      <w:r>
        <w:rPr>
          <w:rFonts w:hint="default" w:ascii="Times New Roman" w:hAnsi="Times New Roman" w:eastAsia="方正仿宋_GBK" w:cs="Times New Roman"/>
          <w:color w:val="auto"/>
          <w:sz w:val="24"/>
        </w:rPr>
        <w:t>年</w:t>
      </w:r>
      <w:r>
        <w:rPr>
          <w:rFonts w:hint="default" w:ascii="Times New Roman" w:hAnsi="Times New Roman" w:eastAsia="方正仿宋_GBK" w:cs="Times New Roman"/>
          <w:color w:val="auto"/>
          <w:sz w:val="24"/>
          <w:lang w:val="en-US" w:eastAsia="zh-CN"/>
        </w:rPr>
        <w:t>2</w:t>
      </w:r>
      <w:r>
        <w:rPr>
          <w:rFonts w:hint="default" w:ascii="Times New Roman" w:hAnsi="Times New Roman" w:eastAsia="方正仿宋_GBK" w:cs="Times New Roman"/>
          <w:color w:val="auto"/>
          <w:sz w:val="24"/>
        </w:rPr>
        <w:t>月</w:t>
      </w:r>
      <w:r>
        <w:rPr>
          <w:rFonts w:hint="default" w:ascii="Times New Roman" w:hAnsi="Times New Roman" w:eastAsia="方正仿宋_GBK" w:cs="Times New Roman"/>
          <w:color w:val="auto"/>
          <w:sz w:val="24"/>
          <w:lang w:val="en-US" w:eastAsia="zh-CN"/>
        </w:rPr>
        <w:t>22</w:t>
      </w:r>
      <w:r>
        <w:rPr>
          <w:rFonts w:hint="default" w:ascii="Times New Roman" w:hAnsi="Times New Roman" w:eastAsia="方正仿宋_GBK" w:cs="Times New Roman"/>
          <w:color w:val="auto"/>
          <w:sz w:val="24"/>
        </w:rPr>
        <w:t>日印发</w:t>
      </w:r>
      <w:r>
        <w:rPr>
          <w:rFonts w:hint="default" w:ascii="Times New Roman" w:hAnsi="Times New Roman" w:eastAsia="方正仿宋_GBK" w:cs="Times New Roman"/>
          <w:color w:val="auto"/>
          <w:sz w:val="32"/>
          <w:szCs w:val="32"/>
        </w:rPr>
        <w:t xml:space="preserve">   </w:t>
      </w:r>
      <w:r>
        <w:rPr>
          <w:rFonts w:hint="default" w:ascii="Times New Roman" w:hAnsi="Times New Roman" w:cs="Times New Roman"/>
          <w:color w:val="auto"/>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77E4F"/>
    <w:rsid w:val="0617569E"/>
    <w:rsid w:val="080D0C74"/>
    <w:rsid w:val="23D63F1C"/>
    <w:rsid w:val="27112629"/>
    <w:rsid w:val="40875370"/>
    <w:rsid w:val="42C77356"/>
    <w:rsid w:val="4A7868B3"/>
    <w:rsid w:val="54B96886"/>
    <w:rsid w:val="5AAE3EE4"/>
    <w:rsid w:val="5B001EAF"/>
    <w:rsid w:val="5F8053EF"/>
    <w:rsid w:val="65810EFA"/>
    <w:rsid w:val="735067AF"/>
    <w:rsid w:val="7ABB459F"/>
    <w:rsid w:val="7E3E4B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2556</Words>
  <Characters>2623</Characters>
  <Lines>0</Lines>
  <Paragraphs>0</Paragraphs>
  <TotalTime>4</TotalTime>
  <ScaleCrop>false</ScaleCrop>
  <LinksUpToDate>false</LinksUpToDate>
  <CharactersWithSpaces>5381</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盐星星</cp:lastModifiedBy>
  <cp:lastPrinted>2022-02-22T06:42:00Z</cp:lastPrinted>
  <dcterms:modified xsi:type="dcterms:W3CDTF">2026-07-17T09:50:51Z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CA92874909D0430FAC413912EAFD09A8</vt:lpwstr>
  </property>
  <property fmtid="{D5CDD505-2E9C-101B-9397-08002B2CF9AE}" pid="4" name="KSOTemplateDocerSaveRecord">
    <vt:lpwstr>eyJoZGlkIjoiNzkyYzRhOGNmZjI2NTRmMmU4ZjYwMzM3MDcwMmEzMWYiLCJ1c2VySWQiOiIxMDYwOTQ0NDM1In0=</vt:lpwstr>
  </property>
</Properties>
</file>