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93F0E">
      <w:pPr>
        <w:adjustRightInd w:val="0"/>
        <w:snapToGrid w:val="0"/>
        <w:jc w:val="center"/>
        <w:rPr>
          <w:rFonts w:hint="eastAsia" w:ascii="仿宋_GB2312" w:hAnsi="方正大标宋简体" w:eastAsia="Times New Roman"/>
          <w:b/>
          <w:color w:val="FF0000"/>
          <w:sz w:val="32"/>
          <w:szCs w:val="32"/>
        </w:rPr>
      </w:pPr>
      <w:bookmarkStart w:id="0" w:name="_GoBack"/>
      <w:bookmarkEnd w:id="0"/>
      <w:r>
        <w:rPr>
          <w:rFonts w:hint="eastAsia" w:ascii="宋体" w:hAnsi="宋体" w:eastAsia="宋体" w:cs="宋体"/>
          <w:b/>
          <w:bCs w:val="0"/>
          <w:color w:val="FF0000"/>
          <w:sz w:val="96"/>
          <w:szCs w:val="96"/>
          <w:lang w:val="en-US" w:eastAsia="zh-CN"/>
        </w:rPr>
        <w:t>金川县信访局文件</w:t>
      </w:r>
    </w:p>
    <w:p w14:paraId="3B3DDB7C">
      <w:pPr>
        <w:adjustRightInd w:val="0"/>
        <w:snapToGrid w:val="0"/>
        <w:jc w:val="center"/>
        <w:rPr>
          <w:rFonts w:hint="eastAsia" w:ascii="仿宋_GB2312" w:hAnsi="仿宋" w:eastAsia="Times New Roman"/>
          <w:sz w:val="32"/>
          <w:szCs w:val="32"/>
        </w:rPr>
      </w:pPr>
    </w:p>
    <w:p w14:paraId="6F45D0FD">
      <w:pPr>
        <w:adjustRightInd w:val="0"/>
        <w:snapToGrid w:val="0"/>
        <w:jc w:val="center"/>
        <w:rPr>
          <w:rFonts w:hint="eastAsia" w:ascii="楷体_GB2312" w:hAnsi="方正大标宋简体" w:eastAsia="宋体"/>
          <w:color w:val="000000"/>
          <w:sz w:val="32"/>
          <w:szCs w:val="32"/>
          <w:lang w:eastAsia="zh-CN"/>
        </w:rPr>
      </w:pPr>
      <w:r>
        <w:rPr>
          <w:rFonts w:ascii="仿宋_GB2312" w:hAnsi="仿宋" w:eastAsia="Times New Roman"/>
          <w:sz w:val="32"/>
          <w:szCs w:val="32"/>
        </w:rPr>
        <w:t>金信</w:t>
      </w:r>
      <w:r>
        <w:rPr>
          <w:rFonts w:hint="eastAsia" w:ascii="仿宋_GB2312" w:hAnsi="仿宋" w:eastAsia="宋体"/>
          <w:sz w:val="32"/>
          <w:szCs w:val="32"/>
          <w:lang w:val="en-US" w:eastAsia="zh-CN"/>
        </w:rPr>
        <w:t>访</w:t>
      </w:r>
      <w:r>
        <w:rPr>
          <w:rFonts w:ascii="仿宋_GB2312" w:hAnsi="仿宋" w:eastAsia="Times New Roman"/>
          <w:sz w:val="32"/>
          <w:szCs w:val="32"/>
        </w:rPr>
        <w:t>〔</w:t>
      </w:r>
      <w:r>
        <w:rPr>
          <w:rFonts w:hint="eastAsia" w:ascii="仿宋_GB2312" w:hAnsi="仿宋" w:eastAsia="Times New Roman"/>
          <w:sz w:val="32"/>
          <w:szCs w:val="32"/>
        </w:rPr>
        <w:t>20</w:t>
      </w:r>
      <w:r>
        <w:rPr>
          <w:rFonts w:hint="eastAsia" w:ascii="仿宋_GB2312" w:hAnsi="仿宋" w:eastAsia="宋体"/>
          <w:sz w:val="32"/>
          <w:szCs w:val="32"/>
          <w:lang w:val="en-US" w:eastAsia="zh-CN"/>
        </w:rPr>
        <w:t>22</w:t>
      </w:r>
      <w:r>
        <w:rPr>
          <w:rFonts w:ascii="仿宋_GB2312" w:hAnsi="仿宋" w:eastAsia="Times New Roman"/>
          <w:sz w:val="32"/>
          <w:szCs w:val="32"/>
        </w:rPr>
        <w:t>〕</w:t>
      </w:r>
      <w:r>
        <w:rPr>
          <w:rFonts w:hint="eastAsia" w:ascii="仿宋_GB2312" w:hAnsi="仿宋"/>
          <w:sz w:val="32"/>
          <w:szCs w:val="32"/>
          <w:lang w:val="en-US" w:eastAsia="zh-CN"/>
        </w:rPr>
        <w:t>1</w:t>
      </w:r>
      <w:r>
        <w:rPr>
          <w:rFonts w:ascii="仿宋_GB2312" w:hAnsi="仿宋" w:eastAsia="Times New Roman"/>
          <w:sz w:val="32"/>
          <w:szCs w:val="32"/>
        </w:rPr>
        <w:t>号</w:t>
      </w:r>
      <w:r>
        <w:rPr>
          <w:rFonts w:hint="eastAsia" w:ascii="仿宋_GB2312" w:hAnsi="仿宋" w:eastAsia="Times New Roman"/>
          <w:sz w:val="32"/>
          <w:szCs w:val="32"/>
        </w:rPr>
        <w:t xml:space="preserve">  </w:t>
      </w:r>
      <w:r>
        <w:rPr>
          <w:rFonts w:hint="eastAsia" w:ascii="仿宋_GB2312" w:hAnsi="宋体" w:eastAsia="Times New Roman"/>
          <w:sz w:val="32"/>
          <w:szCs w:val="32"/>
        </w:rPr>
        <w:t xml:space="preserve">  </w:t>
      </w:r>
      <w:r>
        <w:rPr>
          <w:rFonts w:hint="eastAsia" w:ascii="仿宋_GB2312" w:hAnsi="宋体" w:eastAsia="Times New Roman"/>
          <w:sz w:val="34"/>
          <w:szCs w:val="34"/>
        </w:rPr>
        <w:t xml:space="preserve">            </w:t>
      </w:r>
      <w:r>
        <w:rPr>
          <w:rFonts w:ascii="仿宋_GB2312" w:hAnsi="宋体" w:eastAsia="Times New Roman"/>
          <w:sz w:val="34"/>
          <w:szCs w:val="34"/>
        </w:rPr>
        <w:t>签发人：</w:t>
      </w:r>
      <w:r>
        <w:rPr>
          <w:rFonts w:hint="eastAsia" w:ascii="楷体_GB2312" w:hAnsi="宋体" w:eastAsia="宋体"/>
          <w:sz w:val="34"/>
          <w:szCs w:val="34"/>
          <w:lang w:eastAsia="zh-CN"/>
        </w:rPr>
        <w:t>王文平</w:t>
      </w:r>
    </w:p>
    <w:p w14:paraId="37F525B1">
      <w:pPr>
        <w:spacing w:line="240" w:lineRule="exact"/>
        <w:rPr>
          <w:rFonts w:hint="eastAsia" w:asciiTheme="majorEastAsia" w:hAnsiTheme="majorEastAsia" w:eastAsiaTheme="majorEastAsia" w:cstheme="majorEastAsia"/>
          <w:b/>
          <w:bCs/>
          <w:sz w:val="44"/>
          <w:szCs w:val="44"/>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21590</wp:posOffset>
                </wp:positionV>
                <wp:extent cx="5536565" cy="635"/>
                <wp:effectExtent l="0" t="12700" r="10795" b="17145"/>
                <wp:wrapNone/>
                <wp:docPr id="1" name="直接连接符 1"/>
                <wp:cNvGraphicFramePr/>
                <a:graphic xmlns:a="http://schemas.openxmlformats.org/drawingml/2006/main">
                  <a:graphicData uri="http://schemas.microsoft.com/office/word/2010/wordprocessingShape">
                    <wps:wsp>
                      <wps:cNvCnPr/>
                      <wps:spPr>
                        <a:xfrm>
                          <a:off x="0" y="0"/>
                          <a:ext cx="5536565" cy="635"/>
                        </a:xfrm>
                        <a:prstGeom prst="line">
                          <a:avLst/>
                        </a:prstGeom>
                        <a:ln w="254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25pt;margin-top:1.7pt;height:0.05pt;width:435.95pt;z-index:251659264;mso-width-relative:page;mso-height-relative:page;" filled="f" stroked="t" coordsize="21600,21600" o:gfxdata="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qfy/3UAAAABgEAAA8AAAAAAAAAAQAgAAAAIgAAAGRycy9kb3ducmV2Lnht&#10;bFBLAQIUABQAAAAIAIdO4kBEEfiu/QEAAPUDAAAOAAAAAAAAAAEAIAAAACMBAABkcnMvZTJvRG9j&#10;LnhtbFBLBQYAAAAABgAGAFkBAACSBQAAAAA=&#10;">
                <v:fill on="f" focussize="0,0"/>
                <v:stroke weight="2pt" color="#FF0000" joinstyle="round"/>
                <v:imagedata o:title=""/>
                <o:lock v:ext="edit" aspectratio="f"/>
              </v:line>
            </w:pict>
          </mc:Fallback>
        </mc:AlternateContent>
      </w:r>
    </w:p>
    <w:p w14:paraId="5A604939">
      <w:pPr>
        <w:numPr>
          <w:ilvl w:val="0"/>
          <w:numId w:val="0"/>
        </w:numPr>
        <w:spacing w:after="240" w:afterAutospacing="0"/>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金川县信访局</w:t>
      </w:r>
    </w:p>
    <w:p w14:paraId="7498A622">
      <w:pPr>
        <w:numPr>
          <w:ilvl w:val="0"/>
          <w:numId w:val="0"/>
        </w:numPr>
        <w:spacing w:after="240" w:afterAutospacing="0"/>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eastAsia="zh-CN"/>
        </w:rPr>
        <w:t>关于2021</w:t>
      </w:r>
      <w:r>
        <w:rPr>
          <w:rFonts w:hint="eastAsia" w:asciiTheme="majorEastAsia" w:hAnsiTheme="majorEastAsia" w:eastAsiaTheme="majorEastAsia" w:cstheme="majorEastAsia"/>
          <w:b/>
          <w:bCs/>
          <w:sz w:val="44"/>
          <w:szCs w:val="44"/>
        </w:rPr>
        <w:t>年度</w:t>
      </w:r>
      <w:r>
        <w:rPr>
          <w:rFonts w:hint="eastAsia" w:asciiTheme="majorEastAsia" w:hAnsiTheme="majorEastAsia" w:eastAsiaTheme="majorEastAsia" w:cstheme="majorEastAsia"/>
          <w:b/>
          <w:bCs/>
          <w:sz w:val="44"/>
          <w:szCs w:val="44"/>
          <w:lang w:eastAsia="zh-CN"/>
        </w:rPr>
        <w:t>法治政府建设工作情况的报告</w:t>
      </w:r>
    </w:p>
    <w:p w14:paraId="5DC25E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right="0" w:firstLine="626" w:firstLineChars="200"/>
        <w:jc w:val="left"/>
        <w:textAlignment w:val="auto"/>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pP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2021年，在县委、县政府的正确领导下，在省、州信访部门的精心指导下，我局严格贯彻落实法治政府建设工作有关要求，以“化纠纷，解民忧，促稳定”为主要抓手，努力建成阳光信访、责任信访、法治信访，在推进信访工作规范化、信访秩序法制化过程中取得了明显成效，实现信访业务全面规范、信访秩序根本好转、信访“三率”显著提升的工作目标，现将2021年我局依法治县的情况报告如下：</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黑体" w:hAnsi="黑体" w:eastAsia="黑体" w:cs="黑体"/>
          <w:b/>
          <w:bCs/>
          <w:i w:val="0"/>
          <w:caps w:val="0"/>
          <w:color w:val="212529"/>
          <w:spacing w:val="0"/>
          <w:kern w:val="0"/>
          <w:sz w:val="32"/>
          <w:szCs w:val="32"/>
          <w:u w:val="none"/>
          <w:shd w:val="clear" w:fill="FFFFFF"/>
          <w:lang w:val="en-US" w:eastAsia="zh-CN" w:bidi="ar"/>
        </w:rPr>
        <w:t>　一、2021年度推进法治政府建设的主要举措和成效</w:t>
      </w:r>
    </w:p>
    <w:p w14:paraId="687546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right="0" w:firstLine="626" w:firstLineChars="200"/>
        <w:jc w:val="left"/>
        <w:textAlignment w:val="auto"/>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pPr>
      <w:r>
        <w:rPr>
          <w:rFonts w:hint="eastAsia" w:ascii="楷体" w:hAnsi="楷体" w:eastAsia="楷体" w:cs="楷体"/>
          <w:b/>
          <w:bCs/>
          <w:i w:val="0"/>
          <w:caps w:val="0"/>
          <w:color w:val="212529"/>
          <w:spacing w:val="0"/>
          <w:kern w:val="0"/>
          <w:sz w:val="32"/>
          <w:szCs w:val="32"/>
          <w:u w:val="none"/>
          <w:shd w:val="clear" w:fill="FFFFFF"/>
          <w:lang w:val="en-US" w:eastAsia="zh-CN" w:bidi="ar"/>
        </w:rPr>
        <w:t>（一）建章立制，规范业务，依法行政提质效</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xml:space="preserve">　  </w:t>
      </w:r>
      <w:r>
        <w:rPr>
          <w:rFonts w:hint="eastAsia" w:asciiTheme="majorEastAsia" w:hAnsiTheme="majorEastAsia" w:eastAsiaTheme="majorEastAsia" w:cstheme="majorEastAsia"/>
          <w:b/>
          <w:bCs/>
          <w:i w:val="0"/>
          <w:caps w:val="0"/>
          <w:color w:val="212529"/>
          <w:spacing w:val="0"/>
          <w:kern w:val="0"/>
          <w:sz w:val="32"/>
          <w:szCs w:val="32"/>
          <w:u w:val="none"/>
          <w:shd w:val="clear" w:fill="FFFFFF"/>
          <w:lang w:val="en-US" w:eastAsia="zh-CN" w:bidi="ar"/>
        </w:rPr>
        <w:t>1.畅通渠道，规范信访秩序。</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全面规范线下信访场所建设，严格落实领导接访下访制度，进一步提升群众来信来访接办业务质量，坚持“接访常态化、管理制度化、流程标准化、工作信息化、服务精准化、秩序法治化 ”完成实现“一站式接访、一揽子解决、打通最后一公里、最多访一次”工作要求。二是全面整合人民网留言、领导信箱等信访渠道，实现接待来访、办信来信、督查督办、网上投诉等信访事项均在网上流转，且每一件事项“可查询、可跟踪、可督办、可评价”，做到“网上”查民意、“网下”解民忧。</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Theme="majorEastAsia" w:hAnsiTheme="majorEastAsia" w:eastAsiaTheme="majorEastAsia" w:cstheme="majorEastAsia"/>
          <w:b/>
          <w:bCs/>
          <w:i w:val="0"/>
          <w:caps w:val="0"/>
          <w:color w:val="212529"/>
          <w:spacing w:val="0"/>
          <w:kern w:val="0"/>
          <w:sz w:val="32"/>
          <w:szCs w:val="32"/>
          <w:u w:val="none"/>
          <w:shd w:val="clear" w:fill="FFFFFF"/>
          <w:lang w:val="en-US" w:eastAsia="zh-CN" w:bidi="ar"/>
        </w:rPr>
        <w:t>　2.多元调解，推进矛盾纠纷调处。</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为了确保法治政府建设工作落到实处，我局坚持和发展新时代“枫桥经验”，健全人民调解、行政调解、司法调解联动体系，按照“三到位一处理 ”原则分类甄别，因案施策，切实推动矛盾纠纷有效化解。一是推进依法分类处理信访诉求工作，积极运用行政程序处理群众信访问题，依法甄别群众反映信访事项，分类导入法定途径，依法按程序处理，并制定了在岗人员定岗定责管理制度和外派人员管理制度，规范了业务工作流程和内务管理办法，实行“岗位”包保责任制，实现了从“被动响应”向“主动作为”的转变，增强了解决问题的靶向性和实效性，有效保障群众合理合法诉求依照法律规定和程序快速得到合理合法的结果。二是发动人民群众的力量化解矛盾纠纷，让群众的矛盾在群众中解决，积极推动构建共建共治共享的现代社会治理新格局。</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Theme="majorEastAsia" w:hAnsiTheme="majorEastAsia" w:eastAsiaTheme="majorEastAsia" w:cstheme="majorEastAsia"/>
          <w:b/>
          <w:bCs/>
          <w:i w:val="0"/>
          <w:caps w:val="0"/>
          <w:color w:val="212529"/>
          <w:spacing w:val="0"/>
          <w:kern w:val="0"/>
          <w:sz w:val="32"/>
          <w:szCs w:val="32"/>
          <w:u w:val="none"/>
          <w:shd w:val="clear" w:fill="FFFFFF"/>
          <w:lang w:val="en-US" w:eastAsia="zh-CN" w:bidi="ar"/>
        </w:rPr>
        <w:t>3.压实责任，狠抓积案难案化解。</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2021年金川县信访局坚持基层矛盾治理“关口”前移，“重心”下移，责任压实，全面提质增效。一是坚持定期、不定期约访信访突出问题，彻底把信访问题化解在基层。二是严格落实责任考评查究机制。对信访工作责任不落实，造成严重影响的，根据《金川县信访工作责任制实施细则》严肃追责问责，对履职不到位的单位进行了全县通报批评，并扣减2021年目标绩效考核分。</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楷体" w:hAnsi="楷体" w:eastAsia="楷体" w:cs="楷体"/>
          <w:b/>
          <w:bCs/>
          <w:i w:val="0"/>
          <w:caps w:val="0"/>
          <w:color w:val="212529"/>
          <w:spacing w:val="0"/>
          <w:kern w:val="0"/>
          <w:sz w:val="32"/>
          <w:szCs w:val="32"/>
          <w:u w:val="none"/>
          <w:shd w:val="clear" w:fill="FFFFFF"/>
          <w:lang w:val="en-US" w:eastAsia="zh-CN" w:bidi="ar"/>
        </w:rPr>
        <w:t>　（二）强化宣传，监督有力，依法行政有氛围</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Theme="majorEastAsia" w:hAnsiTheme="majorEastAsia" w:eastAsiaTheme="majorEastAsia" w:cstheme="majorEastAsia"/>
          <w:b/>
          <w:bCs/>
          <w:i w:val="0"/>
          <w:caps w:val="0"/>
          <w:color w:val="212529"/>
          <w:spacing w:val="0"/>
          <w:kern w:val="0"/>
          <w:sz w:val="32"/>
          <w:szCs w:val="32"/>
          <w:u w:val="none"/>
          <w:shd w:val="clear" w:fill="FFFFFF"/>
          <w:lang w:val="en-US" w:eastAsia="zh-CN" w:bidi="ar"/>
        </w:rPr>
        <w:t>　1.扎实开展普法工作。</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一是重视关键节点的宣传工作。疫情期间，及时印发《关于暂停接待群众来访的通告》做好线上信访宣传引导，下派我局精干人员在五个疫情防控点开展宣传、筛查和防控工作，共发放疫情防控等宣传单120余份，安抚群众情绪，引导群众有序、合理表达诉求。二是抓好常规时期宣传工作。为提高我县群众的法律意识。在卡撒乡、观音桥、勒乌镇等人群密集点开展集中宣传。宣传期间印发《信访知识片》宣传资料600余份，确保宣传内容家喻户晓。力争实现宣传人群广覆盖，宣传效果强深入，引导群众依法、有序、理性、文明表达诉求，维持正常信访秩序。</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Theme="majorEastAsia" w:hAnsiTheme="majorEastAsia" w:eastAsiaTheme="majorEastAsia" w:cstheme="majorEastAsia"/>
          <w:b/>
          <w:bCs/>
          <w:i w:val="0"/>
          <w:caps w:val="0"/>
          <w:color w:val="212529"/>
          <w:spacing w:val="0"/>
          <w:kern w:val="0"/>
          <w:sz w:val="32"/>
          <w:szCs w:val="32"/>
          <w:u w:val="none"/>
          <w:shd w:val="clear" w:fill="FFFFFF"/>
          <w:lang w:val="en-US" w:eastAsia="zh-CN" w:bidi="ar"/>
        </w:rPr>
        <w:t>2.严格法治监督。</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一是加强党内监督，严格落实党风廉政建设责任制；二是加强行政监督，坚持依法科学民主决策，认真履行重大事项报告制度；三是接受社会监督，进一步加大政府信息公开力度，按照《政府信息公开条例》的要求，依托金川人民政府门户网、全面做好政务信息公开工作，保证人民群众的知情权、参与权和监督权。</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黑体" w:hAnsi="黑体" w:eastAsia="黑体" w:cs="黑体"/>
          <w:i w:val="0"/>
          <w:caps w:val="0"/>
          <w:color w:val="212529"/>
          <w:spacing w:val="0"/>
          <w:kern w:val="0"/>
          <w:sz w:val="32"/>
          <w:szCs w:val="32"/>
          <w:u w:val="none"/>
          <w:shd w:val="clear" w:fill="FFFFFF"/>
          <w:lang w:val="en-US" w:eastAsia="zh-CN" w:bidi="ar"/>
        </w:rPr>
        <w:t>　二、2021年度推进法治政府建设存在的不足和原因</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2021年，我局依法治县工作取得一定成效，但仍存在不足，一是上访群众法律意识淡薄，信上不信下，信闹不信理，信访不信法的现象依然普遍存在，信访秩序亟待规范；二是问题群体量大面宽，受社会发展、经济下行的影响，旧问题亟待解决，新的社会矛盾和信访问题逐步显现，新增问题与历史遗留问题相互叠加，化解难度很大，源头治理和积案难案化解工作有待加强；三是在处理实际问题中，信访工作人员对部分领域的法律法规不够了解，影响工作效率。</w:t>
      </w:r>
    </w:p>
    <w:p w14:paraId="36457E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right="0" w:firstLine="626" w:firstLineChars="200"/>
        <w:jc w:val="left"/>
        <w:textAlignment w:val="auto"/>
        <w:rPr>
          <w:rFonts w:hint="eastAsia" w:ascii="黑体" w:hAnsi="黑体" w:eastAsia="黑体" w:cs="黑体"/>
          <w:i w:val="0"/>
          <w:caps w:val="0"/>
          <w:color w:val="212529"/>
          <w:spacing w:val="0"/>
          <w:kern w:val="0"/>
          <w:sz w:val="32"/>
          <w:szCs w:val="32"/>
          <w:u w:val="none"/>
          <w:shd w:val="clear" w:fill="FFFFFF"/>
          <w:lang w:val="en-US" w:eastAsia="zh-CN" w:bidi="ar"/>
        </w:rPr>
      </w:pPr>
      <w:r>
        <w:rPr>
          <w:rFonts w:hint="eastAsia" w:ascii="黑体" w:hAnsi="黑体" w:eastAsia="黑体" w:cs="黑体"/>
          <w:i w:val="0"/>
          <w:caps w:val="0"/>
          <w:color w:val="212529"/>
          <w:spacing w:val="0"/>
          <w:kern w:val="0"/>
          <w:sz w:val="32"/>
          <w:szCs w:val="32"/>
          <w:u w:val="none"/>
          <w:shd w:val="clear" w:fill="FFFFFF"/>
          <w:lang w:val="en-US" w:eastAsia="zh-CN" w:bidi="ar"/>
        </w:rPr>
        <w:t>三、党政主要负责人履行推进法治建设第一责任人职责，加强法治政府建设的情况</w:t>
      </w:r>
    </w:p>
    <w:p w14:paraId="0DE68D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right="0" w:firstLine="626" w:firstLineChars="200"/>
        <w:jc w:val="left"/>
        <w:textAlignment w:val="auto"/>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pPr>
      <w:r>
        <w:rPr>
          <w:rFonts w:hint="eastAsia" w:asciiTheme="majorEastAsia" w:hAnsiTheme="majorEastAsia" w:eastAsiaTheme="majorEastAsia" w:cstheme="majorEastAsia"/>
          <w:b/>
          <w:bCs/>
          <w:i w:val="0"/>
          <w:caps w:val="0"/>
          <w:color w:val="212529"/>
          <w:spacing w:val="0"/>
          <w:kern w:val="0"/>
          <w:sz w:val="32"/>
          <w:szCs w:val="32"/>
          <w:u w:val="none"/>
          <w:shd w:val="clear" w:fill="FFFFFF"/>
          <w:lang w:val="en-US" w:eastAsia="zh-CN" w:bidi="ar"/>
        </w:rPr>
        <w:t>1.高度重视。</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局主要领导高度重视法治政府建设工作，把依法治县工作纳入重要议事议程，组织召开党组会议研究部署工作并及时调整我局依法治县工作领导小组</w:t>
      </w:r>
      <w:r>
        <w:rPr>
          <w:rFonts w:hint="eastAsia" w:asciiTheme="majorEastAsia" w:hAnsiTheme="majorEastAsia" w:eastAsiaTheme="majorEastAsia" w:cstheme="majorEastAsia"/>
          <w:sz w:val="32"/>
          <w:szCs w:val="32"/>
        </w:rPr>
        <w:t>制定</w:t>
      </w:r>
      <w:r>
        <w:rPr>
          <w:rFonts w:hint="eastAsia" w:asciiTheme="majorEastAsia" w:hAnsiTheme="majorEastAsia" w:eastAsiaTheme="majorEastAsia" w:cstheme="majorEastAsia"/>
          <w:sz w:val="32"/>
          <w:szCs w:val="32"/>
          <w:lang w:eastAsia="zh-CN"/>
        </w:rPr>
        <w:t>，</w:t>
      </w:r>
      <w:r>
        <w:rPr>
          <w:rFonts w:hint="eastAsia" w:asciiTheme="majorEastAsia" w:hAnsiTheme="majorEastAsia" w:eastAsiaTheme="majorEastAsia" w:cstheme="majorEastAsia"/>
          <w:sz w:val="32"/>
          <w:szCs w:val="32"/>
        </w:rPr>
        <w:t>并完善了《领导干部学法用法制度》《</w:t>
      </w:r>
      <w:r>
        <w:rPr>
          <w:rFonts w:hint="eastAsia" w:asciiTheme="majorEastAsia" w:hAnsiTheme="majorEastAsia" w:eastAsiaTheme="majorEastAsia" w:cstheme="majorEastAsia"/>
          <w:sz w:val="32"/>
          <w:szCs w:val="32"/>
          <w:lang w:eastAsia="zh-CN"/>
        </w:rPr>
        <w:t>2021</w:t>
      </w:r>
      <w:r>
        <w:rPr>
          <w:rFonts w:hint="eastAsia" w:asciiTheme="majorEastAsia" w:hAnsiTheme="majorEastAsia" w:eastAsiaTheme="majorEastAsia" w:cstheme="majorEastAsia"/>
          <w:sz w:val="32"/>
          <w:szCs w:val="32"/>
        </w:rPr>
        <w:t>年度“法律七进”工作方案》等</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计划方案，细化实施步骤，明确职责分工，有序推进依法治县各项工作开展，切实加强对贯彻推行依法治县工作的组织领导。</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xml:space="preserve">　  </w:t>
      </w:r>
      <w:r>
        <w:rPr>
          <w:rFonts w:hint="eastAsia" w:asciiTheme="majorEastAsia" w:hAnsiTheme="majorEastAsia" w:eastAsiaTheme="majorEastAsia" w:cstheme="majorEastAsia"/>
          <w:b/>
          <w:bCs/>
          <w:i w:val="0"/>
          <w:caps w:val="0"/>
          <w:color w:val="212529"/>
          <w:spacing w:val="0"/>
          <w:kern w:val="0"/>
          <w:sz w:val="32"/>
          <w:szCs w:val="32"/>
          <w:u w:val="none"/>
          <w:shd w:val="clear" w:fill="FFFFFF"/>
          <w:lang w:val="en-US" w:eastAsia="zh-CN" w:bidi="ar"/>
        </w:rPr>
        <w:t>2.加强力量。</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为打造一支法治水平过硬的队伍，进一步提升我局依法行政水平，局主要领导严格落实</w:t>
      </w:r>
      <w:r>
        <w:rPr>
          <w:rFonts w:hint="eastAsia" w:asciiTheme="majorEastAsia" w:hAnsiTheme="majorEastAsia" w:eastAsiaTheme="majorEastAsia" w:cstheme="majorEastAsia"/>
          <w:sz w:val="32"/>
          <w:szCs w:val="32"/>
        </w:rPr>
        <w:t>《领导干部学法用法制度》《</w:t>
      </w:r>
      <w:r>
        <w:rPr>
          <w:rFonts w:hint="eastAsia" w:asciiTheme="majorEastAsia" w:hAnsiTheme="majorEastAsia" w:eastAsiaTheme="majorEastAsia" w:cstheme="majorEastAsia"/>
          <w:sz w:val="32"/>
          <w:szCs w:val="32"/>
          <w:lang w:eastAsia="zh-CN"/>
        </w:rPr>
        <w:t>2021</w:t>
      </w:r>
      <w:r>
        <w:rPr>
          <w:rFonts w:hint="eastAsia" w:asciiTheme="majorEastAsia" w:hAnsiTheme="majorEastAsia" w:eastAsiaTheme="majorEastAsia" w:cstheme="majorEastAsia"/>
          <w:sz w:val="32"/>
          <w:szCs w:val="32"/>
        </w:rPr>
        <w:t>年度“法律七进”工作方案》</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，将学法作为常态工作来抓，每月组织开展不低于1次的领导干部集中学法活动，截止2021年度12月，信访局共组织开展会前学法12次以上。</w:t>
      </w:r>
    </w:p>
    <w:p w14:paraId="0353C5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right="0" w:firstLine="626" w:firstLineChars="200"/>
        <w:jc w:val="left"/>
        <w:textAlignment w:val="auto"/>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pPr>
      <w:r>
        <w:rPr>
          <w:rFonts w:hint="eastAsia" w:asciiTheme="majorEastAsia" w:hAnsiTheme="majorEastAsia" w:eastAsiaTheme="majorEastAsia" w:cstheme="majorEastAsia"/>
          <w:b/>
          <w:bCs/>
          <w:i w:val="0"/>
          <w:caps w:val="0"/>
          <w:color w:val="212529"/>
          <w:spacing w:val="0"/>
          <w:kern w:val="0"/>
          <w:sz w:val="32"/>
          <w:szCs w:val="32"/>
          <w:u w:val="none"/>
          <w:shd w:val="clear" w:fill="FFFFFF"/>
          <w:lang w:val="en-US" w:eastAsia="zh-CN" w:bidi="ar"/>
        </w:rPr>
        <w:t>3.明确责任。</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及时组织召开局依法治县工作领导小组会议，落实年度工作目标责任制，强化监督机制，各股室负责人对本股室推进依法治县工作负全责。形成了一级抓一级，逐级抓落实的层级工作体系。做到依法行政工作整体有人抓，具体工作有人做，事后监督有人管，保证依法治县各项工作落到实处。</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黑体" w:hAnsi="黑体" w:eastAsia="黑体" w:cs="黑体"/>
          <w:i w:val="0"/>
          <w:caps w:val="0"/>
          <w:color w:val="212529"/>
          <w:spacing w:val="0"/>
          <w:kern w:val="0"/>
          <w:sz w:val="32"/>
          <w:szCs w:val="32"/>
          <w:u w:val="none"/>
          <w:shd w:val="clear" w:fill="FFFFFF"/>
          <w:lang w:val="en-US" w:eastAsia="zh-CN" w:bidi="ar"/>
        </w:rPr>
        <w:t>　四、下一年度推进法治政府建设的主要安排</w:t>
      </w:r>
    </w:p>
    <w:p w14:paraId="09C9F1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right="0" w:firstLine="626" w:firstLineChars="200"/>
        <w:jc w:val="left"/>
        <w:textAlignment w:val="auto"/>
        <w:rPr>
          <w:rFonts w:hint="eastAsia" w:asciiTheme="majorEastAsia" w:hAnsiTheme="majorEastAsia" w:eastAsiaTheme="majorEastAsia" w:cstheme="majorEastAsia"/>
          <w:i w:val="0"/>
          <w:caps w:val="0"/>
          <w:color w:val="212529"/>
          <w:spacing w:val="0"/>
          <w:sz w:val="32"/>
          <w:szCs w:val="32"/>
          <w:u w:val="none"/>
        </w:rPr>
      </w:pPr>
      <w:r>
        <w:rPr>
          <w:rFonts w:hint="eastAsia" w:ascii="楷体" w:hAnsi="楷体" w:eastAsia="楷体" w:cs="楷体"/>
          <w:b/>
          <w:bCs/>
          <w:i w:val="0"/>
          <w:caps w:val="0"/>
          <w:color w:val="212529"/>
          <w:spacing w:val="0"/>
          <w:kern w:val="0"/>
          <w:sz w:val="32"/>
          <w:szCs w:val="32"/>
          <w:u w:val="none"/>
          <w:shd w:val="clear" w:fill="FFFFFF"/>
          <w:lang w:val="en-US" w:eastAsia="zh-CN" w:bidi="ar"/>
        </w:rPr>
        <w:t>（一）继续加强对民众的法治宣传和引导。</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创新宣传形式，精选宣传内容，既实现宣传对象覆盖面广也要实现宣传内容精准直达，引导信访人依法逐级走访，依法维权，逐步规范信访秩序。</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楷体" w:hAnsi="楷体" w:eastAsia="楷体" w:cs="楷体"/>
          <w:b/>
          <w:bCs/>
          <w:i w:val="0"/>
          <w:caps w:val="0"/>
          <w:color w:val="212529"/>
          <w:spacing w:val="0"/>
          <w:kern w:val="0"/>
          <w:sz w:val="32"/>
          <w:szCs w:val="32"/>
          <w:u w:val="none"/>
          <w:shd w:val="clear" w:fill="FFFFFF"/>
          <w:lang w:val="en-US" w:eastAsia="zh-CN" w:bidi="ar"/>
        </w:rPr>
        <w:t>（二）继续推进信访体制机制建设。</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进一步完善信访矛盾排查和化解机制，加强源头掌控，进一步规范业务流程，依法依规受理信访事项。</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楷体" w:hAnsi="楷体" w:eastAsia="楷体" w:cs="楷体"/>
          <w:b/>
          <w:bCs/>
          <w:i w:val="0"/>
          <w:caps w:val="0"/>
          <w:color w:val="212529"/>
          <w:spacing w:val="0"/>
          <w:kern w:val="0"/>
          <w:sz w:val="32"/>
          <w:szCs w:val="32"/>
          <w:u w:val="none"/>
          <w:shd w:val="clear" w:fill="FFFFFF"/>
          <w:lang w:val="en-US" w:eastAsia="zh-CN" w:bidi="ar"/>
        </w:rPr>
        <w:t>（三）继续紧抓我局依法治县人才队伍建设。</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加强对我局工作人员法律知识培训，提升依法行政工作效能。</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br w:type="textWrapping"/>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　　</w:t>
      </w:r>
      <w:r>
        <w:rPr>
          <w:rFonts w:hint="eastAsia" w:ascii="楷体" w:hAnsi="楷体" w:eastAsia="楷体" w:cs="楷体"/>
          <w:b/>
          <w:bCs/>
          <w:i w:val="0"/>
          <w:caps w:val="0"/>
          <w:color w:val="212529"/>
          <w:spacing w:val="0"/>
          <w:kern w:val="0"/>
          <w:sz w:val="32"/>
          <w:szCs w:val="32"/>
          <w:u w:val="none"/>
          <w:shd w:val="clear" w:fill="FFFFFF"/>
          <w:lang w:val="en-US" w:eastAsia="zh-CN" w:bidi="ar"/>
        </w:rPr>
        <w:t>（四）健全落实信访局干部职工法律知识培训。</w:t>
      </w:r>
      <w:r>
        <w:rPr>
          <w:rFonts w:hint="eastAsia" w:asciiTheme="majorEastAsia" w:hAnsiTheme="majorEastAsia" w:eastAsiaTheme="majorEastAsia" w:cstheme="majorEastAsia"/>
          <w:i w:val="0"/>
          <w:caps w:val="0"/>
          <w:color w:val="212529"/>
          <w:spacing w:val="0"/>
          <w:kern w:val="0"/>
          <w:sz w:val="32"/>
          <w:szCs w:val="32"/>
          <w:u w:val="none"/>
          <w:shd w:val="clear" w:fill="FFFFFF"/>
          <w:lang w:val="en-US" w:eastAsia="zh-CN" w:bidi="ar"/>
        </w:rPr>
        <w:t>提高法律素养；发挥法律法规制度在疑难纠纷调解等方面的作用，依法妥善处理各种矛盾和争议，维护群众合法权益。</w:t>
      </w:r>
    </w:p>
    <w:p w14:paraId="1CCF60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ajorEastAsia" w:hAnsiTheme="majorEastAsia" w:eastAsiaTheme="majorEastAsia" w:cstheme="majorEastAsia"/>
          <w:i w:val="0"/>
          <w:caps w:val="0"/>
          <w:color w:val="212529"/>
          <w:spacing w:val="0"/>
          <w:sz w:val="32"/>
          <w:szCs w:val="32"/>
          <w:u w:val="none"/>
          <w:lang w:val="en-US" w:eastAsia="zh-CN"/>
        </w:rPr>
      </w:pPr>
      <w:r>
        <w:rPr>
          <w:rFonts w:hint="eastAsia" w:asciiTheme="majorEastAsia" w:hAnsiTheme="majorEastAsia" w:eastAsiaTheme="majorEastAsia" w:cstheme="majorEastAsia"/>
          <w:i w:val="0"/>
          <w:caps w:val="0"/>
          <w:color w:val="212529"/>
          <w:spacing w:val="0"/>
          <w:sz w:val="32"/>
          <w:szCs w:val="32"/>
          <w:u w:val="none"/>
          <w:lang w:val="en-US" w:eastAsia="zh-CN"/>
        </w:rPr>
        <w:t xml:space="preserve">                               </w:t>
      </w:r>
    </w:p>
    <w:p w14:paraId="391FD6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Theme="majorEastAsia" w:hAnsiTheme="majorEastAsia" w:eastAsiaTheme="majorEastAsia" w:cstheme="majorEastAsia"/>
          <w:i w:val="0"/>
          <w:caps w:val="0"/>
          <w:color w:val="212529"/>
          <w:spacing w:val="0"/>
          <w:sz w:val="32"/>
          <w:szCs w:val="32"/>
          <w:u w:val="none"/>
          <w:lang w:val="en-US" w:eastAsia="zh-CN"/>
        </w:rPr>
      </w:pPr>
      <w:r>
        <w:rPr>
          <w:rFonts w:hint="eastAsia" w:asciiTheme="majorEastAsia" w:hAnsiTheme="majorEastAsia" w:eastAsiaTheme="majorEastAsia" w:cstheme="majorEastAsia"/>
          <w:i w:val="0"/>
          <w:caps w:val="0"/>
          <w:color w:val="212529"/>
          <w:spacing w:val="0"/>
          <w:sz w:val="32"/>
          <w:szCs w:val="32"/>
          <w:u w:val="none"/>
          <w:lang w:val="en-US" w:eastAsia="zh-CN"/>
        </w:rPr>
        <w:t xml:space="preserve">                             金川县信访局</w:t>
      </w:r>
    </w:p>
    <w:p w14:paraId="543319B1">
      <w:pPr>
        <w:keepNext w:val="0"/>
        <w:keepLines w:val="0"/>
        <w:pageBreakBefore w:val="0"/>
        <w:kinsoku/>
        <w:wordWrap/>
        <w:overflowPunct/>
        <w:topLinePunct w:val="0"/>
        <w:autoSpaceDE/>
        <w:autoSpaceDN/>
        <w:bidi w:val="0"/>
        <w:adjustRightInd/>
        <w:snapToGrid/>
        <w:spacing w:line="580" w:lineRule="exact"/>
        <w:ind w:firstLine="5634" w:firstLineChars="1800"/>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2022年2月19日</w:t>
      </w:r>
    </w:p>
    <w:sectPr>
      <w:pgSz w:w="11906" w:h="16838"/>
      <w:pgMar w:top="2120" w:right="1519" w:bottom="2007" w:left="1633" w:header="851" w:footer="992" w:gutter="0"/>
      <w:cols w:space="0" w:num="1"/>
      <w:rtlGutter w:val="0"/>
      <w:docGrid w:type="linesAndChars" w:linePitch="577" w:charSpace="-15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大标宋简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attachedTemplate r:id="rId1"/>
  <w:documentProtection w:enforcement="0"/>
  <w:defaultTabStop w:val="420"/>
  <w:evenAndOddHeaders w:val="1"/>
  <w:drawingGridHorizontalSpacing w:val="156"/>
  <w:drawingGridVerticalSpacing w:val="289"/>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E84B23"/>
    <w:rsid w:val="00CE4860"/>
    <w:rsid w:val="013A2B56"/>
    <w:rsid w:val="04D138AA"/>
    <w:rsid w:val="083C01D0"/>
    <w:rsid w:val="0D7D0092"/>
    <w:rsid w:val="0E60036F"/>
    <w:rsid w:val="0EC1231C"/>
    <w:rsid w:val="10022AD1"/>
    <w:rsid w:val="10E56D9F"/>
    <w:rsid w:val="130628D8"/>
    <w:rsid w:val="13872098"/>
    <w:rsid w:val="141B0B0B"/>
    <w:rsid w:val="163D4862"/>
    <w:rsid w:val="19276469"/>
    <w:rsid w:val="1CA42228"/>
    <w:rsid w:val="1E067C30"/>
    <w:rsid w:val="1E501739"/>
    <w:rsid w:val="1EC40A13"/>
    <w:rsid w:val="201D6F5C"/>
    <w:rsid w:val="23981664"/>
    <w:rsid w:val="281178FD"/>
    <w:rsid w:val="2AB13957"/>
    <w:rsid w:val="2B2068AA"/>
    <w:rsid w:val="2DE703E6"/>
    <w:rsid w:val="2EDB0108"/>
    <w:rsid w:val="307216E4"/>
    <w:rsid w:val="33C67400"/>
    <w:rsid w:val="367479D5"/>
    <w:rsid w:val="3A900B55"/>
    <w:rsid w:val="3E4B135B"/>
    <w:rsid w:val="3EFD545B"/>
    <w:rsid w:val="3F255D10"/>
    <w:rsid w:val="3FE84B23"/>
    <w:rsid w:val="41534F71"/>
    <w:rsid w:val="41E85B31"/>
    <w:rsid w:val="43184682"/>
    <w:rsid w:val="45716F3E"/>
    <w:rsid w:val="46EA6490"/>
    <w:rsid w:val="498E0956"/>
    <w:rsid w:val="4B456ABB"/>
    <w:rsid w:val="4BF64002"/>
    <w:rsid w:val="4C4D68A6"/>
    <w:rsid w:val="4DD6626E"/>
    <w:rsid w:val="4DE56561"/>
    <w:rsid w:val="4F4525A6"/>
    <w:rsid w:val="523E6819"/>
    <w:rsid w:val="59BB12F3"/>
    <w:rsid w:val="5F1E3846"/>
    <w:rsid w:val="606B215F"/>
    <w:rsid w:val="612806FF"/>
    <w:rsid w:val="63E60FE8"/>
    <w:rsid w:val="665B5D74"/>
    <w:rsid w:val="67635A50"/>
    <w:rsid w:val="68B910F3"/>
    <w:rsid w:val="693C3AD3"/>
    <w:rsid w:val="6C57481E"/>
    <w:rsid w:val="6D535020"/>
    <w:rsid w:val="6E851A78"/>
    <w:rsid w:val="73835E3E"/>
    <w:rsid w:val="749B26D7"/>
    <w:rsid w:val="773E2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449;&#35775;&#23616;\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5</Pages>
  <Words>2422</Words>
  <Characters>2476</Characters>
  <Lines>0</Lines>
  <Paragraphs>0</Paragraphs>
  <TotalTime>2</TotalTime>
  <ScaleCrop>false</ScaleCrop>
  <LinksUpToDate>false</LinksUpToDate>
  <CharactersWithSpaces>2584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2020-12-09T02:42:00Z</dcterms:created>
  <dc:creator>信访局</dc:creator>
  <cp:lastModifiedBy>盐星星</cp:lastModifiedBy>
  <cp:lastPrinted>2022-02-23T03:59:00Z</cp:lastPrinted>
  <dcterms:modified xsi:type="dcterms:W3CDTF">2026-04-20T03:40:45Z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0ED3186E1F7849B2ABC9B95E8B7A6ADD</vt:lpwstr>
  </property>
  <property fmtid="{D5CDD505-2E9C-101B-9397-08002B2CF9AE}" pid="4" name="KSOTemplateDocerSaveRecord">
    <vt:lpwstr>eyJoZGlkIjoiZDVjZjE1OTBmZTc4M2ZlNjdmNWM1MmQ5OThkMGU1NjEiLCJ1c2VySWQiOiIxMDYwOTQ0NDM1In0=</vt:lpwstr>
  </property>
</Properties>
</file>