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48" w:leftChars="-95" w:right="-92" w:rightChars="-44" w:hanging="4447" w:hangingChars="836"/>
        <w:jc w:val="center"/>
        <w:rPr>
          <w:rFonts w:ascii="方正小标宋简体" w:hAnsi="方正小标宋简体" w:eastAsia="方正小标宋简体" w:cs="方正小标宋简体"/>
          <w:color w:val="FF0000"/>
          <w:spacing w:val="-34"/>
          <w:w w:val="50"/>
          <w:sz w:val="120"/>
          <w:szCs w:val="120"/>
        </w:rPr>
      </w:pPr>
      <w:r>
        <w:rPr>
          <w:rFonts w:hint="eastAsia" w:ascii="方正小标宋简体" w:hAnsi="方正小标宋简体" w:eastAsia="方正小标宋简体" w:cs="方正小标宋简体"/>
          <w:color w:val="FF0000"/>
          <w:spacing w:val="-34"/>
          <w:w w:val="50"/>
          <w:sz w:val="120"/>
          <w:szCs w:val="120"/>
        </w:rPr>
        <w:t>金 川 县 残 疾 人 联 合 会 文 件</w:t>
      </w:r>
    </w:p>
    <w:p>
      <w:pPr>
        <w:pBdr>
          <w:bottom w:val="single" w:color="auto" w:sz="6" w:space="1"/>
        </w:pBdr>
        <w:jc w:val="center"/>
        <w:rPr>
          <w:rFonts w:hint="eastAsia" w:ascii="仿宋_GB2312" w:hAnsi="楷体" w:eastAsia="仿宋_GB2312"/>
          <w:b/>
          <w:bCs/>
          <w:sz w:val="32"/>
          <w:szCs w:val="32"/>
        </w:rPr>
      </w:pPr>
      <w:r>
        <w:rPr>
          <w:rFonts w:hint="eastAsia" w:ascii="仿宋_GB2312" w:hAnsi="宋体" w:eastAsia="仿宋_GB2312"/>
          <w:b/>
          <w:sz w:val="32"/>
          <w:szCs w:val="32"/>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406400</wp:posOffset>
                </wp:positionV>
                <wp:extent cx="5276850" cy="635"/>
                <wp:effectExtent l="0" t="0" r="0" b="0"/>
                <wp:wrapNone/>
                <wp:docPr id="4" name="直接箭头连接符 4"/>
                <wp:cNvGraphicFramePr/>
                <a:graphic xmlns:a="http://schemas.openxmlformats.org/drawingml/2006/main">
                  <a:graphicData uri="http://schemas.microsoft.com/office/word/2010/wordprocessingShape">
                    <wps:wsp>
                      <wps:cNvCnPr/>
                      <wps:spPr>
                        <a:xfrm>
                          <a:off x="0" y="0"/>
                          <a:ext cx="5276850" cy="635"/>
                        </a:xfrm>
                        <a:prstGeom prst="straightConnector1">
                          <a:avLst/>
                        </a:prstGeom>
                        <a:ln w="19050" cap="flat" cmpd="sng">
                          <a:solidFill>
                            <a:srgbClr val="FF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0.05pt;margin-top:32pt;height:0.05pt;width:415.5pt;z-index:251659264;mso-width-relative:page;mso-height-relative:page;" filled="f" stroked="t" coordsize="21600,21600" o:gfxdata="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KV8//9YAAAAHAQAADwAAAAAAAAABACAAAAAiAAAAZHJz&#10;L2Rvd25yZXYueG1sUEsBAhQAFAAAAAgAh07iQC4hovMGAgAA/QMAAA4AAAAAAAAAAQAgAAAAJQEA&#10;AGRycy9lMm9Eb2MueG1sUEsFBgAAAAAGAAYAWQEAAJ0FAAAAAA==&#10;">
                <v:fill on="f" focussize="0,0"/>
                <v:stroke weight="1.5pt" color="#FF0000" joinstyle="round"/>
                <v:imagedata o:title=""/>
                <o:lock v:ext="edit" aspectratio="f"/>
              </v:shape>
            </w:pict>
          </mc:Fallback>
        </mc:AlternateContent>
      </w:r>
    </w:p>
    <w:p>
      <w:pPr>
        <w:spacing w:after="0" w:line="560" w:lineRule="exact"/>
        <w:jc w:val="center"/>
        <w:rPr>
          <w:rFonts w:hint="eastAsia" w:ascii="仿宋_GB2312" w:eastAsia="仿宋_GB2312"/>
          <w:sz w:val="32"/>
          <w:szCs w:val="32"/>
        </w:rPr>
      </w:pPr>
    </w:p>
    <w:p>
      <w:pPr>
        <w:ind w:firstLine="2520" w:firstLineChars="700"/>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金川县残疾人联合会</w:t>
      </w:r>
    </w:p>
    <w:p>
      <w:pPr>
        <w:ind w:firstLine="720" w:firstLineChars="200"/>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eastAsia="zh-CN"/>
        </w:rPr>
        <w:t>关于</w:t>
      </w:r>
      <w:r>
        <w:rPr>
          <w:rFonts w:hint="eastAsia" w:ascii="方正小标宋简体" w:hAnsi="方正小标宋简体" w:eastAsia="方正小标宋简体" w:cs="方正小标宋简体"/>
          <w:sz w:val="36"/>
          <w:szCs w:val="36"/>
          <w:lang w:val="en-US" w:eastAsia="zh-CN"/>
        </w:rPr>
        <w:t>2021年度法治政府建设工作情况的报告</w:t>
      </w:r>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今年以来，在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政府的正确领导下，</w:t>
      </w:r>
      <w:r>
        <w:rPr>
          <w:rFonts w:hint="eastAsia" w:ascii="仿宋_GB2312" w:hAnsi="仿宋_GB2312" w:eastAsia="仿宋_GB2312" w:cs="仿宋_GB2312"/>
          <w:sz w:val="32"/>
          <w:szCs w:val="32"/>
          <w:lang w:eastAsia="zh-CN"/>
        </w:rPr>
        <w:t>金川县残联</w:t>
      </w:r>
      <w:r>
        <w:rPr>
          <w:rFonts w:hint="eastAsia" w:ascii="仿宋_GB2312" w:hAnsi="仿宋_GB2312" w:eastAsia="仿宋_GB2312" w:cs="仿宋_GB2312"/>
          <w:sz w:val="32"/>
          <w:szCs w:val="32"/>
        </w:rPr>
        <w:t>深入开展和推进法治政府建设工作，坚持深入贯彻国务院《全面推进依法行政实施纲要》，依法履行法定职责，规范行政行为，进一步加强法治政府、服务型政府建设，全面完成了202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年度法治政府建设各项工作任务，现将工作总结汇报如下：</w:t>
      </w:r>
    </w:p>
    <w:p>
      <w:pPr>
        <w:ind w:firstLine="321" w:firstLineChars="1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一、推进法治政府建设的主要举措和成效</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1.依法履行政府职能。全面推进法治政府建设工作。</w:t>
      </w:r>
      <w:r>
        <w:rPr>
          <w:rFonts w:hint="eastAsia" w:ascii="仿宋_GB2312" w:hAnsi="仿宋_GB2312" w:eastAsia="仿宋_GB2312" w:cs="仿宋_GB2312"/>
          <w:sz w:val="32"/>
          <w:szCs w:val="32"/>
          <w:lang w:eastAsia="zh-CN"/>
        </w:rPr>
        <w:t>我会</w:t>
      </w:r>
      <w:r>
        <w:rPr>
          <w:rFonts w:hint="eastAsia" w:ascii="仿宋_GB2312" w:hAnsi="仿宋_GB2312" w:eastAsia="仿宋_GB2312" w:cs="仿宋_GB2312"/>
          <w:sz w:val="32"/>
          <w:szCs w:val="32"/>
        </w:rPr>
        <w:t>对法治政府建设工作高度重视，召开领导班子会议专题研究部署工作，成立了由主要领导牵头、相关职能部门为成员的工作领导小组，按照党中央实施依法治国方略要求，认真贯彻关于依法治理工作的文件精神，加大社会综合治理和法治宣传教育力度，全面推进我</w:t>
      </w:r>
      <w:r>
        <w:rPr>
          <w:rFonts w:hint="eastAsia" w:ascii="仿宋_GB2312" w:hAnsi="仿宋_GB2312" w:eastAsia="仿宋_GB2312" w:cs="仿宋_GB2312"/>
          <w:sz w:val="32"/>
          <w:szCs w:val="32"/>
          <w:lang w:eastAsia="zh-CN"/>
        </w:rPr>
        <w:t>会</w:t>
      </w:r>
      <w:r>
        <w:rPr>
          <w:rFonts w:hint="eastAsia" w:ascii="仿宋_GB2312" w:hAnsi="仿宋_GB2312" w:eastAsia="仿宋_GB2312" w:cs="仿宋_GB2312"/>
          <w:sz w:val="32"/>
          <w:szCs w:val="32"/>
        </w:rPr>
        <w:t>依法治理工作。在</w:t>
      </w:r>
      <w:r>
        <w:rPr>
          <w:rFonts w:hint="eastAsia" w:ascii="仿宋_GB2312" w:hAnsi="仿宋_GB2312" w:eastAsia="仿宋_GB2312" w:cs="仿宋_GB2312"/>
          <w:sz w:val="32"/>
          <w:szCs w:val="32"/>
          <w:lang w:eastAsia="zh-CN"/>
        </w:rPr>
        <w:t>主要领导</w:t>
      </w:r>
      <w:r>
        <w:rPr>
          <w:rFonts w:hint="eastAsia" w:ascii="仿宋_GB2312" w:hAnsi="仿宋_GB2312" w:eastAsia="仿宋_GB2312" w:cs="仿宋_GB2312"/>
          <w:sz w:val="32"/>
          <w:szCs w:val="32"/>
        </w:rPr>
        <w:t>统筹下，强化队伍纪律，提升服务效能，加强社会治安综合管理，扎实推进依法治理工作。优化公共服务。特定事项实行特事特办、急事急办的原则，进一步缩短办结时间。认真执行一次性书面告知制度、首问责任制，持续优化政务服务，坚持以人民为中心的发展思想，积极推进“让数据多跑路，让群众少跑腿”的服务模式，优化提升服务水平。</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2.完善依法行政制度体系。严格规范性文件制定程序。按照有关法律法规规章的规定，严格履行规范性文件、政策性文件，切实做到有件必备、有备必审、有错必纠、审备及时。对以</w:t>
      </w:r>
      <w:r>
        <w:rPr>
          <w:rFonts w:hint="eastAsia" w:ascii="仿宋_GB2312" w:hAnsi="仿宋_GB2312" w:eastAsia="仿宋_GB2312" w:cs="仿宋_GB2312"/>
          <w:sz w:val="32"/>
          <w:szCs w:val="32"/>
          <w:lang w:eastAsia="zh-CN"/>
        </w:rPr>
        <w:t>残联</w:t>
      </w:r>
      <w:r>
        <w:rPr>
          <w:rFonts w:hint="eastAsia" w:ascii="仿宋_GB2312" w:hAnsi="仿宋_GB2312" w:eastAsia="仿宋_GB2312" w:cs="仿宋_GB2312"/>
          <w:sz w:val="32"/>
          <w:szCs w:val="32"/>
        </w:rPr>
        <w:t>名义出台的规范性文件，重点审查其有没有权限、有没有按照法定程序规定制定。对于不符合程序制定或起草的文件，要求重新按程序运作，以程序的正当性促进内容合法性、科学性。</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3.推进行政决策科学化、民主化、法治化。建立和完善重大事项决策合法性审查制度，确保决策合法性，要求全</w:t>
      </w:r>
      <w:r>
        <w:rPr>
          <w:rFonts w:hint="eastAsia" w:ascii="仿宋_GB2312" w:hAnsi="仿宋_GB2312" w:eastAsia="仿宋_GB2312" w:cs="仿宋_GB2312"/>
          <w:sz w:val="32"/>
          <w:szCs w:val="32"/>
          <w:lang w:eastAsia="zh-CN"/>
        </w:rPr>
        <w:t>会</w:t>
      </w:r>
      <w:r>
        <w:rPr>
          <w:rFonts w:hint="eastAsia" w:ascii="仿宋_GB2312" w:hAnsi="仿宋_GB2312" w:eastAsia="仿宋_GB2312" w:cs="仿宋_GB2312"/>
          <w:sz w:val="32"/>
          <w:szCs w:val="32"/>
        </w:rPr>
        <w:t>领导干部必须按照制度要求办事。202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年无因行政决策不当或程序不完善引发重大群体性事件。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强化对行政权力的制约和监督。加强党风廉政教育，构建防腐机制。党政班子和领导干部依法办事，没有出现渎职、贪污、受贿等刑事案件，群众总体满意度较高。以构建惩防体系为载体，建立健全教育、制度、监督并重的惩治和预防腐败新机制。不断深化党风廉政建设和反腐败工作，不断提升党员、干部依法行政、依法执政的理念、水平得到进一步提升，积极开展党风廉政教育，多次组织专题教育学习，提高干部廉政意识，并且始终把群众对工作满意度作为评价工作成效的重要指标。</w:t>
      </w:r>
    </w:p>
    <w:p>
      <w:pPr>
        <w:ind w:firstLine="321" w:firstLineChars="1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二、推进法治政府建设中存在的问题不足</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1.规范执法力度不够。行政执法人员的执法水平有待提高，执法装备配备不到位，从而导致执法力量薄弱，尤其是缺乏高素质的法治工作专业人才，一定程度上不能很好的满足实际工作需要。</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2.理论学习不够积极主动，重</w:t>
      </w:r>
      <w:r>
        <w:rPr>
          <w:rFonts w:hint="eastAsia" w:ascii="仿宋_GB2312" w:hAnsi="仿宋_GB2312" w:eastAsia="仿宋_GB2312" w:cs="仿宋_GB2312"/>
          <w:sz w:val="32"/>
          <w:szCs w:val="32"/>
          <w:lang w:val="en-US" w:eastAsia="zh-CN"/>
        </w:rPr>
        <w:t>实践</w:t>
      </w:r>
      <w:r>
        <w:rPr>
          <w:rFonts w:hint="eastAsia" w:ascii="仿宋_GB2312" w:hAnsi="仿宋_GB2312" w:eastAsia="仿宋_GB2312" w:cs="仿宋_GB2312"/>
          <w:sz w:val="32"/>
          <w:szCs w:val="32"/>
        </w:rPr>
        <w:t>、轻</w:t>
      </w:r>
      <w:r>
        <w:rPr>
          <w:rFonts w:hint="eastAsia" w:ascii="仿宋_GB2312" w:hAnsi="仿宋_GB2312" w:eastAsia="仿宋_GB2312" w:cs="仿宋_GB2312"/>
          <w:sz w:val="32"/>
          <w:szCs w:val="32"/>
          <w:lang w:val="en-US" w:eastAsia="zh-CN"/>
        </w:rPr>
        <w:t>理论</w:t>
      </w:r>
      <w:r>
        <w:rPr>
          <w:rFonts w:hint="eastAsia" w:ascii="仿宋_GB2312" w:hAnsi="仿宋_GB2312" w:eastAsia="仿宋_GB2312" w:cs="仿宋_GB2312"/>
          <w:sz w:val="32"/>
          <w:szCs w:val="32"/>
        </w:rPr>
        <w:t>学习的思想依然存在。对相关法律法规学习不深，对行政执法程序学习不透，理论联系实际的深度和广度也不够，分析问题和解决问题的能力有待提高。</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3.法</w:t>
      </w:r>
      <w:r>
        <w:rPr>
          <w:rFonts w:hint="eastAsia" w:ascii="仿宋_GB2312" w:hAnsi="仿宋_GB2312" w:eastAsia="仿宋_GB2312" w:cs="仿宋_GB2312"/>
          <w:sz w:val="32"/>
          <w:szCs w:val="32"/>
          <w:lang w:val="en-US" w:eastAsia="zh-CN"/>
        </w:rPr>
        <w:t>治</w:t>
      </w:r>
      <w:r>
        <w:rPr>
          <w:rFonts w:hint="eastAsia" w:ascii="仿宋_GB2312" w:hAnsi="仿宋_GB2312" w:eastAsia="仿宋_GB2312" w:cs="仿宋_GB2312"/>
          <w:sz w:val="32"/>
          <w:szCs w:val="32"/>
        </w:rPr>
        <w:t>宣传工作不够深入。基于农村外出人口众多，对于法治政府建设的宣传工作仍然停留在面向老人及青少年，涉及面不够广泛。且存在部分干部对于依法行政的意识不强，没有把依法办事落实到工作中去。</w:t>
      </w:r>
    </w:p>
    <w:p>
      <w:pPr>
        <w:ind w:left="319" w:leftChars="152" w:firstLine="321" w:firstLineChars="1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三、单位主要负责人履行法治建设第一责任人职责有关情况</w:t>
      </w:r>
    </w:p>
    <w:p>
      <w:pPr>
        <w:ind w:left="319" w:leftChars="152"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党政主要负责人积极履行推进法治建设第一责任人职责，落实主体责任，细化工作任务，做到了组织健全，及时提交党政主要负责人履行推进法治建设第一责任人工作述职报告。</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四、202</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年度法治政府建设工作思路</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1.近年来，我</w:t>
      </w:r>
      <w:r>
        <w:rPr>
          <w:rFonts w:hint="eastAsia" w:ascii="仿宋_GB2312" w:hAnsi="仿宋_GB2312" w:eastAsia="仿宋_GB2312" w:cs="仿宋_GB2312"/>
          <w:sz w:val="32"/>
          <w:szCs w:val="32"/>
          <w:lang w:eastAsia="zh-CN"/>
        </w:rPr>
        <w:t>会</w:t>
      </w:r>
      <w:r>
        <w:rPr>
          <w:rFonts w:hint="eastAsia" w:ascii="仿宋_GB2312" w:hAnsi="仿宋_GB2312" w:eastAsia="仿宋_GB2312" w:cs="仿宋_GB2312"/>
          <w:sz w:val="32"/>
          <w:szCs w:val="32"/>
        </w:rPr>
        <w:t>采取多种方式进行执法业务培训，执法人员综合素质有了明显提升，但是执法队伍的自身建设和依法行政水平上还存在着差距和不足，下一步我们要严格落实“三项制度”，制定一系列的制度规章，以各种形式向社会公示，接受群众的监督，认真执行违法责任追究制度，对有过错的执法人员要严格追究责任，进一步深入工作人员的法律法规的学习和执法队伍的培训，内强素质，外树形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继续抓好学习，在加大法律宣传和培训上下工夫。进一步增加班子的凝聚力和战斗力，为法治政府建设提供坚强组织保障，定期组织领导干部开展法律知识讲座、专业知识培训等，不断提高依法行政能力，切实加强法律培训，努力提高执法工作人员法律素质和依法办事能力，努力建设一支政治素质高、业务能力强的行政执法队伍。</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3.加强法</w:t>
      </w:r>
      <w:r>
        <w:rPr>
          <w:rFonts w:hint="eastAsia" w:ascii="仿宋_GB2312" w:hAnsi="仿宋_GB2312" w:eastAsia="仿宋_GB2312" w:cs="仿宋_GB2312"/>
          <w:sz w:val="32"/>
          <w:szCs w:val="32"/>
          <w:lang w:val="en-US" w:eastAsia="zh-CN"/>
        </w:rPr>
        <w:t>治</w:t>
      </w:r>
      <w:r>
        <w:rPr>
          <w:rFonts w:hint="eastAsia" w:ascii="仿宋_GB2312" w:hAnsi="仿宋_GB2312" w:eastAsia="仿宋_GB2312" w:cs="仿宋_GB2312"/>
          <w:sz w:val="32"/>
          <w:szCs w:val="32"/>
        </w:rPr>
        <w:t>宣传工作，加大对法</w:t>
      </w:r>
      <w:r>
        <w:rPr>
          <w:rFonts w:hint="eastAsia" w:ascii="仿宋_GB2312" w:hAnsi="仿宋_GB2312" w:eastAsia="仿宋_GB2312" w:cs="仿宋_GB2312"/>
          <w:sz w:val="32"/>
          <w:szCs w:val="32"/>
          <w:lang w:val="en-US" w:eastAsia="zh-CN"/>
        </w:rPr>
        <w:t>治</w:t>
      </w:r>
      <w:r>
        <w:rPr>
          <w:rFonts w:hint="eastAsia" w:ascii="仿宋_GB2312" w:hAnsi="仿宋_GB2312" w:eastAsia="仿宋_GB2312" w:cs="仿宋_GB2312"/>
          <w:sz w:val="32"/>
          <w:szCs w:val="32"/>
        </w:rPr>
        <w:t>宣传经费投入，积极改善法</w:t>
      </w:r>
      <w:r>
        <w:rPr>
          <w:rFonts w:hint="eastAsia" w:ascii="仿宋_GB2312" w:hAnsi="仿宋_GB2312" w:eastAsia="仿宋_GB2312" w:cs="仿宋_GB2312"/>
          <w:sz w:val="32"/>
          <w:szCs w:val="32"/>
          <w:lang w:val="en-US" w:eastAsia="zh-CN"/>
        </w:rPr>
        <w:t>治</w:t>
      </w:r>
      <w:r>
        <w:rPr>
          <w:rFonts w:hint="eastAsia" w:ascii="仿宋_GB2312" w:hAnsi="仿宋_GB2312" w:eastAsia="仿宋_GB2312" w:cs="仿宋_GB2312"/>
          <w:sz w:val="32"/>
          <w:szCs w:val="32"/>
        </w:rPr>
        <w:t>宣传必备的通讯、交通工具，在重要节日期间，利用灵活多样的宣传形式，</w:t>
      </w:r>
      <w:bookmarkStart w:id="0" w:name="_GoBack"/>
      <w:bookmarkEnd w:id="0"/>
      <w:r>
        <w:rPr>
          <w:rFonts w:hint="eastAsia" w:ascii="仿宋_GB2312" w:hAnsi="仿宋_GB2312" w:eastAsia="仿宋_GB2312" w:cs="仿宋_GB2312"/>
          <w:sz w:val="32"/>
          <w:szCs w:val="32"/>
        </w:rPr>
        <w:t>深入浅出地让群众知法、学法，增强他们利用法律武器保护自己合法权益的意识，从侧面推进法治政府建设。</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ind w:firstLine="5120" w:firstLineChars="16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金川县残疾人联合会</w:t>
      </w:r>
    </w:p>
    <w:p>
      <w:pPr>
        <w:ind w:firstLine="5440" w:firstLineChars="17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2022年2月18日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9C7DBC"/>
    <w:rsid w:val="001D5FB4"/>
    <w:rsid w:val="02BD75DA"/>
    <w:rsid w:val="05377B18"/>
    <w:rsid w:val="08C96CD9"/>
    <w:rsid w:val="0A961435"/>
    <w:rsid w:val="0BC47C2C"/>
    <w:rsid w:val="11A46535"/>
    <w:rsid w:val="17B60D70"/>
    <w:rsid w:val="1A424B3D"/>
    <w:rsid w:val="1E012619"/>
    <w:rsid w:val="22111DAC"/>
    <w:rsid w:val="232B2BBC"/>
    <w:rsid w:val="2D9C7DBC"/>
    <w:rsid w:val="3FA72BC9"/>
    <w:rsid w:val="3FFC2089"/>
    <w:rsid w:val="44727C49"/>
    <w:rsid w:val="5119144D"/>
    <w:rsid w:val="616952FD"/>
    <w:rsid w:val="63A72A6D"/>
    <w:rsid w:val="668E4E62"/>
    <w:rsid w:val="67C552A4"/>
    <w:rsid w:val="761B163F"/>
    <w:rsid w:val="7B290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2022-02-22T02:00:00Z</dcterms:created>
  <dc:creator>孙微 15928643219</dc:creator>
  <cp:lastModifiedBy>Administrator</cp:lastModifiedBy>
  <dcterms:modified xsi:type="dcterms:W3CDTF">2022-03-09T03:09:59Z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35C62402224649CD86C47409E82A2408</vt:lpwstr>
  </property>
</Properties>
</file>