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93"/>
        <w:rPr>
          <w:rFonts w:ascii="Times New Roman" w:eastAsia="方正小标宋简体"/>
          <w:kern w:val="2"/>
          <w:sz w:val="72"/>
          <w:szCs w:val="72"/>
        </w:rPr>
      </w:pPr>
      <w:bookmarkStart w:id="0" w:name="_Toc15378441"/>
      <w:bookmarkStart w:id="1" w:name="_Toc15396475"/>
      <w:bookmarkStart w:id="2" w:name="_Toc15377193"/>
      <w:bookmarkStart w:id="3" w:name="_Toc15396597"/>
      <w:bookmarkStart w:id="4" w:name="_Toc15377425"/>
      <w:bookmarkStart w:id="5" w:name="_Toc15306267"/>
    </w:p>
    <w:p>
      <w:pPr>
        <w:pStyle w:val="5"/>
        <w:spacing w:before="93"/>
        <w:rPr>
          <w:rFonts w:ascii="Times New Roman" w:eastAsia="方正小标宋简体"/>
          <w:kern w:val="2"/>
          <w:sz w:val="72"/>
          <w:szCs w:val="72"/>
        </w:rPr>
      </w:pPr>
    </w:p>
    <w:p>
      <w:pPr>
        <w:pStyle w:val="5"/>
        <w:spacing w:before="93"/>
        <w:rPr>
          <w:rFonts w:ascii="Times New Roman" w:eastAsia="方正小标宋简体"/>
          <w:kern w:val="2"/>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6" w:name="_Toc31923"/>
      <w:bookmarkStart w:id="7" w:name="_Toc3749"/>
      <w:bookmarkStart w:id="8" w:name="_Toc5808"/>
      <w:bookmarkStart w:id="9" w:name="_Toc12095"/>
      <w:bookmarkStart w:id="10" w:name="_Toc9383"/>
      <w:r>
        <w:rPr>
          <w:rFonts w:ascii="黑体" w:eastAsia="黑体"/>
          <w:color w:val="000000"/>
          <w:sz w:val="72"/>
          <w:szCs w:val="72"/>
        </w:rPr>
        <w:t>202</w:t>
      </w:r>
      <w:r>
        <w:rPr>
          <w:rFonts w:hint="eastAsia" w:ascii="黑体" w:eastAsia="黑体"/>
          <w:color w:val="000000"/>
          <w:sz w:val="72"/>
          <w:szCs w:val="72"/>
        </w:rPr>
        <w:t>4</w:t>
      </w:r>
      <w:r>
        <w:rPr>
          <w:rFonts w:hint="eastAsia" w:ascii="方正小标宋简体" w:eastAsia="方正小标宋简体"/>
          <w:color w:val="000000"/>
          <w:sz w:val="72"/>
          <w:szCs w:val="72"/>
        </w:rPr>
        <w:t>年度</w:t>
      </w:r>
      <w:bookmarkEnd w:id="6"/>
      <w:bookmarkEnd w:id="7"/>
      <w:bookmarkEnd w:id="8"/>
      <w:bookmarkEnd w:id="9"/>
      <w:bookmarkEnd w:id="10"/>
    </w:p>
    <w:p>
      <w:pPr>
        <w:adjustRightInd w:val="0"/>
        <w:snapToGrid w:val="0"/>
        <w:spacing w:line="360" w:lineRule="auto"/>
        <w:jc w:val="center"/>
        <w:outlineLvl w:val="0"/>
        <w:rPr>
          <w:rFonts w:ascii="方正小标宋简体" w:eastAsia="方正小标宋简体"/>
          <w:color w:val="000000"/>
          <w:sz w:val="72"/>
          <w:szCs w:val="72"/>
        </w:rPr>
      </w:pPr>
      <w:bookmarkStart w:id="11" w:name="_Toc25993"/>
      <w:bookmarkStart w:id="12" w:name="_Toc10367"/>
      <w:bookmarkStart w:id="13" w:name="_Toc11376"/>
      <w:bookmarkStart w:id="14" w:name="_Toc8046"/>
      <w:bookmarkStart w:id="15" w:name="_Toc31507"/>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eastAsia="zh-CN"/>
        </w:rPr>
        <w:t>世外梨园景区服务中心</w:t>
      </w:r>
      <w:r>
        <w:rPr>
          <w:rFonts w:hint="eastAsia" w:ascii="方正小标宋简体" w:eastAsia="方正小标宋简体"/>
          <w:color w:val="000000"/>
          <w:sz w:val="72"/>
          <w:szCs w:val="72"/>
        </w:rPr>
        <w:t>本级决算</w:t>
      </w:r>
      <w:bookmarkEnd w:id="11"/>
      <w:bookmarkEnd w:id="12"/>
      <w:bookmarkEnd w:id="13"/>
      <w:bookmarkEnd w:id="14"/>
      <w:bookmarkEnd w:id="15"/>
      <w:r>
        <w:rPr>
          <w:rFonts w:hint="eastAsia" w:ascii="方正小标宋简体" w:eastAsia="方正小标宋简体"/>
          <w:color w:val="000000"/>
          <w:sz w:val="72"/>
          <w:szCs w:val="72"/>
        </w:rPr>
        <w:t>公开</w:t>
      </w:r>
    </w:p>
    <w:p>
      <w:pPr>
        <w:pStyle w:val="22"/>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
      <w:pPr>
        <w:pStyle w:val="5"/>
        <w:spacing w:before="93"/>
        <w:jc w:val="center"/>
        <w:rPr>
          <w:rFonts w:ascii="Times New Roman" w:eastAsia="方正小标宋简体"/>
          <w:kern w:val="2"/>
          <w:sz w:val="44"/>
          <w:szCs w:val="44"/>
        </w:rPr>
      </w:pPr>
    </w:p>
    <w:p>
      <w:pPr>
        <w:pStyle w:val="5"/>
        <w:spacing w:before="93"/>
        <w:jc w:val="center"/>
        <w:rPr>
          <w:rFonts w:ascii="Times New Roman" w:eastAsia="方正小标宋简体"/>
          <w:kern w:val="2"/>
          <w:sz w:val="44"/>
          <w:szCs w:val="44"/>
        </w:rPr>
      </w:pPr>
    </w:p>
    <w:p>
      <w:pPr>
        <w:pStyle w:val="5"/>
        <w:spacing w:before="93"/>
        <w:jc w:val="center"/>
        <w:rPr>
          <w:rFonts w:ascii="Times New Roman" w:eastAsia="方正小标宋简体"/>
          <w:kern w:val="2"/>
          <w:sz w:val="44"/>
          <w:szCs w:val="44"/>
        </w:rPr>
      </w:pPr>
    </w:p>
    <w:p>
      <w:pPr>
        <w:pStyle w:val="5"/>
        <w:spacing w:before="93"/>
        <w:jc w:val="center"/>
        <w:rPr>
          <w:rFonts w:ascii="Times New Roman" w:eastAsia="方正小标宋简体"/>
          <w:kern w:val="2"/>
          <w:sz w:val="44"/>
          <w:szCs w:val="44"/>
        </w:rPr>
      </w:pPr>
    </w:p>
    <w:bookmarkEnd w:id="0"/>
    <w:bookmarkEnd w:id="1"/>
    <w:bookmarkEnd w:id="2"/>
    <w:bookmarkEnd w:id="3"/>
    <w:bookmarkEnd w:id="4"/>
    <w:p>
      <w:pPr>
        <w:pStyle w:val="5"/>
        <w:spacing w:before="93"/>
        <w:jc w:val="center"/>
        <w:rPr>
          <w:rFonts w:ascii="Times New Roman" w:eastAsia="方正小标宋简体"/>
          <w:kern w:val="2"/>
          <w:sz w:val="44"/>
          <w:szCs w:val="44"/>
        </w:rPr>
      </w:pPr>
      <w:bookmarkStart w:id="16" w:name="_Toc15377426"/>
      <w:bookmarkStart w:id="17" w:name="_Toc15377194"/>
      <w:bookmarkStart w:id="18" w:name="_Toc15396598"/>
      <w:bookmarkStart w:id="19" w:name="_Toc15378442"/>
      <w:bookmarkStart w:id="20" w:name="_Toc15396476"/>
      <w:r>
        <w:rPr>
          <w:rFonts w:hint="eastAsia" w:ascii="Times New Roman" w:eastAsia="方正小标宋简体"/>
          <w:kern w:val="2"/>
          <w:sz w:val="44"/>
          <w:szCs w:val="44"/>
        </w:rPr>
        <w:t>2024年度四川</w:t>
      </w:r>
      <w:bookmarkEnd w:id="5"/>
      <w:bookmarkStart w:id="21" w:name="_Toc15306268"/>
      <w:r>
        <w:rPr>
          <w:rFonts w:hint="eastAsia" w:ascii="Times New Roman" w:eastAsia="方正小标宋简体"/>
          <w:kern w:val="2"/>
          <w:sz w:val="44"/>
          <w:szCs w:val="44"/>
        </w:rPr>
        <w:t>省金川县</w:t>
      </w:r>
      <w:r>
        <w:rPr>
          <w:rFonts w:hint="eastAsia" w:ascii="Times New Roman" w:eastAsia="方正小标宋简体"/>
          <w:kern w:val="2"/>
          <w:sz w:val="44"/>
          <w:szCs w:val="44"/>
          <w:lang w:eastAsia="zh-CN"/>
        </w:rPr>
        <w:t>世外梨园景区服务中心</w:t>
      </w:r>
      <w:r>
        <w:rPr>
          <w:rFonts w:hint="eastAsia" w:ascii="Times New Roman" w:eastAsia="方正小标宋简体"/>
          <w:kern w:val="2"/>
          <w:sz w:val="44"/>
          <w:szCs w:val="44"/>
        </w:rPr>
        <w:t>本级部门决算</w:t>
      </w:r>
      <w:bookmarkEnd w:id="16"/>
      <w:bookmarkEnd w:id="17"/>
      <w:bookmarkEnd w:id="18"/>
      <w:bookmarkEnd w:id="19"/>
      <w:bookmarkEnd w:id="20"/>
      <w:bookmarkEnd w:id="21"/>
    </w:p>
    <w:p>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 xml:space="preserve">年 8 月 </w:t>
      </w:r>
      <w:r>
        <w:rPr>
          <w:rFonts w:hint="eastAsia" w:ascii="Times New Roman" w:hAnsi="Times New Roman" w:eastAsia="仿宋_GB2312" w:cs="仿宋_GB2312"/>
          <w:sz w:val="32"/>
          <w:szCs w:val="32"/>
          <w:lang w:val="en-US" w:eastAsia="zh-CN"/>
        </w:rPr>
        <w:t>25</w:t>
      </w:r>
      <w:r>
        <w:rPr>
          <w:rFonts w:hint="eastAsia" w:ascii="Times New Roman" w:hAnsi="Times New Roman" w:eastAsia="仿宋_GB2312" w:cs="仿宋_GB2312"/>
          <w:sz w:val="32"/>
          <w:szCs w:val="32"/>
        </w:rPr>
        <w:t xml:space="preserve"> 日</w:t>
      </w:r>
    </w:p>
    <w:p/>
    <w:p>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lang w:val="en-US" w:eastAsia="zh-CN"/>
        </w:rPr>
        <w:t>-------------------------------------------第4页</w:t>
      </w:r>
    </w:p>
    <w:p>
      <w:pPr>
        <w:pStyle w:val="15"/>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一、部门职责</w:t>
      </w:r>
      <w:r>
        <w:rPr>
          <w:rFonts w:hint="eastAsia" w:eastAsia="仿宋_GB2312" w:cs="仿宋_GB2312"/>
          <w:sz w:val="32"/>
          <w:szCs w:val="32"/>
          <w:lang w:val="en-US" w:eastAsia="zh-CN"/>
        </w:rPr>
        <w:t>----------------------------------------------第4页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二、机构设置</w:t>
      </w:r>
      <w:r>
        <w:rPr>
          <w:rFonts w:hint="eastAsia" w:eastAsia="仿宋_GB2312" w:cs="仿宋_GB2312"/>
          <w:sz w:val="32"/>
          <w:szCs w:val="32"/>
          <w:lang w:val="en-US" w:eastAsia="zh-CN"/>
        </w:rPr>
        <w:t>----------------------------------------------第6页</w:t>
      </w:r>
    </w:p>
    <w:p>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2024年度部门决算情况说明</w:t>
      </w:r>
      <w:r>
        <w:rPr>
          <w:rFonts w:hint="eastAsia" w:ascii="Times New Roman" w:hAnsi="Times New Roman" w:eastAsia="黑体" w:cs="黑体"/>
          <w:sz w:val="32"/>
          <w:szCs w:val="32"/>
          <w:lang w:val="en-US" w:eastAsia="zh-CN"/>
        </w:rPr>
        <w:t>-------------------第7页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一、收入支出决算总体情况说明</w:t>
      </w:r>
      <w:r>
        <w:rPr>
          <w:rFonts w:hint="eastAsia" w:eastAsia="仿宋_GB2312" w:cs="仿宋_GB2312"/>
          <w:sz w:val="32"/>
          <w:szCs w:val="32"/>
          <w:lang w:val="en-US" w:eastAsia="zh-CN"/>
        </w:rPr>
        <w:t>---------------------第7页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二、收入决算情况说明</w:t>
      </w:r>
      <w:r>
        <w:rPr>
          <w:rFonts w:hint="eastAsia" w:eastAsia="仿宋_GB2312" w:cs="仿宋_GB2312"/>
          <w:sz w:val="32"/>
          <w:szCs w:val="32"/>
          <w:lang w:val="en-US" w:eastAsia="zh-CN"/>
        </w:rPr>
        <w:t>----------------------------------第7页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lang w:val="en-US" w:eastAsia="zh-CN"/>
        </w:rPr>
        <w:t>----------------------------------第8页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lang w:val="en-US" w:eastAsia="zh-CN"/>
        </w:rPr>
        <w:t>----------第9页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lang w:val="en-US" w:eastAsia="zh-CN"/>
        </w:rPr>
        <w:t>----第9页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---第11页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lang w:val="en-US" w:eastAsia="zh-CN"/>
        </w:rPr>
        <w:t>--第12页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lang w:val="en-US" w:eastAsia="zh-CN"/>
        </w:rPr>
        <w:t>-----------第12页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lang w:val="en-US" w:eastAsia="zh-CN"/>
        </w:rPr>
        <w:t>--------第12页</w:t>
      </w:r>
    </w:p>
    <w:p>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lang w:val="en-US" w:eastAsia="zh-CN"/>
        </w:rPr>
        <w:t>-----------------------第13页</w:t>
      </w:r>
    </w:p>
    <w:p>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------------------------------------------第13页</w:t>
      </w:r>
    </w:p>
    <w:p>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------------------------------------------------第16页</w:t>
      </w:r>
    </w:p>
    <w:p>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------------------------------------------------第34页</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pPr>
        <w:pStyle w:val="2"/>
        <w:jc w:val="center"/>
        <w:rPr>
          <w:rFonts w:hint="eastAsia" w:eastAsia="方正小标宋简体" w:cs="方正小标宋简体"/>
          <w:b w:val="0"/>
        </w:rPr>
      </w:pPr>
      <w:bookmarkStart w:id="22" w:name="_Toc15396599"/>
      <w:bookmarkStart w:id="23" w:name="_Toc15377196"/>
    </w:p>
    <w:p>
      <w:pPr>
        <w:pStyle w:val="2"/>
        <w:jc w:val="center"/>
        <w:rPr>
          <w:rFonts w:hint="eastAsia" w:eastAsia="方正小标宋简体" w:cs="方正小标宋简体"/>
          <w:b w:val="0"/>
        </w:rPr>
      </w:pPr>
    </w:p>
    <w:p>
      <w:pPr>
        <w:pStyle w:val="2"/>
        <w:jc w:val="both"/>
        <w:rPr>
          <w:rFonts w:hint="eastAsia" w:eastAsia="方正小标宋简体" w:cs="方正小标宋简体"/>
          <w:b w:val="0"/>
        </w:rPr>
      </w:pPr>
    </w:p>
    <w:p>
      <w:pPr>
        <w:rPr>
          <w:rFonts w:hint="eastAsia" w:eastAsia="方正小标宋简体" w:cs="方正小标宋简体"/>
          <w:b w:val="0"/>
        </w:rPr>
      </w:pPr>
    </w:p>
    <w:p>
      <w:pPr>
        <w:pStyle w:val="2"/>
        <w:jc w:val="both"/>
        <w:rPr>
          <w:rFonts w:hint="eastAsia" w:eastAsia="方正小标宋简体" w:cs="方正小标宋简体"/>
          <w:b w:val="0"/>
        </w:rPr>
      </w:pPr>
    </w:p>
    <w:p>
      <w:pPr>
        <w:rPr>
          <w:rFonts w:hint="eastAsia" w:eastAsia="方正小标宋简体" w:cs="方正小标宋简体"/>
          <w:b w:val="0"/>
        </w:rPr>
      </w:pPr>
    </w:p>
    <w:p>
      <w:pPr>
        <w:pStyle w:val="9"/>
        <w:rPr>
          <w:rFonts w:hint="eastAsia"/>
        </w:rPr>
      </w:pPr>
    </w:p>
    <w:p>
      <w:pPr>
        <w:pStyle w:val="2"/>
        <w:jc w:val="center"/>
        <w:rPr>
          <w:rStyle w:val="31"/>
          <w:rFonts w:eastAsia="方正小标宋简体" w:cs="方正小标宋简体"/>
          <w:b/>
          <w:bCs w:val="0"/>
        </w:rPr>
      </w:pPr>
      <w:r>
        <w:rPr>
          <w:rFonts w:hint="eastAsia" w:eastAsia="方正小标宋简体" w:cs="方正小标宋简体"/>
          <w:b w:val="0"/>
        </w:rPr>
        <w:t xml:space="preserve">第一部分  </w:t>
      </w:r>
      <w:r>
        <w:rPr>
          <w:rStyle w:val="31"/>
          <w:rFonts w:hint="eastAsia" w:eastAsia="方正小标宋简体" w:cs="方正小标宋简体"/>
          <w:b w:val="0"/>
          <w:bCs w:val="0"/>
        </w:rPr>
        <w:t>部门概况</w:t>
      </w:r>
      <w:bookmarkEnd w:id="22"/>
      <w:bookmarkEnd w:id="23"/>
    </w:p>
    <w:p>
      <w:pPr>
        <w:widowControl/>
        <w:jc w:val="left"/>
        <w:rPr>
          <w:rFonts w:eastAsia="黑体"/>
          <w:sz w:val="32"/>
          <w:szCs w:val="32"/>
        </w:rPr>
      </w:pPr>
    </w:p>
    <w:p>
      <w:pPr>
        <w:pStyle w:val="3"/>
        <w:rPr>
          <w:rFonts w:hint="eastAsia" w:ascii="Times New Roman" w:hAnsi="Times New Roman" w:eastAsia="黑体"/>
          <w:b w:val="0"/>
        </w:rPr>
      </w:pPr>
      <w:bookmarkStart w:id="24" w:name="_Toc15396600"/>
      <w:bookmarkStart w:id="25" w:name="_Toc15377197"/>
      <w:r>
        <w:rPr>
          <w:rFonts w:hint="eastAsia" w:ascii="Times New Roman" w:hAnsi="Times New Roman" w:eastAsia="黑体"/>
          <w:b w:val="0"/>
        </w:rPr>
        <w:t>一、</w:t>
      </w:r>
      <w:bookmarkEnd w:id="24"/>
      <w:bookmarkEnd w:id="25"/>
      <w:r>
        <w:rPr>
          <w:rFonts w:hint="eastAsia" w:ascii="Times New Roman" w:hAnsi="Times New Roman" w:eastAsia="黑体"/>
          <w:b w:val="0"/>
        </w:rPr>
        <w:t>部门职责</w:t>
      </w:r>
    </w:p>
    <w:p>
      <w:pPr>
        <w:snapToGrid w:val="0"/>
        <w:spacing w:line="360" w:lineRule="auto"/>
        <w:ind w:firstLine="640" w:firstLineChars="200"/>
        <w:outlineLvl w:val="1"/>
        <w:rPr>
          <w:rFonts w:ascii="仿宋_GB2312" w:hAnsi="仿宋" w:eastAsia="仿宋_GB2312" w:cs="仿宋_GB2312"/>
          <w:sz w:val="32"/>
          <w:szCs w:val="32"/>
        </w:rPr>
      </w:pPr>
      <w:bookmarkStart w:id="26" w:name="_Toc6261"/>
      <w:bookmarkStart w:id="27" w:name="_Toc3563"/>
      <w:bookmarkStart w:id="28" w:name="_Toc5611"/>
      <w:bookmarkStart w:id="29" w:name="_Toc18446"/>
      <w:bookmarkStart w:id="30" w:name="_Toc3332"/>
      <w:bookmarkStart w:id="31" w:name="_Toc25547"/>
      <w:r>
        <w:rPr>
          <w:rFonts w:hint="eastAsia" w:ascii="仿宋_GB2312" w:eastAsia="仿宋_GB2312"/>
          <w:kern w:val="0"/>
          <w:sz w:val="32"/>
          <w:szCs w:val="32"/>
        </w:rPr>
        <w:t>2024年在县委、县政府的正确领导下，在县级有关部门及其他兄弟乡镇的大力支持和帮助下，</w:t>
      </w:r>
      <w:r>
        <w:rPr>
          <w:rFonts w:hint="eastAsia" w:ascii="仿宋_GB2312" w:hAnsi="仿宋" w:eastAsia="仿宋_GB2312" w:cs="仿宋_GB2312"/>
          <w:sz w:val="32"/>
          <w:szCs w:val="32"/>
        </w:rPr>
        <w:t>贯彻执行党和国家关于预算、税收、行政事业单位国有资产、财务、会计等法律、法规、规章和方针、政策。根据我局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金川县文化体育和旅游局发展的新局面。</w:t>
      </w:r>
      <w:bookmarkEnd w:id="26"/>
      <w:bookmarkEnd w:id="27"/>
      <w:bookmarkEnd w:id="28"/>
      <w:bookmarkEnd w:id="29"/>
      <w:bookmarkEnd w:id="30"/>
      <w:bookmarkEnd w:id="31"/>
    </w:p>
    <w:p>
      <w:pPr>
        <w:pStyle w:val="3"/>
        <w:spacing w:before="0" w:after="0" w:line="240" w:lineRule="auto"/>
        <w:ind w:firstLine="321" w:firstLineChars="100"/>
        <w:rPr>
          <w:rFonts w:ascii="楷体" w:eastAsia="楷体" w:cs="楷体"/>
          <w:color w:val="000000"/>
        </w:rPr>
      </w:pPr>
      <w:bookmarkStart w:id="32" w:name="_Toc29688"/>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rPr>
        <w:t>4年重点工作完成情况</w:t>
      </w:r>
      <w:bookmarkEnd w:id="32"/>
    </w:p>
    <w:p>
      <w:pPr>
        <w:pStyle w:val="16"/>
        <w:shd w:val="clear" w:color="auto" w:fill="FFFFFF"/>
        <w:spacing w:before="100" w:after="100" w:line="560" w:lineRule="exact"/>
        <w:ind w:firstLine="720"/>
        <w:rPr>
          <w:rFonts w:hint="default" w:ascii="仿宋_GB2312" w:hAnsi="仿宋" w:eastAsia="仿宋_GB2312" w:cs="仿宋_GB2312"/>
          <w:sz w:val="32"/>
          <w:szCs w:val="32"/>
          <w:shd w:val="clear" w:color="auto" w:fill="FFFFFF"/>
        </w:rPr>
      </w:pPr>
      <w:r>
        <w:rPr>
          <w:rFonts w:ascii="仿宋_GB2312" w:hAnsi="仿宋" w:eastAsia="仿宋_GB2312" w:cs="仿宋_GB2312"/>
          <w:sz w:val="32"/>
          <w:szCs w:val="32"/>
          <w:shd w:val="clear" w:color="auto" w:fill="FFFFFF"/>
        </w:rPr>
        <w:t>2024年是我</w:t>
      </w:r>
      <w:r>
        <w:rPr>
          <w:rFonts w:hint="eastAsia" w:ascii="仿宋_GB2312" w:hAnsi="仿宋" w:eastAsia="仿宋_GB2312" w:cs="仿宋_GB2312"/>
          <w:sz w:val="32"/>
          <w:szCs w:val="32"/>
          <w:shd w:val="clear" w:color="auto" w:fill="FFFFFF"/>
          <w:lang w:eastAsia="zh-CN"/>
        </w:rPr>
        <w:t>中心</w:t>
      </w:r>
      <w:r>
        <w:rPr>
          <w:rFonts w:ascii="仿宋_GB2312" w:hAnsi="仿宋" w:eastAsia="仿宋_GB2312" w:cs="仿宋_GB2312"/>
          <w:sz w:val="32"/>
          <w:szCs w:val="32"/>
          <w:shd w:val="clear" w:color="auto" w:fill="FFFFFF"/>
        </w:rPr>
        <w:t>发展进程中极为困难、充满挑战的一年，也是奋发有为、满载收获的一年。一年来，全</w:t>
      </w:r>
      <w:r>
        <w:rPr>
          <w:rFonts w:hint="eastAsia" w:ascii="仿宋_GB2312" w:hAnsi="仿宋" w:eastAsia="仿宋_GB2312" w:cs="仿宋_GB2312"/>
          <w:sz w:val="32"/>
          <w:szCs w:val="32"/>
          <w:shd w:val="clear" w:color="auto" w:fill="FFFFFF"/>
          <w:lang w:eastAsia="zh-CN"/>
        </w:rPr>
        <w:t>中心</w:t>
      </w:r>
      <w:r>
        <w:rPr>
          <w:rFonts w:ascii="仿宋_GB2312" w:hAnsi="仿宋" w:eastAsia="仿宋_GB2312" w:cs="仿宋_GB2312"/>
          <w:sz w:val="32"/>
          <w:szCs w:val="32"/>
          <w:shd w:val="clear" w:color="auto" w:fill="FFFFFF"/>
        </w:rPr>
        <w:t>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一、在冲击和危机面前，我们逆势求变、稳中求进，保住了势头、促进了发展。</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“坚奋进之志、谋创业之策”为确保全</w:t>
      </w:r>
      <w:r>
        <w:rPr>
          <w:rFonts w:hint="eastAsia" w:ascii="仿宋_GB2312" w:hAnsi="仿宋" w:eastAsia="仿宋_GB2312" w:cs="仿宋_GB2312"/>
          <w:sz w:val="32"/>
          <w:szCs w:val="32"/>
          <w:lang w:eastAsia="zh-CN"/>
        </w:rPr>
        <w:t>中心</w:t>
      </w:r>
      <w:r>
        <w:rPr>
          <w:rFonts w:hint="eastAsia" w:ascii="仿宋_GB2312" w:hAnsi="仿宋" w:eastAsia="仿宋_GB2312" w:cs="仿宋_GB2312"/>
          <w:sz w:val="32"/>
          <w:szCs w:val="32"/>
        </w:rPr>
        <w:t>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奏好“振兴曲”，农业发展纵深延续。自乡村振兴战略实施以来，全局始终坚持党管农村工作、农业农村优先发展，坚持农民主体地位、因地制宜的工作原则，全力推进金川县文体体育和旅游局“面子”、“里子”工程的大提升。以产业振兴为支撑，壮大镇域经济。 </w:t>
      </w:r>
    </w:p>
    <w:p/>
    <w:p>
      <w:pPr>
        <w:pStyle w:val="3"/>
        <w:rPr>
          <w:rStyle w:val="32"/>
          <w:rFonts w:ascii="Times New Roman" w:hAnsi="Times New Roman"/>
          <w:b w:val="0"/>
          <w:bCs w:val="0"/>
        </w:rPr>
      </w:pPr>
      <w:bookmarkStart w:id="33" w:name="_Toc15377200"/>
      <w:bookmarkStart w:id="34" w:name="_Toc15396601"/>
      <w:r>
        <w:rPr>
          <w:rFonts w:hint="eastAsia" w:ascii="Times New Roman" w:hAnsi="Times New Roman" w:eastAsia="黑体"/>
          <w:b w:val="0"/>
        </w:rPr>
        <w:t>二、机</w:t>
      </w:r>
      <w:r>
        <w:rPr>
          <w:rStyle w:val="32"/>
          <w:rFonts w:hint="eastAsia" w:ascii="Times New Roman" w:hAnsi="Times New Roman" w:eastAsia="黑体"/>
          <w:b w:val="0"/>
          <w:bCs w:val="0"/>
        </w:rPr>
        <w:t>构设置</w:t>
      </w:r>
      <w:bookmarkEnd w:id="33"/>
      <w:bookmarkEnd w:id="34"/>
    </w:p>
    <w:p>
      <w:pPr>
        <w:snapToGrid w:val="0"/>
        <w:spacing w:line="520" w:lineRule="exact"/>
        <w:ind w:firstLine="640" w:firstLineChars="200"/>
        <w:rPr>
          <w:rFonts w:eastAsia="仿宋_GB2312" w:cs="仿宋_GB2312"/>
          <w:sz w:val="32"/>
          <w:szCs w:val="32"/>
        </w:rPr>
      </w:pPr>
      <w:r>
        <w:rPr>
          <w:rFonts w:hint="eastAsia" w:ascii="仿宋_GB2312" w:hAnsi="仿宋_GB2312" w:eastAsia="仿宋_GB2312" w:cs="仿宋_GB2312"/>
          <w:sz w:val="32"/>
          <w:szCs w:val="32"/>
        </w:rPr>
        <w:t>金川县</w:t>
      </w:r>
      <w:r>
        <w:rPr>
          <w:rFonts w:hint="eastAsia" w:ascii="仿宋_GB2312" w:eastAsia="仿宋_GB2312"/>
          <w:sz w:val="32"/>
          <w:szCs w:val="32"/>
        </w:rPr>
        <w:t>世外梨园景区服务中心是独立核算机构</w:t>
      </w:r>
      <w:r>
        <w:rPr>
          <w:rFonts w:hint="eastAsia" w:ascii="仿宋_GB2312" w:eastAsia="仿宋_GB2312"/>
          <w:sz w:val="32"/>
          <w:szCs w:val="32"/>
          <w:lang w:eastAsia="zh-CN"/>
        </w:rPr>
        <w:t>，</w:t>
      </w:r>
      <w:r>
        <w:rPr>
          <w:rFonts w:hint="eastAsia" w:eastAsia="仿宋_GB2312" w:cs="仿宋_GB2312"/>
          <w:sz w:val="32"/>
          <w:szCs w:val="32"/>
        </w:rPr>
        <w:t>参照公务员法管理的事业单位</w:t>
      </w:r>
      <w:r>
        <w:rPr>
          <w:rFonts w:hint="eastAsia" w:eastAsia="仿宋_GB2312" w:cs="仿宋_GB2312"/>
          <w:bCs/>
          <w:sz w:val="32"/>
          <w:szCs w:val="32"/>
        </w:rPr>
        <w:t>1</w:t>
      </w:r>
      <w:r>
        <w:rPr>
          <w:rFonts w:hint="eastAsia" w:eastAsia="仿宋_GB2312" w:cs="仿宋_GB2312"/>
          <w:sz w:val="32"/>
          <w:szCs w:val="32"/>
        </w:rPr>
        <w:t>个。</w:t>
      </w:r>
    </w:p>
    <w:p>
      <w:pPr>
        <w:pStyle w:val="2"/>
        <w:jc w:val="center"/>
        <w:rPr>
          <w:rFonts w:eastAsia="方正小标宋简体" w:cs="方正小标宋简体"/>
          <w:b w:val="0"/>
        </w:rPr>
      </w:pPr>
      <w:bookmarkStart w:id="35" w:name="_Toc15396602"/>
      <w:bookmarkStart w:id="36" w:name="_Toc15377204"/>
      <w:r>
        <w:rPr>
          <w:rFonts w:hint="eastAsia" w:eastAsia="方正小标宋简体" w:cs="方正小标宋简体"/>
          <w:b w:val="0"/>
        </w:rPr>
        <w:t>第二部分  2024年度部门决算情况说明</w:t>
      </w:r>
      <w:bookmarkEnd w:id="35"/>
      <w:bookmarkEnd w:id="36"/>
    </w:p>
    <w:p/>
    <w:p>
      <w:pPr>
        <w:pStyle w:val="30"/>
        <w:spacing w:line="600" w:lineRule="exact"/>
        <w:ind w:firstLine="640"/>
        <w:outlineLvl w:val="1"/>
        <w:rPr>
          <w:rStyle w:val="32"/>
          <w:rFonts w:ascii="Times New Roman" w:hAnsi="Times New Roman" w:eastAsia="黑体"/>
          <w:b w:val="0"/>
        </w:rPr>
      </w:pPr>
      <w:bookmarkStart w:id="37" w:name="_Toc15377205"/>
      <w:bookmarkStart w:id="38" w:name="_Toc15396603"/>
      <w:r>
        <w:rPr>
          <w:rFonts w:hint="eastAsia" w:eastAsia="黑体"/>
          <w:sz w:val="32"/>
          <w:szCs w:val="32"/>
        </w:rPr>
        <w:t>一、收</w:t>
      </w:r>
      <w:r>
        <w:rPr>
          <w:rStyle w:val="32"/>
          <w:rFonts w:hint="eastAsia" w:ascii="Times New Roman" w:hAnsi="Times New Roman" w:eastAsia="黑体"/>
          <w:b w:val="0"/>
        </w:rPr>
        <w:t>入支出决算总体情况说明</w:t>
      </w:r>
      <w:bookmarkEnd w:id="37"/>
      <w:bookmarkEnd w:id="38"/>
    </w:p>
    <w:p>
      <w:pPr>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4年度财政拨款收入</w:t>
      </w:r>
      <w:r>
        <w:rPr>
          <w:rFonts w:hint="eastAsia" w:ascii="仿宋_GB2312" w:hAnsi="仿宋_GB2312" w:eastAsia="仿宋_GB2312" w:cs="仿宋_GB2312"/>
          <w:sz w:val="32"/>
          <w:szCs w:val="32"/>
          <w:lang w:val="en-US" w:eastAsia="zh-CN"/>
        </w:rPr>
        <w:t>275.42</w:t>
      </w:r>
      <w:r>
        <w:rPr>
          <w:rFonts w:hint="eastAsia" w:ascii="仿宋_GB2312" w:hAnsi="仿宋_GB2312" w:eastAsia="仿宋_GB2312" w:cs="仿宋_GB2312"/>
          <w:sz w:val="32"/>
          <w:szCs w:val="32"/>
        </w:rPr>
        <w:t>万元，较上年收入减少</w:t>
      </w:r>
      <w:r>
        <w:rPr>
          <w:rFonts w:hint="eastAsia" w:ascii="仿宋_GB2312" w:hAnsi="仿宋_GB2312" w:eastAsia="仿宋_GB2312" w:cs="仿宋_GB2312"/>
          <w:sz w:val="32"/>
          <w:szCs w:val="32"/>
          <w:lang w:val="en-US" w:eastAsia="zh-CN"/>
        </w:rPr>
        <w:t>12.8</w:t>
      </w:r>
      <w:r>
        <w:rPr>
          <w:rFonts w:hint="eastAsia" w:ascii="仿宋_GB2312" w:hAnsi="仿宋_GB2312" w:eastAsia="仿宋_GB2312" w:cs="仿宋_GB2312"/>
          <w:sz w:val="32"/>
          <w:szCs w:val="32"/>
        </w:rPr>
        <w:t>万元。减少的主要原因是</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减少。</w:t>
      </w:r>
    </w:p>
    <w:p>
      <w:pPr>
        <w:snapToGrid w:val="0"/>
        <w:spacing w:line="52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4年财政拨款支出</w:t>
      </w:r>
      <w:r>
        <w:rPr>
          <w:rFonts w:hint="eastAsia" w:ascii="仿宋_GB2312" w:hAnsi="仿宋_GB2312" w:eastAsia="仿宋_GB2312" w:cs="仿宋_GB2312"/>
          <w:sz w:val="32"/>
          <w:szCs w:val="32"/>
          <w:lang w:val="en-US" w:eastAsia="zh-CN"/>
        </w:rPr>
        <w:t>275.42</w:t>
      </w:r>
      <w:r>
        <w:rPr>
          <w:rFonts w:hint="eastAsia" w:ascii="仿宋_GB2312" w:hAnsi="仿宋_GB2312" w:eastAsia="仿宋_GB2312" w:cs="仿宋_GB2312"/>
          <w:sz w:val="32"/>
          <w:szCs w:val="32"/>
        </w:rPr>
        <w:t>万元，较上年支出减少万</w:t>
      </w:r>
      <w:r>
        <w:rPr>
          <w:rFonts w:hint="eastAsia" w:ascii="仿宋_GB2312" w:hAnsi="仿宋_GB2312" w:eastAsia="仿宋_GB2312" w:cs="仿宋_GB2312"/>
          <w:sz w:val="32"/>
          <w:szCs w:val="32"/>
          <w:lang w:val="en-US" w:eastAsia="zh-CN"/>
        </w:rPr>
        <w:t>12.8</w:t>
      </w:r>
      <w:r>
        <w:rPr>
          <w:rFonts w:hint="eastAsia" w:ascii="仿宋_GB2312" w:hAnsi="仿宋_GB2312" w:eastAsia="仿宋_GB2312" w:cs="仿宋_GB2312"/>
          <w:sz w:val="32"/>
          <w:szCs w:val="32"/>
        </w:rPr>
        <w:t>元。减少的主要原因是</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减少。</w:t>
      </w:r>
    </w:p>
    <w:p>
      <w:pPr>
        <w:snapToGrid w:val="0"/>
        <w:spacing w:line="520" w:lineRule="exact"/>
        <w:ind w:firstLine="643" w:firstLineChars="200"/>
        <w:rPr>
          <w:rFonts w:hint="eastAsia" w:ascii="仿宋_GB2312" w:eastAsia="仿宋_GB2312"/>
          <w:b/>
          <w:sz w:val="32"/>
          <w:szCs w:val="32"/>
        </w:rPr>
      </w:pPr>
      <w:r>
        <w:rPr>
          <w:rFonts w:hint="eastAsia" w:ascii="仿宋_GB2312" w:eastAsia="仿宋_GB2312"/>
          <w:b/>
          <w:sz w:val="32"/>
          <w:szCs w:val="32"/>
        </w:rPr>
        <w:t>3．支出按经济分类科目分析。</w:t>
      </w:r>
    </w:p>
    <w:p>
      <w:pPr>
        <w:snapToGrid w:val="0"/>
        <w:spacing w:line="520" w:lineRule="exact"/>
        <w:ind w:firstLine="640" w:firstLineChars="200"/>
        <w:rPr>
          <w:rFonts w:hint="eastAsia" w:ascii="仿宋_GB2312" w:hAnsi="仿宋_GB2312" w:eastAsia="仿宋_GB2312" w:cs="仿宋_GB2312"/>
          <w:sz w:val="32"/>
          <w:szCs w:val="32"/>
        </w:rPr>
      </w:pPr>
    </w:p>
    <w:p>
      <w:pPr>
        <w:rPr>
          <w:rFonts w:hint="eastAsia" w:ascii="仿宋_GB2312" w:eastAsia="仿宋_GB2312"/>
          <w:b/>
          <w:sz w:val="32"/>
          <w:szCs w:val="32"/>
        </w:rPr>
      </w:pPr>
      <w:r>
        <w:drawing>
          <wp:inline distT="0" distB="0" distL="114300" distR="114300">
            <wp:extent cx="4829175" cy="2743200"/>
            <wp:effectExtent l="4445" t="4445" r="5080" b="14605"/>
            <wp:docPr id="4" name="图表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0"/>
        <w:spacing w:line="600" w:lineRule="exact"/>
        <w:ind w:left="0" w:leftChars="0" w:firstLine="0" w:firstLineChars="0"/>
        <w:outlineLvl w:val="1"/>
        <w:rPr>
          <w:rFonts w:hint="eastAsia" w:eastAsia="仿宋_GB2312" w:cs="仿宋_GB2312"/>
          <w:sz w:val="32"/>
          <w:szCs w:val="32"/>
        </w:rPr>
      </w:pPr>
      <w:r>
        <w:rPr>
          <w:rFonts w:hint="eastAsia" w:eastAsia="仿宋_GB2312" w:cs="仿宋_GB2312"/>
          <w:sz w:val="32"/>
          <w:szCs w:val="32"/>
        </w:rPr>
        <w:t>（图1：收入、支出决算总计变动情况图）（柱状图）</w:t>
      </w:r>
    </w:p>
    <w:p>
      <w:pPr>
        <w:spacing w:line="600" w:lineRule="exact"/>
        <w:outlineLvl w:val="1"/>
        <w:rPr>
          <w:rFonts w:eastAsia="黑体"/>
          <w:sz w:val="32"/>
          <w:szCs w:val="32"/>
        </w:rPr>
      </w:pPr>
      <w:bookmarkStart w:id="39" w:name="_Toc15396604"/>
      <w:bookmarkStart w:id="40" w:name="_Toc15377206"/>
      <w:r>
        <w:rPr>
          <w:rFonts w:hint="eastAsia" w:eastAsia="黑体"/>
          <w:sz w:val="32"/>
          <w:szCs w:val="32"/>
        </w:rPr>
        <w:t>二、收入决算情况说明</w:t>
      </w:r>
      <w:bookmarkEnd w:id="39"/>
      <w:bookmarkEnd w:id="40"/>
    </w:p>
    <w:p>
      <w:pPr>
        <w:pStyle w:val="30"/>
        <w:spacing w:line="600" w:lineRule="exact"/>
        <w:ind w:firstLine="64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2024年度本年收入合计</w:t>
      </w:r>
      <w:r>
        <w:rPr>
          <w:rFonts w:hint="eastAsia" w:ascii="仿宋_GB2312" w:hAnsi="仿宋_GB2312" w:eastAsia="仿宋_GB2312" w:cs="仿宋_GB2312"/>
          <w:sz w:val="32"/>
          <w:szCs w:val="32"/>
          <w:lang w:val="en-US" w:eastAsia="zh-CN"/>
        </w:rPr>
        <w:t>275.42</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275.42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；国有资本经营预算财政拨款收入0万元，占0%；上级补助收入0万元，占0%；事业收入0万元，占0%；经营收入0万元，占0%；附属单位上缴收入0万元，占0%；其他收入0万元，占0%。</w:t>
      </w:r>
    </w:p>
    <w:p>
      <w:pPr>
        <w:pStyle w:val="30"/>
        <w:spacing w:line="600" w:lineRule="exact"/>
        <w:ind w:left="0" w:leftChars="0" w:firstLine="0" w:firstLineChars="0"/>
        <w:jc w:val="left"/>
        <w:outlineLvl w:val="1"/>
        <w:rPr>
          <w:rFonts w:eastAsia="仿宋_GB2312" w:cs="仿宋_GB2312"/>
          <w:sz w:val="32"/>
          <w:szCs w:val="32"/>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-2057400</wp:posOffset>
            </wp:positionV>
            <wp:extent cx="5373370" cy="2648585"/>
            <wp:effectExtent l="4445" t="4445" r="1333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eastAsia="仿宋_GB2312" w:cs="仿宋_GB2312"/>
          <w:sz w:val="32"/>
          <w:szCs w:val="32"/>
        </w:rPr>
        <w:t>（图2：收入决算结构图）（饼状图）</w:t>
      </w:r>
    </w:p>
    <w:p>
      <w:pPr>
        <w:spacing w:line="600" w:lineRule="exact"/>
        <w:outlineLvl w:val="1"/>
        <w:rPr>
          <w:rStyle w:val="32"/>
          <w:rFonts w:ascii="Times New Roman" w:hAnsi="Times New Roman" w:eastAsia="黑体"/>
          <w:b w:val="0"/>
        </w:rPr>
      </w:pPr>
      <w:bookmarkStart w:id="41" w:name="_Toc15377207"/>
      <w:bookmarkStart w:id="42" w:name="_Toc15396605"/>
      <w:r>
        <w:rPr>
          <w:rFonts w:hint="eastAsia" w:eastAsia="黑体"/>
          <w:sz w:val="32"/>
          <w:szCs w:val="32"/>
        </w:rPr>
        <w:t>三、支</w:t>
      </w:r>
      <w:r>
        <w:rPr>
          <w:rStyle w:val="32"/>
          <w:rFonts w:hint="eastAsia" w:ascii="Times New Roman" w:hAnsi="Times New Roman" w:eastAsia="黑体"/>
          <w:b w:val="0"/>
        </w:rPr>
        <w:t>出决算情况说明</w:t>
      </w:r>
      <w:bookmarkEnd w:id="41"/>
      <w:bookmarkEnd w:id="42"/>
    </w:p>
    <w:p>
      <w:pPr>
        <w:pStyle w:val="30"/>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2024年度本年支出合计</w:t>
      </w:r>
      <w:r>
        <w:rPr>
          <w:rFonts w:hint="eastAsia" w:ascii="仿宋_GB2312" w:hAnsi="仿宋_GB2312" w:eastAsia="仿宋_GB2312" w:cs="仿宋_GB2312"/>
          <w:sz w:val="32"/>
          <w:szCs w:val="32"/>
          <w:lang w:val="en-US" w:eastAsia="zh-CN"/>
        </w:rPr>
        <w:t>275.42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145.55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129.87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%；上缴上级支出0万元，占0%；经营支出0万元，占0%；对附属单位补助支出0万元，占0%%。</w:t>
      </w:r>
    </w:p>
    <w:p>
      <w:pPr>
        <w:pStyle w:val="30"/>
        <w:spacing w:line="600" w:lineRule="exact"/>
        <w:ind w:firstLine="640"/>
        <w:jc w:val="left"/>
        <w:outlineLvl w:val="1"/>
        <w:rPr>
          <w:rFonts w:hint="eastAsia" w:eastAsia="仿宋_GB2312" w:cs="仿宋_GB2312"/>
          <w:b/>
          <w:bCs/>
          <w:sz w:val="32"/>
          <w:szCs w:val="32"/>
        </w:rPr>
      </w:pPr>
    </w:p>
    <w:p>
      <w:pPr>
        <w:pStyle w:val="30"/>
        <w:spacing w:line="600" w:lineRule="exact"/>
        <w:ind w:firstLine="640"/>
        <w:jc w:val="left"/>
        <w:outlineLvl w:val="1"/>
        <w:rPr>
          <w:rFonts w:hint="eastAsia" w:eastAsia="仿宋_GB2312" w:cs="仿宋_GB2312"/>
          <w:b/>
          <w:bCs/>
          <w:sz w:val="32"/>
          <w:szCs w:val="32"/>
        </w:rPr>
      </w:pPr>
    </w:p>
    <w:p>
      <w:pP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4839970" cy="2755265"/>
            <wp:effectExtent l="0" t="0" r="17780" b="6985"/>
            <wp:docPr id="11" name="图片 1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2"/>
                    <pic:cNvPicPr>
                      <a:picLocks noChangeAspect="1"/>
                    </pic:cNvPicPr>
                  </pic:nvPicPr>
                  <pic:blipFill>
                    <a:blip r:embed="rId10" cstate="print"/>
                    <a:stretch>
                      <a:fillRect/>
                    </a:stretch>
                  </pic:blipFill>
                  <pic:spPr>
                    <a:xfrm>
                      <a:off x="0" y="0"/>
                      <a:ext cx="4839970" cy="2755265"/>
                    </a:xfrm>
                    <a:prstGeom prst="rect">
                      <a:avLst/>
                    </a:prstGeom>
                  </pic:spPr>
                </pic:pic>
              </a:graphicData>
            </a:graphic>
          </wp:inline>
        </w:drawing>
      </w:r>
    </w:p>
    <w:p>
      <w:pPr>
        <w:pStyle w:val="30"/>
        <w:spacing w:line="600" w:lineRule="exact"/>
        <w:ind w:firstLine="640"/>
        <w:jc w:val="left"/>
        <w:outlineLvl w:val="1"/>
        <w:rPr>
          <w:rFonts w:hint="eastAsia" w:eastAsia="仿宋_GB2312" w:cs="仿宋_GB2312"/>
          <w:b/>
          <w:bCs/>
          <w:sz w:val="32"/>
          <w:szCs w:val="32"/>
        </w:rPr>
      </w:pPr>
    </w:p>
    <w:p>
      <w:pPr>
        <w:pStyle w:val="30"/>
        <w:spacing w:line="600" w:lineRule="exact"/>
        <w:ind w:firstLine="640"/>
        <w:jc w:val="left"/>
        <w:outlineLvl w:val="1"/>
        <w:rPr>
          <w:rFonts w:hint="eastAsia" w:eastAsia="仿宋_GB2312" w:cs="仿宋_GB2312"/>
          <w:b/>
          <w:bCs/>
          <w:sz w:val="32"/>
          <w:szCs w:val="32"/>
        </w:rPr>
      </w:pPr>
    </w:p>
    <w:p>
      <w:pPr>
        <w:pStyle w:val="30"/>
        <w:spacing w:line="600" w:lineRule="exact"/>
        <w:ind w:firstLine="640"/>
        <w:jc w:val="left"/>
        <w:outlineLvl w:val="1"/>
        <w:rPr>
          <w:rFonts w:hint="eastAsia" w:eastAsia="仿宋_GB2312" w:cs="仿宋_GB2312"/>
          <w:b/>
          <w:bCs/>
          <w:sz w:val="32"/>
          <w:szCs w:val="32"/>
        </w:rPr>
      </w:pPr>
    </w:p>
    <w:p>
      <w:pPr>
        <w:pStyle w:val="30"/>
        <w:spacing w:line="600" w:lineRule="exact"/>
        <w:ind w:firstLine="640"/>
        <w:jc w:val="left"/>
        <w:outlineLvl w:val="1"/>
        <w:rPr>
          <w:rFonts w:hint="eastAsia" w:eastAsia="仿宋_GB2312" w:cs="仿宋_GB2312"/>
          <w:b/>
          <w:bCs/>
          <w:sz w:val="32"/>
          <w:szCs w:val="32"/>
        </w:rPr>
      </w:pPr>
    </w:p>
    <w:p>
      <w:pPr>
        <w:ind w:firstLine="1280" w:firstLineChars="400"/>
        <w:rPr>
          <w:rFonts w:eastAsia="仿宋_GB2312" w:cs="仿宋_GB2312"/>
          <w:sz w:val="32"/>
          <w:szCs w:val="32"/>
        </w:rPr>
      </w:pPr>
      <w:r>
        <w:rPr>
          <w:rFonts w:hint="eastAsia" w:eastAsia="仿宋_GB2312" w:cs="仿宋_GB2312"/>
          <w:sz w:val="32"/>
          <w:szCs w:val="32"/>
        </w:rPr>
        <w:t>（图3：支出决算结构图）（饼状图）</w:t>
      </w:r>
    </w:p>
    <w:p>
      <w:pPr>
        <w:ind w:firstLine="800" w:firstLineChars="250"/>
        <w:rPr>
          <w:rFonts w:eastAsia="仿宋_GB2312" w:cs="仿宋_GB2312"/>
          <w:sz w:val="32"/>
          <w:szCs w:val="32"/>
        </w:rPr>
      </w:pPr>
    </w:p>
    <w:p>
      <w:pPr>
        <w:spacing w:line="600" w:lineRule="exact"/>
        <w:ind w:firstLine="640" w:firstLineChars="200"/>
        <w:outlineLvl w:val="1"/>
        <w:rPr>
          <w:rStyle w:val="32"/>
          <w:rFonts w:ascii="Times New Roman" w:hAnsi="Times New Roman" w:eastAsia="黑体"/>
          <w:b w:val="0"/>
        </w:rPr>
      </w:pPr>
      <w:bookmarkStart w:id="43" w:name="_Toc15377208"/>
      <w:bookmarkStart w:id="44" w:name="_Toc15396606"/>
      <w:r>
        <w:rPr>
          <w:rFonts w:hint="eastAsia" w:eastAsia="黑体"/>
          <w:sz w:val="32"/>
          <w:szCs w:val="32"/>
        </w:rPr>
        <w:t>四、财</w:t>
      </w:r>
      <w:r>
        <w:rPr>
          <w:rStyle w:val="32"/>
          <w:rFonts w:hint="eastAsia" w:ascii="Times New Roman" w:hAnsi="Times New Roman" w:eastAsia="黑体"/>
          <w:b w:val="0"/>
        </w:rPr>
        <w:t>政拨款收入支出决算总体情况说明</w:t>
      </w:r>
      <w:bookmarkEnd w:id="43"/>
      <w:bookmarkEnd w:id="44"/>
    </w:p>
    <w:p>
      <w:pPr>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4年度财政拨款收入</w:t>
      </w:r>
      <w:r>
        <w:rPr>
          <w:rFonts w:hint="eastAsia" w:ascii="仿宋_GB2312" w:hAnsi="仿宋_GB2312" w:eastAsia="仿宋_GB2312" w:cs="仿宋_GB2312"/>
          <w:sz w:val="32"/>
          <w:szCs w:val="32"/>
          <w:lang w:val="en-US" w:eastAsia="zh-CN"/>
        </w:rPr>
        <w:t>275.42</w:t>
      </w:r>
      <w:r>
        <w:rPr>
          <w:rFonts w:hint="eastAsia" w:ascii="仿宋_GB2312" w:hAnsi="仿宋_GB2312" w:eastAsia="仿宋_GB2312" w:cs="仿宋_GB2312"/>
          <w:sz w:val="32"/>
          <w:szCs w:val="32"/>
        </w:rPr>
        <w:t>万元，较上年收入减少</w:t>
      </w:r>
      <w:r>
        <w:rPr>
          <w:rFonts w:hint="eastAsia" w:ascii="仿宋_GB2312" w:hAnsi="仿宋_GB2312" w:eastAsia="仿宋_GB2312" w:cs="仿宋_GB2312"/>
          <w:sz w:val="32"/>
          <w:szCs w:val="32"/>
          <w:lang w:val="en-US" w:eastAsia="zh-CN"/>
        </w:rPr>
        <w:t>12.8</w:t>
      </w:r>
      <w:r>
        <w:rPr>
          <w:rFonts w:hint="eastAsia" w:ascii="仿宋_GB2312" w:hAnsi="仿宋_GB2312" w:eastAsia="仿宋_GB2312" w:cs="仿宋_GB2312"/>
          <w:sz w:val="32"/>
          <w:szCs w:val="32"/>
        </w:rPr>
        <w:t>万元。减少的主要原因是项目减少。</w:t>
      </w:r>
    </w:p>
    <w:p>
      <w:pPr>
        <w:snapToGrid w:val="0"/>
        <w:spacing w:line="52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4年财政拨款支出</w:t>
      </w:r>
      <w:r>
        <w:rPr>
          <w:rFonts w:hint="eastAsia" w:ascii="仿宋_GB2312" w:hAnsi="仿宋_GB2312" w:eastAsia="仿宋_GB2312" w:cs="仿宋_GB2312"/>
          <w:sz w:val="32"/>
          <w:szCs w:val="32"/>
          <w:lang w:val="en-US" w:eastAsia="zh-CN"/>
        </w:rPr>
        <w:t>275.42</w:t>
      </w:r>
      <w:r>
        <w:rPr>
          <w:rFonts w:hint="eastAsia" w:ascii="仿宋_GB2312" w:hAnsi="仿宋_GB2312" w:eastAsia="仿宋_GB2312" w:cs="仿宋_GB2312"/>
          <w:sz w:val="32"/>
          <w:szCs w:val="32"/>
        </w:rPr>
        <w:t>万元，较上年支出减少</w:t>
      </w:r>
      <w:r>
        <w:rPr>
          <w:rFonts w:hint="eastAsia" w:ascii="仿宋_GB2312" w:hAnsi="仿宋_GB2312" w:eastAsia="仿宋_GB2312" w:cs="仿宋_GB2312"/>
          <w:sz w:val="32"/>
          <w:szCs w:val="32"/>
          <w:lang w:val="en-US" w:eastAsia="zh-CN"/>
        </w:rPr>
        <w:t>12.8</w:t>
      </w:r>
      <w:r>
        <w:rPr>
          <w:rFonts w:hint="eastAsia" w:ascii="仿宋_GB2312" w:hAnsi="仿宋_GB2312" w:eastAsia="仿宋_GB2312" w:cs="仿宋_GB2312"/>
          <w:sz w:val="32"/>
          <w:szCs w:val="32"/>
        </w:rPr>
        <w:t>万元。减少的主要原因是项目减少。</w:t>
      </w:r>
    </w:p>
    <w:p>
      <w:pPr>
        <w:snapToGrid w:val="0"/>
        <w:rPr>
          <w:rFonts w:ascii="仿宋_GB2312" w:eastAsia="仿宋_GB2312"/>
          <w:color w:val="0000FF"/>
          <w:spacing w:val="-2"/>
          <w:sz w:val="32"/>
          <w:szCs w:val="32"/>
        </w:rPr>
      </w:pPr>
      <w:r>
        <w:rPr>
          <w:rFonts w:hint="eastAsia" w:ascii="仿宋_GB2312" w:eastAsia="仿宋_GB2312"/>
          <w:color w:val="0000FF"/>
          <w:spacing w:val="-2"/>
          <w:sz w:val="32"/>
          <w:szCs w:val="32"/>
        </w:rPr>
        <w:drawing>
          <wp:inline distT="0" distB="0" distL="114300" distR="114300">
            <wp:extent cx="5269865" cy="3195955"/>
            <wp:effectExtent l="0" t="0" r="6985" b="4445"/>
            <wp:docPr id="13" name="图片 1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3"/>
                    <pic:cNvPicPr>
                      <a:picLocks noChangeAspect="1"/>
                    </pic:cNvPicPr>
                  </pic:nvPicPr>
                  <pic:blipFill>
                    <a:blip r:embed="rId11" cstate="print"/>
                    <a:stretch>
                      <a:fillRect/>
                    </a:stretch>
                  </pic:blipFill>
                  <pic:spPr>
                    <a:xfrm>
                      <a:off x="0" y="0"/>
                      <a:ext cx="5269865" cy="3195955"/>
                    </a:xfrm>
                    <a:prstGeom prst="rect">
                      <a:avLst/>
                    </a:prstGeom>
                  </pic:spPr>
                </pic:pic>
              </a:graphicData>
            </a:graphic>
          </wp:inline>
        </w:drawing>
      </w:r>
    </w:p>
    <w:p>
      <w:pPr>
        <w:rPr>
          <w:rFonts w:hint="eastAsia" w:ascii="仿宋_GB2312" w:eastAsia="仿宋_GB2312"/>
          <w:b/>
          <w:sz w:val="32"/>
          <w:szCs w:val="32"/>
        </w:rPr>
      </w:pPr>
    </w:p>
    <w:p>
      <w:pPr>
        <w:snapToGrid w:val="0"/>
        <w:spacing w:line="520" w:lineRule="exact"/>
        <w:rPr>
          <w:rFonts w:ascii="仿宋_GB2312" w:hAnsi="仿宋_GB2312" w:eastAsia="仿宋_GB2312" w:cs="仿宋_GB2312"/>
          <w:sz w:val="32"/>
          <w:szCs w:val="32"/>
        </w:rPr>
      </w:pPr>
      <w:r>
        <w:rPr>
          <w:rFonts w:hint="eastAsia" w:eastAsia="仿宋_GB2312" w:cs="仿宋_GB2312"/>
          <w:sz w:val="32"/>
          <w:szCs w:val="32"/>
        </w:rPr>
        <w:t>（图4：财政拨款收、支决算总计变动情况）（柱状图）</w:t>
      </w:r>
    </w:p>
    <w:p>
      <w:pPr>
        <w:spacing w:line="600" w:lineRule="exact"/>
        <w:outlineLvl w:val="1"/>
        <w:rPr>
          <w:rStyle w:val="32"/>
          <w:rFonts w:ascii="Times New Roman" w:hAnsi="Times New Roman" w:eastAsia="黑体"/>
          <w:b w:val="0"/>
        </w:rPr>
      </w:pPr>
      <w:bookmarkStart w:id="45" w:name="_Toc15377209"/>
      <w:bookmarkStart w:id="46" w:name="_Toc15396607"/>
      <w:r>
        <w:rPr>
          <w:rFonts w:hint="eastAsia" w:eastAsia="黑体"/>
          <w:sz w:val="32"/>
          <w:szCs w:val="32"/>
        </w:rPr>
        <w:t>五、</w:t>
      </w:r>
      <w:r>
        <w:rPr>
          <w:rFonts w:hint="eastAsia" w:eastAsia="黑体"/>
          <w:b/>
          <w:sz w:val="32"/>
          <w:szCs w:val="32"/>
        </w:rPr>
        <w:t>一</w:t>
      </w:r>
      <w:r>
        <w:rPr>
          <w:rStyle w:val="32"/>
          <w:rFonts w:hint="eastAsia" w:ascii="Times New Roman" w:hAnsi="Times New Roman" w:eastAsia="黑体"/>
          <w:b w:val="0"/>
        </w:rPr>
        <w:t>般公共预算财政拨款支出决算情况说明</w:t>
      </w:r>
      <w:bookmarkEnd w:id="45"/>
      <w:bookmarkEnd w:id="46"/>
    </w:p>
    <w:p>
      <w:pPr>
        <w:spacing w:line="600" w:lineRule="exact"/>
        <w:ind w:firstLine="643" w:firstLineChars="200"/>
        <w:outlineLvl w:val="2"/>
        <w:rPr>
          <w:rStyle w:val="32"/>
          <w:rFonts w:ascii="Times New Roman" w:hAnsi="Times New Roman" w:eastAsia="黑体"/>
        </w:rPr>
      </w:pPr>
      <w:bookmarkStart w:id="47" w:name="_Toc15377210"/>
      <w:r>
        <w:rPr>
          <w:rStyle w:val="32"/>
          <w:rFonts w:hint="eastAsia" w:ascii="Times New Roman" w:hAnsi="Times New Roman" w:eastAsia="黑体"/>
        </w:rPr>
        <w:t>（一）一般公共预算财政拨款支出决算总体情况</w:t>
      </w:r>
      <w:bookmarkEnd w:id="47"/>
    </w:p>
    <w:p>
      <w:pPr>
        <w:snapToGrid w:val="0"/>
        <w:spacing w:line="520" w:lineRule="exact"/>
        <w:ind w:firstLine="643" w:firstLineChars="200"/>
        <w:rPr>
          <w:rStyle w:val="32"/>
          <w:rFonts w:ascii="Times New Roman" w:hAnsi="Times New Roman" w:eastAsia="黑体"/>
        </w:rPr>
      </w:pPr>
      <w:r>
        <w:rPr>
          <w:rStyle w:val="32"/>
          <w:rFonts w:ascii="Times New Roman" w:hAnsi="Times New Roman" w:eastAsia="黑体"/>
        </w:rPr>
        <w:t>202</w:t>
      </w:r>
      <w:r>
        <w:rPr>
          <w:rStyle w:val="32"/>
          <w:rFonts w:hint="eastAsia" w:ascii="Times New Roman" w:hAnsi="Times New Roman" w:eastAsia="黑体"/>
        </w:rPr>
        <w:t>4年一般公共预算财政拨款支出</w:t>
      </w:r>
      <w:r>
        <w:rPr>
          <w:rStyle w:val="32"/>
          <w:rFonts w:hint="eastAsia" w:eastAsia="黑体"/>
          <w:lang w:val="en-US" w:eastAsia="zh-CN"/>
        </w:rPr>
        <w:t>275.42</w:t>
      </w:r>
      <w:r>
        <w:rPr>
          <w:rStyle w:val="32"/>
          <w:rFonts w:hint="eastAsia" w:ascii="Times New Roman" w:hAnsi="Times New Roman" w:eastAsia="黑体"/>
        </w:rPr>
        <w:t>万元，占本年总支出的100</w:t>
      </w:r>
      <w:r>
        <w:rPr>
          <w:rStyle w:val="32"/>
          <w:rFonts w:ascii="Times New Roman" w:hAnsi="Times New Roman" w:eastAsia="黑体"/>
        </w:rPr>
        <w:t>%</w:t>
      </w:r>
      <w:r>
        <w:rPr>
          <w:rStyle w:val="32"/>
          <w:rFonts w:hint="eastAsia" w:ascii="Times New Roman" w:hAnsi="Times New Roman" w:eastAsia="黑体"/>
        </w:rPr>
        <w:t>。与</w:t>
      </w:r>
      <w:r>
        <w:rPr>
          <w:rStyle w:val="32"/>
          <w:rFonts w:ascii="Times New Roman" w:hAnsi="Times New Roman" w:eastAsia="黑体"/>
        </w:rPr>
        <w:t>20</w:t>
      </w:r>
      <w:r>
        <w:rPr>
          <w:rStyle w:val="32"/>
          <w:rFonts w:hint="eastAsia" w:ascii="Times New Roman" w:hAnsi="Times New Roman" w:eastAsia="黑体"/>
        </w:rPr>
        <w:t>23年相比，一般公共预算财政拨款支出减少</w:t>
      </w:r>
      <w:r>
        <w:rPr>
          <w:rStyle w:val="32"/>
          <w:rFonts w:hint="eastAsia" w:eastAsia="黑体"/>
          <w:lang w:val="en-US" w:eastAsia="zh-CN"/>
        </w:rPr>
        <w:t>12.8</w:t>
      </w:r>
      <w:r>
        <w:rPr>
          <w:rStyle w:val="32"/>
          <w:rFonts w:hint="eastAsia" w:ascii="Times New Roman" w:hAnsi="Times New Roman" w:eastAsia="黑体"/>
        </w:rPr>
        <w:t>万元。减少的主要原因是</w:t>
      </w:r>
      <w:r>
        <w:rPr>
          <w:rStyle w:val="32"/>
          <w:rFonts w:hint="eastAsia" w:eastAsia="黑体"/>
          <w:lang w:eastAsia="zh-CN"/>
        </w:rPr>
        <w:t>人员</w:t>
      </w:r>
      <w:r>
        <w:rPr>
          <w:rStyle w:val="32"/>
          <w:rFonts w:hint="eastAsia" w:ascii="Times New Roman" w:hAnsi="Times New Roman" w:eastAsia="黑体"/>
        </w:rPr>
        <w:t>减少。</w:t>
      </w:r>
    </w:p>
    <w:p>
      <w:pPr>
        <w:spacing w:line="600" w:lineRule="exact"/>
        <w:ind w:firstLine="640"/>
        <w:rPr>
          <w:rStyle w:val="32"/>
          <w:rFonts w:hint="eastAsia" w:ascii="Times New Roman" w:hAnsi="Times New Roman" w:eastAsia="黑体"/>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pStyle w:val="14"/>
        <w:rPr>
          <w:rFonts w:hint="eastAsia"/>
        </w:rPr>
      </w:pPr>
    </w:p>
    <w:p>
      <w:pPr>
        <w:snapToGrid w:val="0"/>
        <w:ind w:firstLine="632" w:firstLineChars="200"/>
        <w:rPr>
          <w:rFonts w:ascii="仿宋_GB2312" w:eastAsia="仿宋_GB2312"/>
          <w:color w:val="0000FF"/>
          <w:spacing w:val="-2"/>
          <w:sz w:val="32"/>
          <w:szCs w:val="32"/>
        </w:rPr>
      </w:pPr>
      <w:r>
        <w:rPr>
          <w:rFonts w:hint="eastAsia" w:ascii="仿宋_GB2312" w:eastAsia="仿宋_GB2312"/>
          <w:color w:val="0000FF"/>
          <w:spacing w:val="-2"/>
          <w:sz w:val="32"/>
          <w:szCs w:val="32"/>
        </w:rPr>
        <w:drawing>
          <wp:inline distT="0" distB="0" distL="114300" distR="114300">
            <wp:extent cx="5269865" cy="3195955"/>
            <wp:effectExtent l="0" t="0" r="6985" b="4445"/>
            <wp:docPr id="10" name="图片 1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1"/>
                    <pic:cNvPicPr>
                      <a:picLocks noChangeAspect="1"/>
                    </pic:cNvPicPr>
                  </pic:nvPicPr>
                  <pic:blipFill>
                    <a:blip r:embed="rId12" cstate="print"/>
                    <a:stretch>
                      <a:fillRect/>
                    </a:stretch>
                  </pic:blipFill>
                  <pic:spPr>
                    <a:xfrm>
                      <a:off x="0" y="0"/>
                      <a:ext cx="5269865" cy="3195955"/>
                    </a:xfrm>
                    <a:prstGeom prst="rect">
                      <a:avLst/>
                    </a:prstGeom>
                  </pic:spPr>
                </pic:pic>
              </a:graphicData>
            </a:graphic>
          </wp:inline>
        </w:drawing>
      </w:r>
    </w:p>
    <w:p>
      <w:pPr>
        <w:pStyle w:val="7"/>
        <w:ind w:left="420"/>
        <w:rPr>
          <w:rFonts w:hint="eastAsia"/>
        </w:rPr>
      </w:pPr>
    </w:p>
    <w:p>
      <w:pPr>
        <w:pStyle w:val="7"/>
        <w:ind w:left="420"/>
        <w:rPr>
          <w:rFonts w:hint="eastAsia"/>
        </w:rPr>
      </w:pPr>
    </w:p>
    <w:p>
      <w:pPr>
        <w:pStyle w:val="7"/>
        <w:ind w:left="420"/>
        <w:rPr>
          <w:rFonts w:hint="eastAsia"/>
        </w:rPr>
      </w:pPr>
    </w:p>
    <w:p>
      <w:pPr>
        <w:pStyle w:val="7"/>
        <w:ind w:left="420"/>
        <w:rPr>
          <w:rFonts w:hint="eastAsia"/>
        </w:rPr>
      </w:pPr>
    </w:p>
    <w:p>
      <w:pPr>
        <w:spacing w:line="600" w:lineRule="exact"/>
        <w:rPr>
          <w:rFonts w:eastAsia="仿宋_GB2312" w:cs="仿宋_GB2312"/>
          <w:sz w:val="32"/>
          <w:szCs w:val="32"/>
        </w:rPr>
      </w:pPr>
      <w:r>
        <w:rPr>
          <w:rFonts w:hint="eastAsia" w:eastAsia="仿宋_GB2312" w:cs="仿宋_GB2312"/>
          <w:sz w:val="32"/>
          <w:szCs w:val="32"/>
        </w:rPr>
        <w:t>（图5：一般公共预算财政拨款支出决算变动情况）（柱状图）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8" w:name="_Toc15377211"/>
      <w:r>
        <w:rPr>
          <w:rFonts w:hint="eastAsia" w:eastAsia="楷体_GB2312" w:cs="楷体_GB2312"/>
          <w:b/>
          <w:sz w:val="32"/>
          <w:szCs w:val="32"/>
        </w:rPr>
        <w:t>（二）一般公共预算财政拨款支出决算结构情况</w:t>
      </w:r>
      <w:bookmarkEnd w:id="48"/>
    </w:p>
    <w:p>
      <w:pPr>
        <w:spacing w:line="600" w:lineRule="exact"/>
        <w:ind w:firstLine="640"/>
        <w:rPr>
          <w:rFonts w:hint="eastAsia" w:ascii="仿宋" w:eastAsia="仿宋"/>
          <w:color w:val="000000" w:themeColor="text1"/>
          <w:sz w:val="32"/>
          <w:szCs w:val="32"/>
          <w:lang w:val="en-US" w:eastAsia="zh-CN"/>
        </w:rPr>
      </w:pPr>
      <w:r>
        <w:rPr>
          <w:rFonts w:ascii="仿宋" w:eastAsia="仿宋"/>
          <w:color w:val="000000" w:themeColor="text1"/>
          <w:sz w:val="32"/>
          <w:szCs w:val="32"/>
        </w:rPr>
        <w:t>202</w:t>
      </w:r>
      <w:r>
        <w:rPr>
          <w:rFonts w:hint="eastAsia" w:ascii="仿宋" w:eastAsia="仿宋"/>
          <w:color w:val="000000" w:themeColor="text1"/>
          <w:sz w:val="32"/>
          <w:szCs w:val="32"/>
        </w:rPr>
        <w:t>4年一般公共预算财政拨款支出</w:t>
      </w:r>
      <w:r>
        <w:rPr>
          <w:rFonts w:hint="eastAsia" w:ascii="仿宋_GB2312" w:eastAsia="仿宋_GB2312"/>
          <w:color w:val="000000" w:themeColor="text1"/>
          <w:spacing w:val="-2"/>
          <w:sz w:val="32"/>
          <w:szCs w:val="32"/>
          <w:lang w:val="en-US" w:eastAsia="zh-CN"/>
        </w:rPr>
        <w:t>275.42</w:t>
      </w:r>
      <w:r>
        <w:rPr>
          <w:rFonts w:hint="eastAsia" w:ascii="仿宋" w:eastAsia="仿宋"/>
          <w:color w:val="000000" w:themeColor="text1"/>
          <w:sz w:val="32"/>
          <w:szCs w:val="32"/>
        </w:rPr>
        <w:t>万元，主要用于以下方面:文化旅游体育与传媒支出</w:t>
      </w:r>
      <w:r>
        <w:rPr>
          <w:rFonts w:hint="eastAsia" w:ascii="仿宋" w:eastAsia="仿宋"/>
          <w:color w:val="000000" w:themeColor="text1"/>
          <w:sz w:val="32"/>
          <w:szCs w:val="32"/>
          <w:lang w:val="en-US" w:eastAsia="zh-CN"/>
        </w:rPr>
        <w:t>236.59</w:t>
      </w:r>
      <w:r>
        <w:rPr>
          <w:rFonts w:hint="eastAsia" w:ascii="仿宋" w:eastAsia="仿宋"/>
          <w:color w:val="000000" w:themeColor="text1"/>
          <w:sz w:val="32"/>
          <w:szCs w:val="32"/>
        </w:rPr>
        <w:t>万元，占</w:t>
      </w:r>
      <w:r>
        <w:rPr>
          <w:rFonts w:hint="eastAsia" w:ascii="仿宋" w:eastAsia="仿宋"/>
          <w:color w:val="000000" w:themeColor="text1"/>
          <w:sz w:val="32"/>
          <w:szCs w:val="32"/>
          <w:lang w:val="en-US" w:eastAsia="zh-CN"/>
        </w:rPr>
        <w:t>85.91</w:t>
      </w:r>
      <w:r>
        <w:rPr>
          <w:rFonts w:ascii="仿宋" w:eastAsia="仿宋"/>
          <w:color w:val="000000" w:themeColor="text1"/>
          <w:sz w:val="32"/>
          <w:szCs w:val="32"/>
        </w:rPr>
        <w:t>%</w:t>
      </w:r>
      <w:r>
        <w:rPr>
          <w:rFonts w:hint="eastAsia" w:ascii="仿宋" w:eastAsia="仿宋"/>
          <w:color w:val="000000" w:themeColor="text1"/>
          <w:sz w:val="32"/>
          <w:szCs w:val="32"/>
        </w:rPr>
        <w:t>；</w:t>
      </w:r>
      <w:r>
        <w:rPr>
          <w:rFonts w:hint="eastAsia" w:ascii="仿宋" w:eastAsia="仿宋"/>
          <w:b/>
          <w:color w:val="000000" w:themeColor="text1"/>
          <w:sz w:val="32"/>
          <w:szCs w:val="32"/>
        </w:rPr>
        <w:t>社会保障和就业</w:t>
      </w:r>
      <w:r>
        <w:rPr>
          <w:rFonts w:hint="eastAsia" w:ascii="仿宋" w:eastAsia="仿宋"/>
          <w:color w:val="000000" w:themeColor="text1"/>
          <w:sz w:val="32"/>
          <w:szCs w:val="32"/>
        </w:rPr>
        <w:t>支出</w:t>
      </w:r>
      <w:r>
        <w:rPr>
          <w:rFonts w:hint="eastAsia" w:ascii="仿宋" w:eastAsia="仿宋"/>
          <w:color w:val="000000" w:themeColor="text1"/>
          <w:sz w:val="32"/>
          <w:szCs w:val="32"/>
          <w:lang w:val="en-US" w:eastAsia="zh-CN"/>
        </w:rPr>
        <w:t>19.95</w:t>
      </w:r>
      <w:r>
        <w:rPr>
          <w:rFonts w:hint="eastAsia" w:ascii="仿宋" w:eastAsia="仿宋"/>
          <w:color w:val="000000" w:themeColor="text1"/>
          <w:sz w:val="32"/>
          <w:szCs w:val="32"/>
        </w:rPr>
        <w:t>万元，占</w:t>
      </w:r>
      <w:r>
        <w:rPr>
          <w:rFonts w:hint="eastAsia" w:ascii="仿宋" w:eastAsia="仿宋"/>
          <w:color w:val="000000" w:themeColor="text1"/>
          <w:sz w:val="32"/>
          <w:szCs w:val="32"/>
          <w:lang w:val="en-US" w:eastAsia="zh-CN"/>
        </w:rPr>
        <w:t>7.24</w:t>
      </w:r>
      <w:r>
        <w:rPr>
          <w:rFonts w:hint="eastAsia" w:ascii="仿宋" w:eastAsia="仿宋"/>
          <w:color w:val="000000" w:themeColor="text1"/>
          <w:sz w:val="32"/>
          <w:szCs w:val="32"/>
        </w:rPr>
        <w:t xml:space="preserve"> </w:t>
      </w:r>
      <w:r>
        <w:rPr>
          <w:rFonts w:ascii="仿宋" w:eastAsia="仿宋"/>
          <w:color w:val="000000" w:themeColor="text1"/>
          <w:sz w:val="32"/>
          <w:szCs w:val="32"/>
        </w:rPr>
        <w:t>%</w:t>
      </w:r>
      <w:r>
        <w:rPr>
          <w:rFonts w:hint="eastAsia" w:ascii="仿宋" w:eastAsia="仿宋"/>
          <w:color w:val="000000" w:themeColor="text1"/>
          <w:sz w:val="32"/>
          <w:szCs w:val="32"/>
        </w:rPr>
        <w:t>；</w:t>
      </w:r>
      <w:r>
        <w:rPr>
          <w:rFonts w:hint="eastAsia" w:ascii="仿宋" w:eastAsia="仿宋"/>
          <w:b/>
          <w:bCs/>
          <w:color w:val="000000" w:themeColor="text1"/>
          <w:sz w:val="32"/>
          <w:szCs w:val="32"/>
        </w:rPr>
        <w:t>卫生健康支出</w:t>
      </w:r>
      <w:r>
        <w:rPr>
          <w:rFonts w:hint="eastAsia" w:ascii="仿宋" w:eastAsia="仿宋"/>
          <w:color w:val="000000" w:themeColor="text1"/>
          <w:sz w:val="32"/>
          <w:szCs w:val="32"/>
          <w:lang w:val="en-US" w:eastAsia="zh-CN"/>
        </w:rPr>
        <w:t>7.32</w:t>
      </w:r>
      <w:r>
        <w:rPr>
          <w:rFonts w:hint="eastAsia" w:ascii="仿宋" w:eastAsia="仿宋"/>
          <w:color w:val="000000" w:themeColor="text1"/>
          <w:sz w:val="32"/>
          <w:szCs w:val="32"/>
        </w:rPr>
        <w:t>万元，占</w:t>
      </w:r>
      <w:r>
        <w:rPr>
          <w:rFonts w:hint="eastAsia" w:ascii="仿宋" w:eastAsia="仿宋"/>
          <w:color w:val="000000" w:themeColor="text1"/>
          <w:sz w:val="32"/>
          <w:szCs w:val="32"/>
          <w:lang w:val="en-US" w:eastAsia="zh-CN"/>
        </w:rPr>
        <w:t>2.65</w:t>
      </w:r>
      <w:r>
        <w:rPr>
          <w:rFonts w:ascii="仿宋" w:eastAsia="仿宋"/>
          <w:color w:val="000000" w:themeColor="text1"/>
          <w:sz w:val="32"/>
          <w:szCs w:val="32"/>
        </w:rPr>
        <w:t>%</w:t>
      </w:r>
      <w:r>
        <w:rPr>
          <w:rFonts w:hint="eastAsia" w:ascii="仿宋" w:eastAsia="仿宋"/>
          <w:color w:val="000000" w:themeColor="text1"/>
          <w:sz w:val="32"/>
          <w:szCs w:val="32"/>
        </w:rPr>
        <w:t>；</w:t>
      </w:r>
      <w:r>
        <w:rPr>
          <w:rFonts w:hint="eastAsia" w:ascii="仿宋" w:eastAsia="仿宋"/>
          <w:b/>
          <w:bCs/>
          <w:color w:val="000000" w:themeColor="text1"/>
          <w:sz w:val="32"/>
          <w:szCs w:val="32"/>
        </w:rPr>
        <w:t>住房保障支出</w:t>
      </w:r>
      <w:r>
        <w:rPr>
          <w:rFonts w:hint="eastAsia" w:ascii="仿宋" w:eastAsia="仿宋"/>
          <w:color w:val="000000" w:themeColor="text1"/>
          <w:sz w:val="32"/>
          <w:szCs w:val="32"/>
          <w:lang w:val="en-US" w:eastAsia="zh-CN"/>
        </w:rPr>
        <w:t>11.56</w:t>
      </w:r>
      <w:r>
        <w:rPr>
          <w:rFonts w:hint="eastAsia" w:ascii="仿宋" w:eastAsia="仿宋"/>
          <w:color w:val="000000" w:themeColor="text1"/>
          <w:sz w:val="32"/>
          <w:szCs w:val="32"/>
        </w:rPr>
        <w:t>万元，占</w:t>
      </w:r>
      <w:r>
        <w:rPr>
          <w:rFonts w:hint="eastAsia" w:ascii="仿宋" w:eastAsia="仿宋"/>
          <w:color w:val="000000" w:themeColor="text1"/>
          <w:sz w:val="32"/>
          <w:szCs w:val="32"/>
          <w:lang w:val="en-US" w:eastAsia="zh-CN"/>
        </w:rPr>
        <w:t>4.2</w:t>
      </w:r>
      <w:r>
        <w:rPr>
          <w:rFonts w:ascii="仿宋" w:eastAsia="仿宋"/>
          <w:color w:val="000000" w:themeColor="text1"/>
          <w:sz w:val="32"/>
          <w:szCs w:val="32"/>
        </w:rPr>
        <w:t>%</w:t>
      </w:r>
      <w:r>
        <w:rPr>
          <w:rFonts w:hint="eastAsia" w:ascii="仿宋" w:eastAsia="仿宋"/>
          <w:color w:val="000000" w:themeColor="text1"/>
          <w:sz w:val="32"/>
          <w:szCs w:val="32"/>
        </w:rPr>
        <w:t>。</w:t>
      </w:r>
    </w:p>
    <w:p>
      <w:pPr>
        <w:spacing w:line="600" w:lineRule="exact"/>
        <w:ind w:firstLine="640"/>
        <w:rPr>
          <w:rFonts w:hint="eastAsia" w:ascii="仿宋" w:eastAsia="仿宋"/>
          <w:color w:val="000000" w:themeColor="text1"/>
          <w:sz w:val="32"/>
          <w:szCs w:val="32"/>
        </w:rPr>
      </w:pPr>
    </w:p>
    <w:p>
      <w:pPr>
        <w:spacing w:line="600" w:lineRule="exact"/>
        <w:ind w:firstLine="640"/>
        <w:rPr>
          <w:rFonts w:hint="eastAsia" w:eastAsia="仿宋_GB2312" w:cs="仿宋_GB2312"/>
          <w:sz w:val="32"/>
          <w:szCs w:val="32"/>
        </w:rPr>
      </w:pPr>
      <w:r>
        <w:rPr>
          <w:rFonts w:hint="eastAsia" w:eastAsia="仿宋_GB2312" w:cs="仿宋_GB2312"/>
          <w:sz w:val="32"/>
          <w:szCs w:val="32"/>
        </w:rPr>
        <w:drawing>
          <wp:anchor distT="0" distB="0" distL="114300" distR="114300" simplePos="0" relativeHeight="251659264" behindDoc="1" locked="0" layoutInCell="1" allowOverlap="1">
            <wp:simplePos x="0" y="0"/>
            <wp:positionH relativeFrom="column">
              <wp:posOffset>394335</wp:posOffset>
            </wp:positionH>
            <wp:positionV relativeFrom="paragraph">
              <wp:posOffset>302260</wp:posOffset>
            </wp:positionV>
            <wp:extent cx="4824095" cy="2644140"/>
            <wp:effectExtent l="19050" t="0" r="14743" b="3975"/>
            <wp:wrapNone/>
            <wp:docPr id="1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rPr>
          <w:rFonts w:hint="eastAsia" w:eastAsia="仿宋_GB2312" w:cs="仿宋_GB2312"/>
          <w:sz w:val="32"/>
          <w:szCs w:val="32"/>
        </w:rPr>
      </w:pPr>
    </w:p>
    <w:p>
      <w:pPr>
        <w:spacing w:line="600" w:lineRule="exact"/>
        <w:rPr>
          <w:rFonts w:hint="eastAsia" w:eastAsia="仿宋_GB2312" w:cs="仿宋_GB2312"/>
          <w:sz w:val="32"/>
          <w:szCs w:val="32"/>
        </w:rPr>
      </w:pPr>
    </w:p>
    <w:p>
      <w:pPr>
        <w:spacing w:line="600" w:lineRule="exact"/>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3" w:firstLineChars="200"/>
        <w:outlineLvl w:val="2"/>
        <w:rPr>
          <w:rFonts w:hint="eastAsia" w:eastAsia="楷体_GB2312" w:cs="楷体_GB2312"/>
          <w:b/>
          <w:sz w:val="32"/>
          <w:szCs w:val="32"/>
        </w:rPr>
      </w:pPr>
      <w:bookmarkStart w:id="49" w:name="_Toc15377212"/>
    </w:p>
    <w:bookmarkEnd w:id="49"/>
    <w:p>
      <w:pPr>
        <w:numPr>
          <w:ilvl w:val="0"/>
          <w:numId w:val="1"/>
        </w:numPr>
        <w:spacing w:line="600" w:lineRule="exact"/>
        <w:ind w:firstLine="643" w:firstLineChars="200"/>
        <w:outlineLvl w:val="2"/>
        <w:rPr>
          <w:rFonts w:ascii="仿宋" w:eastAsia="仿宋"/>
          <w:b/>
          <w:color w:val="000000" w:themeColor="text1"/>
          <w:sz w:val="32"/>
          <w:szCs w:val="32"/>
        </w:rPr>
      </w:pPr>
      <w:bookmarkStart w:id="50" w:name="_Toc15377214"/>
      <w:bookmarkStart w:id="51" w:name="_Toc15396608"/>
      <w:r>
        <w:rPr>
          <w:rFonts w:hint="eastAsia" w:eastAsia="楷体_GB2312" w:cs="楷体_GB2312"/>
          <w:b/>
          <w:color w:val="000000" w:themeColor="text1"/>
          <w:sz w:val="32"/>
          <w:szCs w:val="32"/>
        </w:rPr>
        <w:t>一般公共预算财政拨款支出决算具体情况</w:t>
      </w:r>
    </w:p>
    <w:p>
      <w:pPr>
        <w:spacing w:line="600" w:lineRule="exact"/>
        <w:outlineLvl w:val="2"/>
        <w:rPr>
          <w:rFonts w:ascii="仿宋" w:eastAsia="仿宋"/>
          <w:bCs/>
          <w:color w:val="000000" w:themeColor="text1"/>
          <w:sz w:val="32"/>
          <w:szCs w:val="32"/>
        </w:rPr>
      </w:pPr>
      <w:r>
        <w:rPr>
          <w:rFonts w:hint="eastAsia" w:ascii="仿宋" w:eastAsia="仿宋"/>
          <w:bCs/>
          <w:color w:val="000000" w:themeColor="text1"/>
          <w:sz w:val="32"/>
          <w:szCs w:val="32"/>
        </w:rPr>
        <w:t xml:space="preserve">    </w:t>
      </w:r>
      <w:r>
        <w:rPr>
          <w:rFonts w:ascii="仿宋" w:eastAsia="仿宋"/>
          <w:bCs/>
          <w:color w:val="000000" w:themeColor="text1"/>
          <w:sz w:val="32"/>
          <w:szCs w:val="32"/>
        </w:rPr>
        <w:t>202</w:t>
      </w:r>
      <w:r>
        <w:rPr>
          <w:rFonts w:hint="eastAsia" w:ascii="仿宋" w:eastAsia="仿宋"/>
          <w:bCs/>
          <w:color w:val="000000" w:themeColor="text1"/>
          <w:sz w:val="32"/>
          <w:szCs w:val="32"/>
          <w:lang w:val="en-US" w:eastAsia="zh-CN"/>
        </w:rPr>
        <w:t>4</w:t>
      </w:r>
      <w:r>
        <w:rPr>
          <w:rFonts w:hint="eastAsia" w:ascii="仿宋" w:eastAsia="仿宋"/>
          <w:bCs/>
          <w:color w:val="000000" w:themeColor="text1"/>
          <w:sz w:val="32"/>
          <w:szCs w:val="32"/>
        </w:rPr>
        <w:t>年一般公共预算数为</w:t>
      </w:r>
      <w:r>
        <w:rPr>
          <w:rFonts w:hint="eastAsia" w:ascii="仿宋_GB2312" w:eastAsia="仿宋_GB2312"/>
          <w:color w:val="000000" w:themeColor="text1"/>
          <w:spacing w:val="-2"/>
          <w:sz w:val="32"/>
          <w:szCs w:val="32"/>
          <w:lang w:val="en-US" w:eastAsia="zh-CN"/>
        </w:rPr>
        <w:t>275.42</w:t>
      </w:r>
      <w:r>
        <w:rPr>
          <w:rFonts w:hint="eastAsia" w:ascii="仿宋" w:eastAsia="仿宋"/>
          <w:bCs/>
          <w:color w:val="000000" w:themeColor="text1"/>
          <w:sz w:val="32"/>
          <w:szCs w:val="32"/>
        </w:rPr>
        <w:t>万元，支出决算数为</w:t>
      </w:r>
      <w:r>
        <w:rPr>
          <w:rFonts w:hint="eastAsia" w:ascii="仿宋" w:eastAsia="仿宋"/>
          <w:bCs/>
          <w:color w:val="000000" w:themeColor="text1"/>
          <w:sz w:val="32"/>
          <w:szCs w:val="32"/>
          <w:lang w:val="en-US" w:eastAsia="zh-CN"/>
        </w:rPr>
        <w:t>275.42</w:t>
      </w:r>
      <w:r>
        <w:rPr>
          <w:rFonts w:hint="eastAsia" w:ascii="仿宋" w:eastAsia="仿宋"/>
          <w:bCs/>
          <w:color w:val="000000" w:themeColor="text1"/>
          <w:sz w:val="32"/>
          <w:szCs w:val="32"/>
        </w:rPr>
        <w:t>万元，完</w:t>
      </w:r>
      <w:r>
        <w:rPr>
          <w:rStyle w:val="20"/>
          <w:rFonts w:hint="eastAsia" w:ascii="仿宋" w:eastAsia="仿宋"/>
          <w:b w:val="0"/>
          <w:bCs/>
          <w:color w:val="000000" w:themeColor="text1"/>
          <w:sz w:val="32"/>
          <w:szCs w:val="32"/>
        </w:rPr>
        <w:t>成预算100</w:t>
      </w:r>
      <w:r>
        <w:rPr>
          <w:rStyle w:val="20"/>
          <w:rFonts w:ascii="仿宋" w:eastAsia="仿宋"/>
          <w:b w:val="0"/>
          <w:bCs/>
          <w:color w:val="000000" w:themeColor="text1"/>
          <w:sz w:val="32"/>
          <w:szCs w:val="32"/>
        </w:rPr>
        <w:t>%</w:t>
      </w:r>
      <w:r>
        <w:rPr>
          <w:rStyle w:val="20"/>
          <w:rFonts w:hint="eastAsia" w:ascii="仿宋" w:eastAsia="仿宋"/>
          <w:b w:val="0"/>
          <w:bCs/>
          <w:color w:val="000000" w:themeColor="text1"/>
          <w:sz w:val="32"/>
          <w:szCs w:val="32"/>
        </w:rPr>
        <w:t>。其中：</w:t>
      </w:r>
    </w:p>
    <w:p>
      <w:pPr>
        <w:numPr>
          <w:ilvl w:val="0"/>
          <w:numId w:val="2"/>
        </w:numPr>
        <w:spacing w:line="600" w:lineRule="exact"/>
        <w:ind w:firstLine="643" w:firstLineChars="200"/>
        <w:rPr>
          <w:rStyle w:val="20"/>
          <w:rFonts w:ascii="仿宋" w:eastAsia="仿宋"/>
          <w:b w:val="0"/>
          <w:bCs/>
          <w:color w:val="000000" w:themeColor="text1"/>
          <w:sz w:val="32"/>
          <w:szCs w:val="32"/>
        </w:rPr>
      </w:pPr>
      <w:r>
        <w:rPr>
          <w:rStyle w:val="20"/>
          <w:rFonts w:hint="eastAsia" w:ascii="仿宋" w:eastAsia="仿宋"/>
          <w:bCs/>
          <w:color w:val="000000" w:themeColor="text1"/>
          <w:sz w:val="32"/>
          <w:szCs w:val="32"/>
        </w:rPr>
        <w:t>一般公共服务</w:t>
      </w:r>
      <w:r>
        <w:rPr>
          <w:rStyle w:val="20"/>
          <w:rFonts w:ascii="仿宋" w:eastAsia="仿宋"/>
          <w:bCs/>
          <w:color w:val="000000" w:themeColor="text1"/>
          <w:sz w:val="32"/>
          <w:szCs w:val="32"/>
        </w:rPr>
        <w:t>:</w:t>
      </w:r>
      <w:r>
        <w:rPr>
          <w:rStyle w:val="20"/>
          <w:rFonts w:ascii="仿宋" w:eastAsia="仿宋"/>
          <w:b w:val="0"/>
          <w:bCs/>
          <w:color w:val="000000" w:themeColor="text1"/>
          <w:sz w:val="32"/>
          <w:szCs w:val="32"/>
        </w:rPr>
        <w:t xml:space="preserve"> </w:t>
      </w:r>
      <w:r>
        <w:rPr>
          <w:rFonts w:hint="eastAsia" w:ascii="仿宋" w:eastAsia="仿宋"/>
          <w:color w:val="000000" w:themeColor="text1"/>
          <w:sz w:val="32"/>
          <w:szCs w:val="32"/>
        </w:rPr>
        <w:t>文化旅游体育与传媒支出</w:t>
      </w:r>
      <w:r>
        <w:rPr>
          <w:rFonts w:hint="eastAsia" w:ascii="仿宋" w:eastAsia="仿宋"/>
          <w:color w:val="000000" w:themeColor="text1"/>
          <w:sz w:val="32"/>
          <w:szCs w:val="32"/>
          <w:lang w:val="en-US" w:eastAsia="zh-CN"/>
        </w:rPr>
        <w:t>236.59</w:t>
      </w:r>
      <w:r>
        <w:rPr>
          <w:rFonts w:hint="eastAsia" w:ascii="仿宋" w:eastAsia="仿宋"/>
          <w:color w:val="000000" w:themeColor="text1"/>
          <w:sz w:val="32"/>
          <w:szCs w:val="32"/>
        </w:rPr>
        <w:t>万元,</w:t>
      </w:r>
      <w:r>
        <w:rPr>
          <w:rStyle w:val="20"/>
          <w:rFonts w:hint="eastAsia" w:ascii="仿宋" w:eastAsia="仿宋"/>
          <w:b w:val="0"/>
          <w:bCs/>
          <w:color w:val="000000" w:themeColor="text1"/>
          <w:sz w:val="32"/>
          <w:szCs w:val="32"/>
        </w:rPr>
        <w:t>完成预算100</w:t>
      </w:r>
      <w:r>
        <w:rPr>
          <w:rStyle w:val="20"/>
          <w:rFonts w:ascii="仿宋" w:eastAsia="仿宋"/>
          <w:b w:val="0"/>
          <w:bCs/>
          <w:color w:val="000000" w:themeColor="text1"/>
          <w:sz w:val="32"/>
          <w:szCs w:val="32"/>
        </w:rPr>
        <w:t>%</w:t>
      </w:r>
      <w:r>
        <w:rPr>
          <w:rStyle w:val="20"/>
          <w:rFonts w:hint="eastAsia" w:ascii="仿宋" w:eastAsia="仿宋"/>
          <w:b w:val="0"/>
          <w:bCs/>
          <w:color w:val="000000" w:themeColor="text1"/>
          <w:sz w:val="32"/>
          <w:szCs w:val="32"/>
        </w:rPr>
        <w:t>.</w:t>
      </w:r>
    </w:p>
    <w:p>
      <w:pPr>
        <w:numPr>
          <w:ilvl w:val="0"/>
          <w:numId w:val="2"/>
        </w:numPr>
        <w:spacing w:line="600" w:lineRule="exact"/>
        <w:ind w:firstLine="643" w:firstLineChars="200"/>
        <w:rPr>
          <w:rStyle w:val="20"/>
          <w:rFonts w:ascii="仿宋" w:eastAsia="仿宋"/>
          <w:b w:val="0"/>
          <w:bCs/>
          <w:color w:val="000000" w:themeColor="text1"/>
          <w:sz w:val="32"/>
          <w:szCs w:val="32"/>
        </w:rPr>
      </w:pPr>
      <w:r>
        <w:rPr>
          <w:rFonts w:hint="eastAsia" w:ascii="仿宋" w:eastAsia="仿宋"/>
          <w:b/>
          <w:color w:val="000000" w:themeColor="text1"/>
          <w:sz w:val="32"/>
          <w:szCs w:val="32"/>
        </w:rPr>
        <w:t>社会保障和就业</w:t>
      </w:r>
      <w:r>
        <w:rPr>
          <w:rFonts w:hint="eastAsia" w:ascii="仿宋" w:eastAsia="仿宋"/>
          <w:color w:val="000000" w:themeColor="text1"/>
          <w:sz w:val="32"/>
          <w:szCs w:val="32"/>
        </w:rPr>
        <w:t>支出</w:t>
      </w:r>
      <w:r>
        <w:rPr>
          <w:rFonts w:hint="eastAsia" w:ascii="仿宋" w:eastAsia="仿宋"/>
          <w:color w:val="000000" w:themeColor="text1"/>
          <w:sz w:val="32"/>
          <w:szCs w:val="32"/>
          <w:lang w:val="en-US" w:eastAsia="zh-CN"/>
        </w:rPr>
        <w:t>19.95</w:t>
      </w:r>
      <w:r>
        <w:rPr>
          <w:rFonts w:hint="eastAsia" w:ascii="仿宋" w:eastAsia="仿宋"/>
          <w:color w:val="000000" w:themeColor="text1"/>
          <w:sz w:val="32"/>
          <w:szCs w:val="32"/>
        </w:rPr>
        <w:t>万元，</w:t>
      </w:r>
      <w:r>
        <w:rPr>
          <w:rStyle w:val="20"/>
          <w:rFonts w:hint="eastAsia" w:ascii="仿宋" w:eastAsia="仿宋"/>
          <w:b w:val="0"/>
          <w:bCs/>
          <w:color w:val="000000" w:themeColor="text1"/>
          <w:sz w:val="32"/>
          <w:szCs w:val="32"/>
        </w:rPr>
        <w:t>完成预算100</w:t>
      </w:r>
      <w:r>
        <w:rPr>
          <w:rStyle w:val="20"/>
          <w:rFonts w:ascii="仿宋" w:eastAsia="仿宋"/>
          <w:b w:val="0"/>
          <w:bCs/>
          <w:color w:val="000000" w:themeColor="text1"/>
          <w:sz w:val="32"/>
          <w:szCs w:val="32"/>
        </w:rPr>
        <w:t>%</w:t>
      </w:r>
      <w:r>
        <w:rPr>
          <w:rStyle w:val="20"/>
          <w:rFonts w:hint="eastAsia" w:ascii="仿宋" w:eastAsia="仿宋"/>
          <w:b w:val="0"/>
          <w:bCs/>
          <w:color w:val="000000" w:themeColor="text1"/>
          <w:sz w:val="32"/>
          <w:szCs w:val="32"/>
        </w:rPr>
        <w:t xml:space="preserve">。            </w:t>
      </w:r>
    </w:p>
    <w:p>
      <w:pPr>
        <w:numPr>
          <w:ilvl w:val="0"/>
          <w:numId w:val="2"/>
        </w:numPr>
        <w:spacing w:line="600" w:lineRule="exact"/>
        <w:ind w:firstLine="643" w:firstLineChars="200"/>
        <w:rPr>
          <w:rStyle w:val="20"/>
          <w:rFonts w:ascii="仿宋" w:eastAsia="仿宋"/>
          <w:b w:val="0"/>
          <w:bCs/>
          <w:color w:val="000000" w:themeColor="text1"/>
          <w:sz w:val="32"/>
          <w:szCs w:val="32"/>
        </w:rPr>
      </w:pPr>
      <w:r>
        <w:rPr>
          <w:rFonts w:hint="eastAsia" w:ascii="仿宋" w:eastAsia="仿宋"/>
          <w:b/>
          <w:bCs/>
          <w:color w:val="000000" w:themeColor="text1"/>
          <w:sz w:val="32"/>
          <w:szCs w:val="32"/>
        </w:rPr>
        <w:t>卫生健康支出</w:t>
      </w:r>
      <w:r>
        <w:rPr>
          <w:rFonts w:hint="eastAsia" w:ascii="仿宋" w:eastAsia="仿宋"/>
          <w:color w:val="000000" w:themeColor="text1"/>
          <w:sz w:val="32"/>
          <w:szCs w:val="32"/>
          <w:lang w:val="en-US" w:eastAsia="zh-CN"/>
        </w:rPr>
        <w:t>7.32</w:t>
      </w:r>
      <w:r>
        <w:rPr>
          <w:rFonts w:hint="eastAsia" w:ascii="仿宋" w:eastAsia="仿宋"/>
          <w:color w:val="000000" w:themeColor="text1"/>
          <w:sz w:val="32"/>
          <w:szCs w:val="32"/>
        </w:rPr>
        <w:t>万元，</w:t>
      </w:r>
      <w:r>
        <w:rPr>
          <w:rStyle w:val="20"/>
          <w:rFonts w:hint="eastAsia" w:ascii="仿宋" w:eastAsia="仿宋"/>
          <w:b w:val="0"/>
          <w:bCs/>
          <w:color w:val="000000" w:themeColor="text1"/>
          <w:sz w:val="32"/>
          <w:szCs w:val="32"/>
        </w:rPr>
        <w:t>完成预算100</w:t>
      </w:r>
      <w:r>
        <w:rPr>
          <w:rStyle w:val="20"/>
          <w:rFonts w:ascii="仿宋" w:eastAsia="仿宋"/>
          <w:b w:val="0"/>
          <w:bCs/>
          <w:color w:val="000000" w:themeColor="text1"/>
          <w:sz w:val="32"/>
          <w:szCs w:val="32"/>
        </w:rPr>
        <w:t>%</w:t>
      </w:r>
      <w:r>
        <w:rPr>
          <w:rStyle w:val="20"/>
          <w:rFonts w:hint="eastAsia" w:ascii="仿宋" w:eastAsia="仿宋"/>
          <w:b w:val="0"/>
          <w:bCs/>
          <w:color w:val="000000" w:themeColor="text1"/>
          <w:sz w:val="32"/>
          <w:szCs w:val="32"/>
        </w:rPr>
        <w:t>.</w:t>
      </w:r>
    </w:p>
    <w:p>
      <w:pPr>
        <w:numPr>
          <w:ilvl w:val="0"/>
          <w:numId w:val="0"/>
        </w:numPr>
        <w:spacing w:line="600" w:lineRule="exact"/>
        <w:ind w:firstLine="643" w:firstLineChars="200"/>
        <w:rPr>
          <w:rStyle w:val="20"/>
          <w:rFonts w:ascii="仿宋" w:eastAsia="仿宋"/>
          <w:b w:val="0"/>
          <w:bCs/>
          <w:color w:val="000000" w:themeColor="text1"/>
          <w:sz w:val="32"/>
          <w:szCs w:val="32"/>
        </w:rPr>
      </w:pPr>
      <w:r>
        <w:rPr>
          <w:rFonts w:hint="eastAsia" w:ascii="仿宋" w:eastAsia="仿宋"/>
          <w:b/>
          <w:bCs/>
          <w:color w:val="000000" w:themeColor="text1"/>
          <w:sz w:val="32"/>
          <w:szCs w:val="32"/>
          <w:lang w:val="en-US" w:eastAsia="zh-CN"/>
        </w:rPr>
        <w:t>4.</w:t>
      </w:r>
      <w:r>
        <w:rPr>
          <w:rFonts w:hint="eastAsia" w:ascii="仿宋" w:eastAsia="仿宋"/>
          <w:b/>
          <w:bCs/>
          <w:color w:val="000000" w:themeColor="text1"/>
          <w:sz w:val="32"/>
          <w:szCs w:val="32"/>
        </w:rPr>
        <w:t>住房保障支出</w:t>
      </w:r>
      <w:r>
        <w:rPr>
          <w:rFonts w:hint="eastAsia" w:ascii="仿宋" w:eastAsia="仿宋"/>
          <w:color w:val="000000" w:themeColor="text1"/>
          <w:sz w:val="32"/>
          <w:szCs w:val="32"/>
          <w:lang w:val="en-US" w:eastAsia="zh-CN"/>
        </w:rPr>
        <w:t>10.36</w:t>
      </w:r>
      <w:r>
        <w:rPr>
          <w:rFonts w:hint="eastAsia" w:ascii="仿宋" w:eastAsia="仿宋"/>
          <w:color w:val="000000" w:themeColor="text1"/>
          <w:sz w:val="32"/>
          <w:szCs w:val="32"/>
        </w:rPr>
        <w:t>万元，</w:t>
      </w:r>
      <w:r>
        <w:rPr>
          <w:rStyle w:val="20"/>
          <w:rFonts w:hint="eastAsia" w:ascii="仿宋" w:eastAsia="仿宋"/>
          <w:b w:val="0"/>
          <w:bCs/>
          <w:color w:val="000000" w:themeColor="text1"/>
          <w:sz w:val="32"/>
          <w:szCs w:val="32"/>
        </w:rPr>
        <w:t>完成预算100</w:t>
      </w:r>
      <w:r>
        <w:rPr>
          <w:rStyle w:val="20"/>
          <w:rFonts w:ascii="仿宋" w:eastAsia="仿宋"/>
          <w:b w:val="0"/>
          <w:bCs/>
          <w:color w:val="000000" w:themeColor="text1"/>
          <w:sz w:val="32"/>
          <w:szCs w:val="32"/>
        </w:rPr>
        <w:t>%</w:t>
      </w:r>
      <w:r>
        <w:rPr>
          <w:rStyle w:val="20"/>
          <w:rFonts w:hint="eastAsia" w:ascii="仿宋" w:eastAsia="仿宋"/>
          <w:b w:val="0"/>
          <w:bCs/>
          <w:color w:val="000000" w:themeColor="text1"/>
          <w:sz w:val="32"/>
          <w:szCs w:val="32"/>
        </w:rPr>
        <w:t>.</w:t>
      </w:r>
    </w:p>
    <w:p>
      <w:pPr>
        <w:numPr>
          <w:ilvl w:val="0"/>
          <w:numId w:val="0"/>
        </w:numPr>
        <w:spacing w:line="600" w:lineRule="exact"/>
        <w:outlineLvl w:val="2"/>
        <w:rPr>
          <w:rFonts w:hint="eastAsia" w:eastAsia="楷体_GB2312" w:cs="楷体_GB2312"/>
          <w:b/>
          <w:sz w:val="32"/>
          <w:szCs w:val="32"/>
          <w:lang w:val="en-US" w:eastAsia="zh-CN"/>
        </w:rPr>
      </w:pPr>
    </w:p>
    <w:p>
      <w:pPr>
        <w:numPr>
          <w:ilvl w:val="0"/>
          <w:numId w:val="0"/>
        </w:numPr>
        <w:spacing w:line="600" w:lineRule="exact"/>
        <w:outlineLvl w:val="2"/>
        <w:rPr>
          <w:rFonts w:hint="eastAsia" w:eastAsia="楷体_GB2312" w:cs="楷体_GB2312"/>
          <w:b/>
          <w:sz w:val="32"/>
          <w:szCs w:val="32"/>
        </w:rPr>
      </w:pPr>
    </w:p>
    <w:p>
      <w:pPr>
        <w:tabs>
          <w:tab w:val="right" w:pos="8306"/>
        </w:tabs>
        <w:spacing w:line="600" w:lineRule="exact"/>
        <w:ind w:firstLine="640"/>
        <w:outlineLvl w:val="1"/>
        <w:rPr>
          <w:rStyle w:val="32"/>
          <w:rFonts w:ascii="Times New Roman" w:hAnsi="Times New Roman"/>
        </w:rPr>
      </w:pPr>
      <w:r>
        <w:rPr>
          <w:rFonts w:hint="eastAsia" w:eastAsia="黑体"/>
          <w:sz w:val="32"/>
          <w:szCs w:val="32"/>
        </w:rPr>
        <w:t>六</w:t>
      </w:r>
      <w:r>
        <w:rPr>
          <w:rFonts w:hint="eastAsia" w:eastAsia="黑体"/>
          <w:b/>
          <w:sz w:val="32"/>
          <w:szCs w:val="32"/>
        </w:rPr>
        <w:t>、一</w:t>
      </w:r>
      <w:r>
        <w:rPr>
          <w:rStyle w:val="32"/>
          <w:rFonts w:hint="eastAsia" w:ascii="Times New Roman" w:hAnsi="Times New Roman" w:eastAsia="黑体"/>
          <w:b w:val="0"/>
        </w:rPr>
        <w:t>般公共预算财政拨款基本支出决算情况说明</w:t>
      </w:r>
      <w:bookmarkEnd w:id="50"/>
      <w:bookmarkEnd w:id="51"/>
      <w:r>
        <w:rPr>
          <w:rStyle w:val="32"/>
          <w:rFonts w:ascii="Times New Roman" w:hAnsi="Times New Roman" w:eastAsia="黑体"/>
          <w:b w:val="0"/>
        </w:rPr>
        <w:tab/>
      </w:r>
    </w:p>
    <w:p>
      <w:pPr>
        <w:spacing w:line="600" w:lineRule="exact"/>
        <w:ind w:firstLine="645"/>
        <w:rPr>
          <w:rFonts w:ascii="仿宋" w:eastAsia="仿宋"/>
          <w:color w:val="auto"/>
          <w:sz w:val="32"/>
          <w:szCs w:val="32"/>
        </w:rPr>
      </w:pPr>
      <w:r>
        <w:rPr>
          <w:rFonts w:ascii="仿宋" w:eastAsia="仿宋"/>
          <w:color w:val="auto"/>
          <w:sz w:val="32"/>
          <w:szCs w:val="32"/>
        </w:rPr>
        <w:t>20</w:t>
      </w:r>
      <w:r>
        <w:rPr>
          <w:rFonts w:hint="eastAsia" w:ascii="仿宋" w:eastAsia="仿宋"/>
          <w:color w:val="auto"/>
          <w:sz w:val="32"/>
          <w:szCs w:val="32"/>
        </w:rPr>
        <w:t>24年一般公共预算财政拨款基本支出275.42万元，其中：</w:t>
      </w:r>
    </w:p>
    <w:p>
      <w:pPr>
        <w:spacing w:line="600" w:lineRule="exact"/>
        <w:ind w:firstLine="645"/>
        <w:rPr>
          <w:rFonts w:ascii="仿宋" w:eastAsia="仿宋"/>
          <w:color w:val="auto"/>
          <w:sz w:val="32"/>
          <w:szCs w:val="32"/>
        </w:rPr>
      </w:pPr>
      <w:r>
        <w:rPr>
          <w:rFonts w:hint="eastAsia" w:ascii="仿宋" w:eastAsia="仿宋"/>
          <w:color w:val="auto"/>
          <w:sz w:val="32"/>
          <w:szCs w:val="32"/>
        </w:rPr>
        <w:t xml:space="preserve">人员经费134.15万元，主要包括：基本工资 25.99 万元、津贴补贴34.36万元、奖金34.41万元、机关事业单位基本养老保险缴费13.51 万元、职业年金缴费6.44万元、职工基本医疗保险缴费 </w:t>
      </w:r>
      <w:r>
        <w:rPr>
          <w:rFonts w:ascii="仿宋" w:eastAsia="仿宋"/>
          <w:color w:val="auto"/>
          <w:sz w:val="32"/>
          <w:szCs w:val="32"/>
        </w:rPr>
        <w:t>5.</w:t>
      </w:r>
      <w:r>
        <w:rPr>
          <w:rFonts w:hint="eastAsia" w:ascii="仿宋" w:eastAsia="仿宋"/>
          <w:color w:val="auto"/>
          <w:sz w:val="32"/>
          <w:szCs w:val="32"/>
        </w:rPr>
        <w:t>81万元、公务员医疗补助缴费1.51万元、其他社会保障缴费1.76万元、住房公积金10.36万元。　</w:t>
      </w:r>
    </w:p>
    <w:p>
      <w:pPr>
        <w:pStyle w:val="38"/>
        <w:ind w:leftChars="1" w:hanging="198" w:hangingChars="62"/>
        <w:rPr>
          <w:rFonts w:eastAsia="仿宋"/>
          <w:color w:val="auto"/>
        </w:rPr>
      </w:pPr>
      <w:r>
        <w:rPr>
          <w:rFonts w:hint="eastAsia" w:ascii="仿宋" w:eastAsia="仿宋"/>
          <w:color w:val="auto"/>
          <w:sz w:val="32"/>
          <w:szCs w:val="32"/>
        </w:rPr>
        <w:t>项目支出129.87万元，公用经费11.4万元.</w:t>
      </w:r>
    </w:p>
    <w:p>
      <w:pPr>
        <w:spacing w:line="600" w:lineRule="exact"/>
        <w:ind w:firstLine="640"/>
        <w:rPr>
          <w:rFonts w:hint="eastAsia" w:eastAsia="仿宋_GB2312" w:cs="仿宋_GB2312"/>
          <w:sz w:val="32"/>
          <w:szCs w:val="32"/>
        </w:rPr>
      </w:pPr>
    </w:p>
    <w:p>
      <w:pPr>
        <w:pStyle w:val="38"/>
        <w:ind w:leftChars="1" w:hanging="198" w:hangingChars="62"/>
        <w:rPr>
          <w:rStyle w:val="32"/>
          <w:rFonts w:ascii="Times New Roman" w:hAnsi="Times New Roman" w:eastAsia="黑体"/>
          <w:b w:val="0"/>
        </w:rPr>
      </w:pPr>
      <w:bookmarkStart w:id="52" w:name="_Toc15396609"/>
      <w:bookmarkStart w:id="53" w:name="_Toc15377215"/>
      <w:r>
        <w:rPr>
          <w:rFonts w:hint="eastAsia" w:eastAsia="黑体"/>
          <w:sz w:val="32"/>
          <w:szCs w:val="32"/>
        </w:rPr>
        <w:t>七、</w:t>
      </w:r>
      <w:r>
        <w:rPr>
          <w:rStyle w:val="32"/>
          <w:rFonts w:hint="eastAsia" w:ascii="Times New Roman" w:hAnsi="Times New Roman" w:eastAsia="黑体"/>
          <w:b w:val="0"/>
        </w:rPr>
        <w:t>财政拨款</w:t>
      </w:r>
      <w:r>
        <w:rPr>
          <w:rStyle w:val="32"/>
          <w:rFonts w:hint="eastAsia" w:ascii="Times New Roman" w:hAnsi="Times New Roman" w:eastAsia="黑体"/>
        </w:rPr>
        <w:t>“</w:t>
      </w:r>
      <w:r>
        <w:rPr>
          <w:rStyle w:val="32"/>
          <w:rFonts w:hint="eastAsia" w:ascii="Times New Roman" w:hAnsi="Times New Roman" w:eastAsia="黑体"/>
          <w:b w:val="0"/>
        </w:rPr>
        <w:t>三公”经费支出决算情况说明</w:t>
      </w:r>
      <w:bookmarkEnd w:id="52"/>
      <w:bookmarkEnd w:id="53"/>
    </w:p>
    <w:p>
      <w:pPr>
        <w:spacing w:line="600" w:lineRule="exact"/>
        <w:ind w:firstLine="640"/>
        <w:outlineLvl w:val="2"/>
        <w:rPr>
          <w:rFonts w:eastAsia="仿宋_GB2312" w:cs="仿宋_GB2312"/>
          <w:sz w:val="32"/>
          <w:szCs w:val="32"/>
        </w:rPr>
      </w:pPr>
      <w:bookmarkStart w:id="54" w:name="_Toc15377216"/>
      <w:bookmarkStart w:id="55" w:name="_Toc15377218"/>
      <w:bookmarkStart w:id="56" w:name="_Toc15396610"/>
      <w:r>
        <w:rPr>
          <w:rFonts w:hint="eastAsia" w:eastAsia="仿宋_GB2312" w:cs="仿宋_GB2312"/>
          <w:sz w:val="32"/>
          <w:szCs w:val="32"/>
        </w:rPr>
        <w:t>（一）“三公”经费财政拨款支出决算总体情况说明</w:t>
      </w:r>
      <w:bookmarkEnd w:id="54"/>
    </w:p>
    <w:p>
      <w:pPr>
        <w:spacing w:line="600" w:lineRule="exact"/>
        <w:ind w:firstLine="640"/>
        <w:rPr>
          <w:rFonts w:eastAsia="仿宋_GB2312" w:cs="仿宋_GB2312"/>
          <w:sz w:val="32"/>
          <w:szCs w:val="32"/>
        </w:rPr>
      </w:pPr>
      <w:r>
        <w:rPr>
          <w:rFonts w:eastAsia="仿宋_GB2312" w:cs="仿宋_GB2312"/>
          <w:sz w:val="32"/>
          <w:szCs w:val="32"/>
        </w:rPr>
        <w:t>202</w:t>
      </w:r>
      <w:r>
        <w:rPr>
          <w:rFonts w:hint="eastAsia" w:eastAsia="仿宋_GB2312" w:cs="仿宋_GB2312"/>
          <w:sz w:val="32"/>
          <w:szCs w:val="32"/>
        </w:rPr>
        <w:t>4年“三公”经费财政拨款支出决算为3</w:t>
      </w:r>
      <w:r>
        <w:rPr>
          <w:rFonts w:hint="eastAsia" w:eastAsia="仿宋_GB2312" w:cs="仿宋_GB2312"/>
          <w:sz w:val="32"/>
          <w:szCs w:val="32"/>
          <w:lang w:val="en-US" w:eastAsia="zh-CN"/>
        </w:rPr>
        <w:t>.5</w:t>
      </w:r>
      <w:r>
        <w:rPr>
          <w:rFonts w:hint="eastAsia" w:eastAsia="仿宋_GB2312" w:cs="仿宋_GB2312"/>
          <w:sz w:val="32"/>
          <w:szCs w:val="32"/>
        </w:rPr>
        <w:t>万元，完成预算100</w:t>
      </w:r>
      <w:r>
        <w:rPr>
          <w:rFonts w:eastAsia="仿宋_GB2312" w:cs="仿宋_GB2312"/>
          <w:sz w:val="32"/>
          <w:szCs w:val="32"/>
        </w:rPr>
        <w:t>%</w:t>
      </w:r>
      <w:r>
        <w:rPr>
          <w:rFonts w:hint="eastAsia" w:eastAsia="仿宋_GB2312" w:cs="仿宋_GB2312"/>
          <w:sz w:val="32"/>
          <w:szCs w:val="32"/>
        </w:rPr>
        <w:t>，决算数与预算数持平。</w:t>
      </w:r>
    </w:p>
    <w:p>
      <w:pPr>
        <w:spacing w:line="600" w:lineRule="exact"/>
        <w:ind w:firstLine="640"/>
        <w:outlineLvl w:val="2"/>
        <w:rPr>
          <w:rFonts w:eastAsia="仿宋_GB2312" w:cs="仿宋_GB2312"/>
          <w:sz w:val="32"/>
          <w:szCs w:val="32"/>
        </w:rPr>
      </w:pPr>
      <w:bookmarkStart w:id="57" w:name="_Toc15377217"/>
      <w:r>
        <w:rPr>
          <w:rFonts w:hint="eastAsia" w:eastAsia="仿宋_GB2312" w:cs="仿宋_GB2312"/>
          <w:sz w:val="32"/>
          <w:szCs w:val="32"/>
        </w:rPr>
        <w:t>（二）“三公”经费财政拨款支出决算具体情况说明</w:t>
      </w:r>
      <w:bookmarkEnd w:id="57"/>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3</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万元,完成预算</w:t>
      </w:r>
      <w:r>
        <w:rPr>
          <w:rFonts w:hint="eastAsia" w:ascii="仿宋_GB2312" w:eastAsia="仿宋_GB2312"/>
          <w:b/>
        </w:rPr>
        <w:t>100</w:t>
      </w:r>
      <w:r>
        <w:rPr>
          <w:rFonts w:ascii="仿宋_GB2312" w:eastAsia="仿宋_GB2312"/>
          <w:b/>
        </w:rPr>
        <w:t>%</w:t>
      </w:r>
      <w:r>
        <w:rPr>
          <w:rFonts w:hint="eastAsia" w:ascii="仿宋_GB2312" w:eastAsia="仿宋_GB2312"/>
          <w:b/>
        </w:rPr>
        <w:t>。</w:t>
      </w:r>
      <w:r>
        <w:rPr>
          <w:rFonts w:hint="eastAsia" w:ascii="仿宋_GB2312" w:eastAsia="仿宋_GB2312"/>
          <w:b/>
          <w:color w:val="000000"/>
          <w:sz w:val="32"/>
          <w:szCs w:val="32"/>
        </w:rPr>
        <w:t>公务用车运行维护费支出</w:t>
      </w:r>
      <w:r>
        <w:rPr>
          <w:rFonts w:hint="eastAsia" w:ascii="仿宋_GB2312" w:eastAsia="仿宋_GB2312"/>
          <w:sz w:val="32"/>
          <w:szCs w:val="32"/>
        </w:rPr>
        <w:t>3</w:t>
      </w:r>
      <w:r>
        <w:rPr>
          <w:rFonts w:hint="eastAsia" w:ascii="仿宋_GB2312" w:eastAsia="仿宋_GB2312"/>
          <w:sz w:val="32"/>
          <w:szCs w:val="32"/>
          <w:lang w:val="en-US" w:eastAsia="zh-CN"/>
        </w:rPr>
        <w:t>.5</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spacing w:line="600" w:lineRule="exact"/>
        <w:ind w:firstLine="640"/>
        <w:rPr>
          <w:rFonts w:eastAsia="仿宋_GB2312" w:cs="仿宋_GB2312"/>
          <w:sz w:val="32"/>
          <w:szCs w:val="32"/>
        </w:rPr>
      </w:pPr>
    </w:p>
    <w:p>
      <w:pPr>
        <w:spacing w:line="600" w:lineRule="exact"/>
        <w:ind w:firstLine="640"/>
        <w:outlineLvl w:val="1"/>
        <w:rPr>
          <w:rStyle w:val="32"/>
          <w:rFonts w:ascii="Times New Roman" w:hAnsi="Times New Roman" w:eastAsia="黑体"/>
        </w:rPr>
      </w:pPr>
      <w:r>
        <w:rPr>
          <w:rFonts w:hint="eastAsia" w:eastAsia="黑体"/>
          <w:sz w:val="32"/>
          <w:szCs w:val="32"/>
        </w:rPr>
        <w:t>八、</w:t>
      </w:r>
      <w:r>
        <w:rPr>
          <w:rStyle w:val="32"/>
          <w:rFonts w:hint="eastAsia" w:ascii="Times New Roman" w:hAnsi="Times New Roman" w:eastAsia="黑体"/>
          <w:b w:val="0"/>
        </w:rPr>
        <w:t>政府性基金预算支出决算情况说明</w:t>
      </w:r>
      <w:bookmarkEnd w:id="55"/>
      <w:bookmarkEnd w:id="56"/>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w:t>
      </w:r>
    </w:p>
    <w:p>
      <w:pPr>
        <w:spacing w:line="600" w:lineRule="exact"/>
        <w:ind w:left="630"/>
        <w:outlineLvl w:val="1"/>
        <w:rPr>
          <w:rStyle w:val="32"/>
          <w:rFonts w:ascii="Times New Roman" w:hAnsi="Times New Roman" w:eastAsia="黑体"/>
          <w:b w:val="0"/>
        </w:rPr>
      </w:pPr>
      <w:bookmarkStart w:id="58" w:name="_Toc15377219"/>
      <w:bookmarkStart w:id="59" w:name="_Toc15396611"/>
      <w:r>
        <w:rPr>
          <w:rStyle w:val="32"/>
          <w:rFonts w:hint="eastAsia" w:ascii="Times New Roman" w:hAnsi="Times New Roman" w:eastAsia="黑体"/>
          <w:b w:val="0"/>
        </w:rPr>
        <w:t>九、国有资本经营预算支出决算情况说明</w:t>
      </w:r>
      <w:bookmarkEnd w:id="58"/>
      <w:bookmarkEnd w:id="59"/>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w:t>
      </w:r>
    </w:p>
    <w:p>
      <w:pPr>
        <w:spacing w:line="600" w:lineRule="exact"/>
        <w:ind w:left="630"/>
        <w:outlineLvl w:val="1"/>
        <w:rPr>
          <w:rStyle w:val="32"/>
          <w:rFonts w:ascii="Times New Roman" w:hAnsi="Times New Roman" w:eastAsia="黑体"/>
          <w:b w:val="0"/>
        </w:rPr>
      </w:pPr>
      <w:bookmarkStart w:id="60" w:name="_Toc15377221"/>
      <w:bookmarkStart w:id="61" w:name="_Toc15396612"/>
      <w:r>
        <w:rPr>
          <w:rStyle w:val="32"/>
          <w:rFonts w:hint="eastAsia" w:ascii="Times New Roman" w:hAnsi="Times New Roman" w:eastAsia="黑体"/>
          <w:b w:val="0"/>
        </w:rPr>
        <w:t>十、其他重要事项的情况说明</w:t>
      </w:r>
      <w:bookmarkEnd w:id="60"/>
      <w:bookmarkEnd w:id="61"/>
    </w:p>
    <w:p>
      <w:pPr>
        <w:spacing w:line="600" w:lineRule="exact"/>
        <w:ind w:firstLine="643" w:firstLineChars="200"/>
        <w:outlineLvl w:val="2"/>
        <w:rPr>
          <w:rFonts w:eastAsia="楷体_GB2312" w:cs="楷体_GB2312"/>
          <w:b/>
          <w:sz w:val="32"/>
          <w:szCs w:val="32"/>
        </w:rPr>
      </w:pPr>
      <w:bookmarkStart w:id="62" w:name="_Toc15377222"/>
      <w:r>
        <w:rPr>
          <w:rFonts w:hint="eastAsia" w:eastAsia="楷体_GB2312" w:cs="楷体_GB2312"/>
          <w:b/>
          <w:sz w:val="32"/>
          <w:szCs w:val="32"/>
        </w:rPr>
        <w:t>（一）机关运行经费支出情况</w:t>
      </w:r>
      <w:bookmarkEnd w:id="62"/>
    </w:p>
    <w:p>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，金川县文化体育和旅游局机关运行经费支出15.68万</w:t>
      </w:r>
      <w:r>
        <w:rPr>
          <w:rFonts w:hint="eastAsia" w:eastAsia="仿宋_GB2312" w:cs="仿宋_GB2312"/>
          <w:sz w:val="32"/>
          <w:szCs w:val="32"/>
        </w:rPr>
        <w:t>元.</w:t>
      </w:r>
    </w:p>
    <w:p>
      <w:pPr>
        <w:spacing w:line="600" w:lineRule="exact"/>
        <w:ind w:firstLine="643" w:firstLineChars="200"/>
        <w:outlineLvl w:val="2"/>
        <w:rPr>
          <w:rFonts w:eastAsia="楷体_GB2312" w:cs="楷体_GB2312"/>
          <w:b/>
          <w:sz w:val="32"/>
          <w:szCs w:val="32"/>
        </w:rPr>
      </w:pPr>
      <w:bookmarkStart w:id="63" w:name="_Toc15377223"/>
      <w:r>
        <w:rPr>
          <w:rFonts w:hint="eastAsia" w:eastAsia="楷体_GB2312" w:cs="楷体_GB2312"/>
          <w:b/>
          <w:sz w:val="32"/>
          <w:szCs w:val="32"/>
        </w:rPr>
        <w:t>（二）政府采购支出情况</w:t>
      </w:r>
      <w:bookmarkEnd w:id="63"/>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2024年度，金川县文化体育和旅游局政府采购支出总额0万元，其中：政府采购货物支出0万元、政府采购工程支出0万元、政府采购服务支出0万元。</w:t>
      </w:r>
    </w:p>
    <w:p>
      <w:pPr>
        <w:spacing w:line="600" w:lineRule="exact"/>
        <w:ind w:firstLine="643" w:firstLineChars="200"/>
        <w:outlineLvl w:val="2"/>
        <w:rPr>
          <w:rFonts w:eastAsia="楷体_GB2312" w:cs="楷体_GB2312"/>
          <w:b/>
          <w:sz w:val="32"/>
          <w:szCs w:val="32"/>
        </w:rPr>
      </w:pPr>
      <w:bookmarkStart w:id="64" w:name="_Toc15377224"/>
      <w:r>
        <w:rPr>
          <w:rFonts w:hint="eastAsia" w:eastAsia="楷体_GB2312" w:cs="楷体_GB2312"/>
          <w:b/>
          <w:sz w:val="32"/>
          <w:szCs w:val="32"/>
        </w:rPr>
        <w:t>（三）国有资产占有使用情况</w:t>
      </w:r>
      <w:bookmarkEnd w:id="64"/>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截至2024年12月31日，金川县</w:t>
      </w:r>
      <w:r>
        <w:rPr>
          <w:rFonts w:hint="eastAsia" w:ascii="仿宋_GB2312" w:hAnsi="仿宋_GB2312" w:eastAsia="仿宋_GB2312" w:cs="仿宋_GB2312"/>
          <w:sz w:val="32"/>
          <w:szCs w:val="32"/>
          <w:lang w:eastAsia="zh-CN"/>
        </w:rPr>
        <w:t>世外梨园景区服务中心</w:t>
      </w:r>
      <w:r>
        <w:rPr>
          <w:rFonts w:hint="eastAsia" w:ascii="仿宋_GB2312" w:hAnsi="仿宋_GB2312" w:eastAsia="仿宋_GB2312" w:cs="仿宋_GB2312"/>
          <w:sz w:val="32"/>
          <w:szCs w:val="32"/>
        </w:rPr>
        <w:t>共有车辆1辆，其中：主要负责人用车0辆、机要通信用车0辆、应急保障用车0辆、其他用车1辆，其他用车主要是用于日常开展工作。单价100万元（含）以上设备（不含车辆）0台（套）</w:t>
      </w:r>
      <w:r>
        <w:rPr>
          <w:rFonts w:hint="eastAsia" w:eastAsia="仿宋_GB2312" w:cs="仿宋_GB2312"/>
          <w:sz w:val="32"/>
          <w:szCs w:val="32"/>
        </w:rPr>
        <w:t>。</w:t>
      </w:r>
    </w:p>
    <w:p>
      <w:pPr>
        <w:spacing w:line="600" w:lineRule="exact"/>
        <w:ind w:firstLine="640"/>
        <w:rPr>
          <w:rFonts w:eastAsia="仿宋_GB2312" w:cs="仿宋_GB2312"/>
          <w:sz w:val="32"/>
          <w:szCs w:val="32"/>
        </w:rPr>
      </w:pPr>
    </w:p>
    <w:p>
      <w:pPr>
        <w:spacing w:line="600" w:lineRule="exact"/>
        <w:jc w:val="center"/>
        <w:outlineLvl w:val="0"/>
        <w:rPr>
          <w:rFonts w:eastAsia="黑体"/>
          <w:sz w:val="44"/>
          <w:szCs w:val="44"/>
        </w:rPr>
      </w:pPr>
      <w:bookmarkStart w:id="65" w:name="_Toc15396613"/>
      <w:bookmarkStart w:id="66" w:name="_Toc15377225"/>
      <w:r>
        <w:rPr>
          <w:rFonts w:hint="eastAsia" w:eastAsia="黑体"/>
          <w:sz w:val="44"/>
          <w:szCs w:val="44"/>
        </w:rPr>
        <w:t>第三部分  名词解释</w:t>
      </w:r>
      <w:bookmarkEnd w:id="65"/>
      <w:bookmarkEnd w:id="66"/>
    </w:p>
    <w:p>
      <w:pPr>
        <w:spacing w:line="600" w:lineRule="exact"/>
        <w:jc w:val="left"/>
        <w:rPr>
          <w:b/>
          <w:sz w:val="44"/>
          <w:szCs w:val="44"/>
        </w:rPr>
      </w:pPr>
    </w:p>
    <w:p>
      <w:pPr>
        <w:pStyle w:val="29"/>
        <w:spacing w:line="560" w:lineRule="exact"/>
        <w:ind w:firstLine="640" w:firstLineChars="200"/>
        <w:rPr>
          <w:rFonts w:ascii="仿宋_GB2312" w:eastAsia="仿宋_GB2312"/>
          <w:sz w:val="32"/>
          <w:szCs w:val="32"/>
        </w:rPr>
      </w:pPr>
      <w:bookmarkStart w:id="67" w:name="_Toc15396614"/>
      <w:bookmarkStart w:id="68"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adjustRightInd w:val="0"/>
        <w:snapToGrid w:val="0"/>
        <w:spacing w:line="540" w:lineRule="exact"/>
        <w:jc w:val="left"/>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8"/>
        <w:ind w:left="840" w:hanging="420"/>
      </w:pPr>
    </w:p>
    <w:p>
      <w:pPr>
        <w:spacing w:line="600" w:lineRule="exact"/>
        <w:jc w:val="center"/>
        <w:rPr>
          <w:rStyle w:val="31"/>
          <w:rFonts w:eastAsia="黑体"/>
          <w:b w:val="0"/>
        </w:rPr>
      </w:pPr>
      <w:r>
        <w:rPr>
          <w:rFonts w:hint="eastAsia" w:eastAsia="黑体"/>
          <w:sz w:val="44"/>
          <w:szCs w:val="44"/>
        </w:rPr>
        <w:t>第四部分  附件</w:t>
      </w:r>
      <w:bookmarkEnd w:id="67"/>
    </w:p>
    <w:p>
      <w:pPr>
        <w:spacing w:line="572" w:lineRule="exact"/>
        <w:jc w:val="left"/>
        <w:outlineLvl w:val="0"/>
        <w:rPr>
          <w:rFonts w:eastAsia="黑体" w:cs="黑体"/>
          <w:color w:val="FF0000"/>
          <w:sz w:val="32"/>
          <w:szCs w:val="32"/>
        </w:rPr>
      </w:pPr>
    </w:p>
    <w:p>
      <w:pPr>
        <w:spacing w:line="572" w:lineRule="exact"/>
        <w:jc w:val="left"/>
        <w:outlineLvl w:val="0"/>
        <w:rPr>
          <w:rFonts w:eastAsia="黑体" w:cs="方正小标宋简体"/>
          <w:sz w:val="44"/>
          <w:szCs w:val="44"/>
        </w:rPr>
      </w:pPr>
      <w:r>
        <w:rPr>
          <w:rFonts w:hint="eastAsia" w:eastAsia="黑体" w:cs="黑体"/>
          <w:sz w:val="32"/>
          <w:szCs w:val="32"/>
        </w:rPr>
        <w:t>附件1</w:t>
      </w:r>
    </w:p>
    <w:p>
      <w:pPr>
        <w:widowControl/>
        <w:spacing w:line="578" w:lineRule="exact"/>
        <w:contextualSpacing/>
        <w:jc w:val="center"/>
        <w:rPr>
          <w:rFonts w:eastAsia="方正小标宋简体"/>
          <w:bCs/>
          <w:sz w:val="44"/>
          <w:szCs w:val="44"/>
          <w:shd w:val="clear" w:color="auto" w:fill="FFFFFF"/>
        </w:rPr>
      </w:pPr>
    </w:p>
    <w:p>
      <w:pPr>
        <w:pStyle w:val="16"/>
        <w:shd w:val="clear" w:color="auto" w:fill="FFFFFF"/>
        <w:spacing w:before="93" w:beforeAutospacing="0" w:after="210" w:afterAutospacing="0" w:line="360" w:lineRule="atLeast"/>
        <w:jc w:val="center"/>
        <w:rPr>
          <w:rFonts w:hint="eastAsia" w:ascii="黑体" w:hAnsi="黑体" w:eastAsia="黑体" w:cs="黑体"/>
          <w:b/>
          <w:bCs/>
          <w:color w:val="000000"/>
          <w:sz w:val="44"/>
          <w:szCs w:val="44"/>
          <w:shd w:val="clear" w:color="auto" w:fill="FFFFFF"/>
          <w:lang w:eastAsia="zh-CN"/>
        </w:rPr>
      </w:pPr>
      <w:r>
        <w:rPr>
          <w:rFonts w:ascii="黑体" w:hAnsi="黑体" w:eastAsia="黑体" w:cs="黑体"/>
          <w:b/>
          <w:bCs/>
          <w:color w:val="000000"/>
          <w:sz w:val="44"/>
          <w:szCs w:val="44"/>
          <w:shd w:val="clear" w:color="auto" w:fill="FFFFFF"/>
        </w:rPr>
        <w:t>金川县</w:t>
      </w:r>
      <w:r>
        <w:rPr>
          <w:rFonts w:hint="eastAsia" w:ascii="黑体" w:hAnsi="黑体" w:eastAsia="黑体" w:cs="黑体"/>
          <w:b/>
          <w:bCs/>
          <w:color w:val="000000"/>
          <w:sz w:val="44"/>
          <w:szCs w:val="44"/>
          <w:shd w:val="clear" w:color="auto" w:fill="FFFFFF"/>
          <w:lang w:eastAsia="zh-CN"/>
        </w:rPr>
        <w:t>世外梨园景区服务中心整体绩效报告</w:t>
      </w:r>
    </w:p>
    <w:p>
      <w:pPr>
        <w:pStyle w:val="16"/>
        <w:shd w:val="clear" w:color="auto" w:fill="FFFFFF"/>
        <w:spacing w:before="210" w:beforeAutospacing="0" w:after="210" w:afterAutospacing="0" w:line="360" w:lineRule="atLeast"/>
        <w:ind w:firstLine="420"/>
        <w:jc w:val="center"/>
        <w:rPr>
          <w:rFonts w:ascii="黑体" w:hAnsi="黑体" w:eastAsia="黑体" w:cs="黑体"/>
          <w:b/>
          <w:bCs/>
          <w:color w:val="000000"/>
          <w:sz w:val="44"/>
          <w:szCs w:val="44"/>
          <w:shd w:val="clear" w:color="auto" w:fill="FFFFFF"/>
        </w:rPr>
      </w:pPr>
      <w:r>
        <w:rPr>
          <w:rFonts w:ascii="黑体" w:hAnsi="黑体" w:eastAsia="黑体" w:cs="黑体"/>
          <w:b/>
          <w:bCs/>
          <w:color w:val="000000"/>
          <w:sz w:val="44"/>
          <w:szCs w:val="44"/>
          <w:shd w:val="clear" w:color="auto" w:fill="FFFFFF"/>
        </w:rPr>
        <w:t>2024年部门整体支出绩效报告</w:t>
      </w:r>
    </w:p>
    <w:p>
      <w:pPr>
        <w:wordWrap w:val="0"/>
        <w:spacing w:line="576" w:lineRule="exact"/>
        <w:ind w:firstLine="776" w:firstLineChars="200"/>
        <w:jc w:val="left"/>
        <w:rPr>
          <w:rFonts w:ascii="仿宋_GB2312" w:hAnsi="仿宋_GB2312" w:cs="仿宋_GB2312"/>
          <w:spacing w:val="34"/>
          <w:szCs w:val="32"/>
          <w:lang w:val="zh-CN"/>
        </w:rPr>
      </w:pPr>
      <w:r>
        <w:rPr>
          <w:rFonts w:hint="eastAsia" w:ascii="仿宋_GB2312" w:hAnsi="仿宋_GB2312" w:eastAsia="仿宋_GB2312" w:cs="仿宋_GB2312"/>
          <w:spacing w:val="34"/>
          <w:sz w:val="32"/>
          <w:szCs w:val="32"/>
        </w:rPr>
        <w:t>为深入贯彻落实党中央国务院和省委省政府关于全面实施预算绩效管理决策部署，</w:t>
      </w:r>
      <w:r>
        <w:rPr>
          <w:rFonts w:eastAsia="仿宋_GB2312"/>
          <w:color w:val="000000"/>
          <w:sz w:val="32"/>
          <w:szCs w:val="32"/>
        </w:rPr>
        <w:t>按照《四川省省级财政预算管理办法》（省政府令第356号）、《中共四川省委办公厅四川省人民政府办公厅关于深入实施预算绩效管理的通知》（川委厅〔2022〕5号）、《四川省财政厅关于</w:t>
      </w:r>
      <w:r>
        <w:rPr>
          <w:rFonts w:hint="eastAsia" w:ascii="宋体" w:hAnsi="宋体" w:cs="宋体"/>
          <w:color w:val="000000"/>
          <w:sz w:val="32"/>
          <w:szCs w:val="32"/>
        </w:rPr>
        <w:t>印</w:t>
      </w:r>
      <w:r>
        <w:rPr>
          <w:rFonts w:hint="eastAsia" w:eastAsia="仿宋_GB2312"/>
          <w:color w:val="000000"/>
          <w:sz w:val="32"/>
          <w:szCs w:val="32"/>
        </w:rPr>
        <w:t>发</w:t>
      </w:r>
      <w:r>
        <w:rPr>
          <w:rFonts w:hint="eastAsia" w:eastAsia="仿宋_GB2312"/>
          <w:b/>
          <w:color w:val="000000"/>
          <w:sz w:val="32"/>
          <w:szCs w:val="32"/>
        </w:rPr>
        <w:t>&lt;</w:t>
      </w:r>
      <w:r>
        <w:rPr>
          <w:rFonts w:hint="eastAsia" w:eastAsia="仿宋_GB2312"/>
          <w:color w:val="000000"/>
          <w:sz w:val="32"/>
          <w:szCs w:val="32"/>
        </w:rPr>
        <w:t>推进财政绩效监督“三管三必须”落实见效实施办法</w:t>
      </w:r>
      <w:r>
        <w:rPr>
          <w:rFonts w:hint="eastAsia" w:eastAsia="仿宋_GB2312"/>
          <w:b/>
          <w:bCs/>
          <w:color w:val="000000"/>
          <w:sz w:val="32"/>
          <w:szCs w:val="32"/>
        </w:rPr>
        <w:t>&gt;</w:t>
      </w:r>
      <w:r>
        <w:rPr>
          <w:rFonts w:eastAsia="仿宋_GB2312"/>
          <w:color w:val="000000"/>
          <w:sz w:val="32"/>
          <w:szCs w:val="32"/>
        </w:rPr>
        <w:t>的通知》（川财</w:t>
      </w:r>
      <w:r>
        <w:rPr>
          <w:rFonts w:hint="eastAsia" w:eastAsia="仿宋_GB2312"/>
          <w:color w:val="000000"/>
          <w:sz w:val="32"/>
          <w:szCs w:val="32"/>
        </w:rPr>
        <w:t>办</w:t>
      </w:r>
      <w:r>
        <w:rPr>
          <w:rFonts w:eastAsia="仿宋_GB2312"/>
          <w:color w:val="000000"/>
          <w:sz w:val="32"/>
          <w:szCs w:val="32"/>
        </w:rPr>
        <w:t>〔2024〕</w:t>
      </w:r>
      <w:r>
        <w:rPr>
          <w:rFonts w:hint="eastAsia" w:eastAsia="仿宋_GB2312"/>
          <w:color w:val="000000"/>
          <w:sz w:val="32"/>
          <w:szCs w:val="32"/>
        </w:rPr>
        <w:t>31</w:t>
      </w:r>
      <w:r>
        <w:rPr>
          <w:rFonts w:eastAsia="仿宋_GB2312"/>
          <w:color w:val="000000"/>
          <w:sz w:val="32"/>
          <w:szCs w:val="32"/>
        </w:rPr>
        <w:t>号）以及《阿坝州财政局关于开展202</w:t>
      </w:r>
      <w:r>
        <w:rPr>
          <w:rFonts w:hint="eastAsia" w:eastAsia="仿宋_GB2312"/>
          <w:color w:val="000000"/>
          <w:sz w:val="32"/>
          <w:szCs w:val="32"/>
        </w:rPr>
        <w:t>5</w:t>
      </w:r>
      <w:r>
        <w:rPr>
          <w:rFonts w:eastAsia="仿宋_GB2312"/>
          <w:color w:val="000000"/>
          <w:sz w:val="32"/>
          <w:szCs w:val="32"/>
        </w:rPr>
        <w:t>年州级部门绩效自评工作的通知》（阿州财监绩〔202</w:t>
      </w:r>
      <w:r>
        <w:rPr>
          <w:rFonts w:hint="eastAsia" w:eastAsia="仿宋_GB2312"/>
          <w:color w:val="000000"/>
          <w:sz w:val="32"/>
          <w:szCs w:val="32"/>
        </w:rPr>
        <w:t>5</w:t>
      </w:r>
      <w:r>
        <w:rPr>
          <w:rFonts w:eastAsia="仿宋_GB2312"/>
          <w:color w:val="000000"/>
          <w:sz w:val="32"/>
          <w:szCs w:val="32"/>
        </w:rPr>
        <w:t>〕</w:t>
      </w:r>
      <w:r>
        <w:rPr>
          <w:rFonts w:hint="eastAsia" w:eastAsia="仿宋_GB2312"/>
          <w:color w:val="000000"/>
          <w:sz w:val="32"/>
          <w:szCs w:val="32"/>
        </w:rPr>
        <w:t>4</w:t>
      </w:r>
      <w:r>
        <w:rPr>
          <w:rFonts w:eastAsia="仿宋_GB2312"/>
          <w:color w:val="000000"/>
          <w:sz w:val="32"/>
          <w:szCs w:val="32"/>
        </w:rPr>
        <w:t>号）</w:t>
      </w:r>
      <w:r>
        <w:rPr>
          <w:rFonts w:hint="eastAsia" w:eastAsia="仿宋_GB2312"/>
          <w:color w:val="000000"/>
          <w:sz w:val="32"/>
          <w:szCs w:val="32"/>
        </w:rPr>
        <w:t>相关</w:t>
      </w:r>
      <w:r>
        <w:rPr>
          <w:rFonts w:hint="eastAsia" w:ascii="仿宋_GB2312" w:hAnsi="仿宋_GB2312" w:eastAsia="仿宋_GB2312" w:cs="仿宋_GB2312"/>
          <w:spacing w:val="34"/>
          <w:sz w:val="32"/>
          <w:szCs w:val="32"/>
        </w:rPr>
        <w:t>要求，</w:t>
      </w:r>
      <w:r>
        <w:rPr>
          <w:rFonts w:hint="eastAsia" w:ascii="仿宋_GB2312" w:hAnsi="仿宋_GB2312" w:eastAsia="仿宋_GB2312" w:cs="仿宋_GB2312"/>
          <w:spacing w:val="34"/>
          <w:sz w:val="32"/>
          <w:szCs w:val="32"/>
          <w:lang w:val="zh-CN"/>
        </w:rPr>
        <w:t>我中心高度重视立即成立了由单位负责人王平同志任组长各办公室为成员的金川世外梨园景区服务中心20</w:t>
      </w:r>
      <w:r>
        <w:rPr>
          <w:rFonts w:hint="eastAsia" w:ascii="仿宋_GB2312" w:hAnsi="仿宋_GB2312" w:cs="仿宋_GB2312"/>
          <w:spacing w:val="34"/>
          <w:sz w:val="32"/>
          <w:szCs w:val="32"/>
        </w:rPr>
        <w:t>24</w:t>
      </w:r>
      <w:r>
        <w:rPr>
          <w:rFonts w:hint="eastAsia" w:ascii="仿宋_GB2312" w:hAnsi="仿宋_GB2312" w:eastAsia="仿宋_GB2312" w:cs="仿宋_GB2312"/>
          <w:spacing w:val="34"/>
          <w:sz w:val="32"/>
          <w:szCs w:val="32"/>
          <w:lang w:val="zh-CN"/>
        </w:rPr>
        <w:t>年县级部门整体支出绩效评价工作领导小组，下设绩效评价办公室于财务室，负责评价工作组织、开展、资料收集、评价报告的撰写及上报等日常工作。</w:t>
      </w:r>
    </w:p>
    <w:p>
      <w:pPr>
        <w:widowControl/>
        <w:spacing w:line="600" w:lineRule="exact"/>
        <w:rPr>
          <w:rFonts w:ascii="黑体" w:hAnsi="宋体" w:eastAsia="黑体"/>
          <w:b/>
          <w:sz w:val="32"/>
          <w:szCs w:val="32"/>
          <w:shd w:val="clear" w:color="auto" w:fill="FFFFFF"/>
        </w:rPr>
      </w:pPr>
      <w:r>
        <w:rPr>
          <w:rFonts w:hint="eastAsia" w:ascii="黑体" w:eastAsia="黑体"/>
          <w:b/>
          <w:color w:val="000000"/>
          <w:sz w:val="32"/>
          <w:szCs w:val="32"/>
        </w:rPr>
        <w:t>一、部门概况</w:t>
      </w:r>
    </w:p>
    <w:p>
      <w:pPr>
        <w:widowControl/>
        <w:spacing w:line="6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shd w:val="clear" w:color="auto" w:fill="FFFFFF"/>
          <w:lang w:val="zh-CN"/>
        </w:rPr>
        <w:t>（一）机构组成。</w:t>
      </w:r>
      <w:r>
        <w:rPr>
          <w:rFonts w:hint="eastAsia" w:ascii="仿宋_GB2312" w:eastAsia="仿宋_GB2312"/>
          <w:sz w:val="32"/>
          <w:szCs w:val="32"/>
        </w:rPr>
        <w:t>世外梨园景区服务中心是独立核算机构</w:t>
      </w:r>
      <w:r>
        <w:rPr>
          <w:rFonts w:hint="eastAsia" w:ascii="仿宋_GB2312" w:hAnsi="宋体" w:eastAsia="仿宋_GB2312" w:cs="宋体"/>
          <w:kern w:val="0"/>
          <w:sz w:val="32"/>
          <w:szCs w:val="32"/>
        </w:rPr>
        <w:t>本部门预算单位。</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eastAsia="仿宋_GB2312" w:cs="宋体"/>
          <w:color w:val="000000"/>
          <w:sz w:val="32"/>
          <w:szCs w:val="32"/>
          <w:shd w:val="clear" w:color="auto" w:fill="FFFFFF"/>
          <w:lang w:val="zh-CN"/>
        </w:rPr>
        <w:t>（二）机构职能。</w:t>
      </w:r>
      <w:r>
        <w:rPr>
          <w:rFonts w:ascii="仿宋_GB2312" w:hAnsi="仿宋_GB2312" w:eastAsia="仿宋_GB2312" w:cs="仿宋_GB2312"/>
          <w:color w:val="333333"/>
          <w:sz w:val="32"/>
          <w:szCs w:val="32"/>
          <w:shd w:val="clear" w:color="auto" w:fill="FFFFFF"/>
        </w:rPr>
        <w:t xml:space="preserve">1.拟订政策措施，起草文地方性法规、规章草案，负责本部门依法行政工作。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2.组织推动产业和旅游业发展，拟订并组织实施旅游</w:t>
      </w:r>
      <w:r>
        <w:rPr>
          <w:rFonts w:hint="eastAsia" w:ascii="仿宋_GB2312" w:hAnsi="仿宋_GB2312" w:eastAsia="仿宋_GB2312" w:cs="仿宋_GB2312"/>
          <w:color w:val="333333"/>
          <w:sz w:val="32"/>
          <w:szCs w:val="32"/>
          <w:shd w:val="clear" w:color="auto" w:fill="FFFFFF"/>
          <w:lang w:eastAsia="zh-CN"/>
        </w:rPr>
        <w:t>，</w:t>
      </w:r>
      <w:r>
        <w:rPr>
          <w:rFonts w:ascii="仿宋_GB2312" w:hAnsi="仿宋_GB2312" w:eastAsia="仿宋_GB2312" w:cs="仿宋_GB2312"/>
          <w:color w:val="333333"/>
          <w:sz w:val="32"/>
          <w:szCs w:val="32"/>
          <w:shd w:val="clear" w:color="auto" w:fill="FFFFFF"/>
        </w:rPr>
        <w:t xml:space="preserve">推进所属行业的体制机制改革和行业融合发展。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3.管理所属行业的重大活动，指导所属行业重点设施建设，组织全旅游整体形象推广，制定旅游市场开发战略并组织实施，推进全域旅游。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4</w:t>
      </w:r>
      <w:r>
        <w:rPr>
          <w:rFonts w:ascii="仿宋_GB2312" w:hAnsi="仿宋_GB2312" w:eastAsia="仿宋_GB2312" w:cs="仿宋_GB2312"/>
          <w:color w:val="333333"/>
          <w:sz w:val="32"/>
          <w:szCs w:val="32"/>
          <w:shd w:val="clear" w:color="auto" w:fill="FFFFFF"/>
        </w:rPr>
        <w:t xml:space="preserve">.组织实施所属行业资源普查、挖掘、保护与利用工作，促进行业的产业发展。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5、</w:t>
      </w:r>
      <w:r>
        <w:rPr>
          <w:rFonts w:ascii="仿宋_GB2312" w:hAnsi="仿宋_GB2312" w:eastAsia="仿宋_GB2312" w:cs="仿宋_GB2312"/>
          <w:color w:val="333333"/>
          <w:sz w:val="32"/>
          <w:szCs w:val="32"/>
          <w:shd w:val="clear" w:color="auto" w:fill="FFFFFF"/>
        </w:rPr>
        <w:t xml:space="preserve">进行行业监管，推进行业信用体系建设，依法规范行业市场。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6、</w:t>
      </w:r>
      <w:r>
        <w:rPr>
          <w:rFonts w:ascii="仿宋_GB2312" w:hAnsi="仿宋_GB2312" w:eastAsia="仿宋_GB2312" w:cs="仿宋_GB2312"/>
          <w:color w:val="333333"/>
          <w:sz w:val="32"/>
          <w:szCs w:val="32"/>
          <w:shd w:val="clear" w:color="auto" w:fill="FFFFFF"/>
        </w:rPr>
        <w:t xml:space="preserve">旅游市场领域的违法行为，督查督办大案要案，维护市场秩序。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7</w:t>
      </w:r>
      <w:r>
        <w:rPr>
          <w:rFonts w:ascii="仿宋_GB2312" w:hAnsi="仿宋_GB2312" w:eastAsia="仿宋_GB2312" w:cs="仿宋_GB2312"/>
          <w:color w:val="333333"/>
          <w:sz w:val="32"/>
          <w:szCs w:val="32"/>
          <w:shd w:val="clear" w:color="auto" w:fill="FFFFFF"/>
        </w:rPr>
        <w:t>.负责管理旅游对外交流合作与宣传推广工作，组织大型旅游对外交流活动，推动</w:t>
      </w:r>
      <w:r>
        <w:rPr>
          <w:rFonts w:hint="eastAsia" w:ascii="仿宋_GB2312" w:hAnsi="仿宋_GB2312" w:eastAsia="仿宋_GB2312" w:cs="仿宋_GB2312"/>
          <w:color w:val="333333"/>
          <w:sz w:val="32"/>
          <w:szCs w:val="32"/>
          <w:shd w:val="clear" w:color="auto" w:fill="FFFFFF"/>
          <w:lang w:eastAsia="zh-CN"/>
        </w:rPr>
        <w:t>旅游</w:t>
      </w:r>
      <w:r>
        <w:rPr>
          <w:rFonts w:ascii="仿宋_GB2312" w:hAnsi="仿宋_GB2312" w:eastAsia="仿宋_GB2312" w:cs="仿宋_GB2312"/>
          <w:color w:val="333333"/>
          <w:sz w:val="32"/>
          <w:szCs w:val="32"/>
          <w:shd w:val="clear" w:color="auto" w:fill="FFFFFF"/>
        </w:rPr>
        <w:t xml:space="preserve">走出去。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8</w:t>
      </w:r>
      <w:r>
        <w:rPr>
          <w:rFonts w:ascii="仿宋_GB2312" w:hAnsi="仿宋_GB2312" w:eastAsia="仿宋_GB2312" w:cs="仿宋_GB2312"/>
          <w:color w:val="333333"/>
          <w:sz w:val="32"/>
          <w:szCs w:val="32"/>
          <w:shd w:val="clear" w:color="auto" w:fill="FFFFFF"/>
        </w:rPr>
        <w:t xml:space="preserve">.负责旅游市场安全生产工作的综合协调与监督管理，对文化旅游园区的安全生产和职业健康工作实施行业监督管理。制定职责范围内的安全生产年度监督检查计划并组织实施。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9</w:t>
      </w:r>
      <w:r>
        <w:rPr>
          <w:rFonts w:ascii="仿宋_GB2312" w:hAnsi="仿宋_GB2312" w:eastAsia="仿宋_GB2312" w:cs="仿宋_GB2312"/>
          <w:color w:val="333333"/>
          <w:sz w:val="32"/>
          <w:szCs w:val="32"/>
          <w:shd w:val="clear" w:color="auto" w:fill="FFFFFF"/>
        </w:rPr>
        <w:t>.完成</w:t>
      </w:r>
      <w:r>
        <w:rPr>
          <w:rFonts w:hint="eastAsia" w:ascii="仿宋_GB2312" w:hAnsi="仿宋_GB2312" w:eastAsia="仿宋_GB2312" w:cs="仿宋_GB2312"/>
          <w:color w:val="333333"/>
          <w:sz w:val="32"/>
          <w:szCs w:val="32"/>
          <w:shd w:val="clear" w:color="auto" w:fill="FFFFFF"/>
          <w:lang w:eastAsia="zh-CN"/>
        </w:rPr>
        <w:t>县委</w:t>
      </w:r>
      <w:r>
        <w:rPr>
          <w:rFonts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color w:val="333333"/>
          <w:sz w:val="32"/>
          <w:szCs w:val="32"/>
          <w:shd w:val="clear" w:color="auto" w:fill="FFFFFF"/>
          <w:lang w:eastAsia="zh-CN"/>
        </w:rPr>
        <w:t>县</w:t>
      </w:r>
      <w:r>
        <w:rPr>
          <w:rFonts w:ascii="仿宋_GB2312" w:hAnsi="仿宋_GB2312" w:eastAsia="仿宋_GB2312" w:cs="仿宋_GB2312"/>
          <w:color w:val="333333"/>
          <w:sz w:val="32"/>
          <w:szCs w:val="32"/>
          <w:shd w:val="clear" w:color="auto" w:fill="FFFFFF"/>
        </w:rPr>
        <w:t xml:space="preserve">政府交办的其他任务。 </w:t>
      </w:r>
    </w:p>
    <w:p>
      <w:pPr>
        <w:pStyle w:val="16"/>
        <w:spacing w:beforeAutospacing="0" w:afterAutospacing="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10</w:t>
      </w:r>
      <w:r>
        <w:rPr>
          <w:rFonts w:ascii="仿宋_GB2312" w:hAnsi="仿宋_GB2312" w:eastAsia="仿宋_GB2312" w:cs="仿宋_GB2312"/>
          <w:color w:val="333333"/>
          <w:sz w:val="32"/>
          <w:szCs w:val="32"/>
          <w:shd w:val="clear" w:color="auto" w:fill="FFFFFF"/>
        </w:rPr>
        <w:t xml:space="preserve">.职能转变。以人民美好生活为引导，统筹推进旅游事业与产业的融合发展，用好文化创意、科技创新和社会投资等新动能。提升巩固旅游业的战略性支柱产业地位，提升文化软实力、旅游竞争力。将市文体旅游局下属事业单位所有行政职能交由市文体旅游局机关承担。 </w:t>
      </w:r>
    </w:p>
    <w:p>
      <w:pPr>
        <w:spacing w:line="600" w:lineRule="exact"/>
        <w:ind w:firstLine="480" w:firstLineChars="15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（三）人员概况。其中:参公编制</w:t>
      </w:r>
      <w:r>
        <w:rPr>
          <w:rFonts w:hint="eastAsia" w:ascii="仿宋_GB2312" w:hAnsi="仿宋_GB2312" w:eastAsia="仿宋_GB2312" w:cs="仿宋_GB2312"/>
          <w:color w:val="333333"/>
          <w:kern w:val="0"/>
          <w:sz w:val="32"/>
          <w:szCs w:val="32"/>
          <w:shd w:val="clear" w:color="auto" w:fill="FFFFFF"/>
          <w:lang w:val="en-US" w:eastAsia="zh-CN"/>
        </w:rPr>
        <w:t>8</w:t>
      </w:r>
      <w:r>
        <w:rPr>
          <w:rFonts w:hint="eastAsia" w:ascii="仿宋_GB2312" w:hAnsi="仿宋_GB2312" w:eastAsia="仿宋_GB2312" w:cs="仿宋_GB2312"/>
          <w:color w:val="333333"/>
          <w:kern w:val="0"/>
          <w:sz w:val="32"/>
          <w:szCs w:val="32"/>
          <w:shd w:val="clear" w:color="auto" w:fill="FFFFFF"/>
        </w:rPr>
        <w:t>名。</w:t>
      </w:r>
    </w:p>
    <w:p>
      <w:pPr>
        <w:pStyle w:val="16"/>
        <w:shd w:val="clear" w:color="auto" w:fill="FFFFFF"/>
        <w:spacing w:beforeAutospacing="0" w:afterAutospacing="0" w:line="360" w:lineRule="auto"/>
        <w:ind w:left="42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二、预算执行情况</w:t>
      </w:r>
    </w:p>
    <w:p>
      <w:pPr>
        <w:widowControl/>
        <w:wordWrap w:val="0"/>
        <w:topLinePunct/>
        <w:adjustRightInd w:val="0"/>
        <w:snapToGrid w:val="0"/>
        <w:spacing w:line="576" w:lineRule="exact"/>
        <w:ind w:firstLine="640" w:firstLineChars="200"/>
        <w:jc w:val="left"/>
        <w:outlineLvl w:val="2"/>
        <w:rPr>
          <w:rFonts w:hint="eastAsia" w:ascii="仿宋_GB2312" w:hAnsi="仿宋_GB2312" w:eastAsia="仿宋_GB2312" w:cs="仿宋_GB2312"/>
          <w:color w:val="333333"/>
          <w:kern w:val="0"/>
          <w:sz w:val="32"/>
          <w:szCs w:val="32"/>
          <w:shd w:val="clear" w:color="auto" w:fill="FFFFFF"/>
        </w:rPr>
      </w:pPr>
      <w:bookmarkStart w:id="69" w:name="_Toc912"/>
      <w:r>
        <w:rPr>
          <w:rFonts w:hint="eastAsia" w:ascii="仿宋_GB2312" w:hAnsi="仿宋_GB2312" w:eastAsia="仿宋_GB2312" w:cs="仿宋_GB2312"/>
          <w:color w:val="333333"/>
          <w:kern w:val="0"/>
          <w:sz w:val="32"/>
          <w:szCs w:val="32"/>
          <w:shd w:val="clear" w:color="auto" w:fill="FFFFFF"/>
        </w:rPr>
        <w:t>（一）收入情况</w:t>
      </w:r>
      <w:bookmarkEnd w:id="69"/>
    </w:p>
    <w:p>
      <w:pPr>
        <w:spacing w:line="576" w:lineRule="exact"/>
        <w:ind w:firstLine="640" w:firstLineChars="200"/>
        <w:jc w:val="left"/>
        <w:rPr>
          <w:rFonts w:hint="eastAsia"/>
          <w:lang w:val="zh-CN"/>
        </w:rPr>
      </w:pPr>
      <w:r>
        <w:rPr>
          <w:rFonts w:hint="eastAsia" w:ascii="仿宋_GB2312" w:hAnsi="仿宋_GB2312" w:eastAsia="仿宋_GB2312" w:cs="仿宋_GB2312"/>
          <w:color w:val="333333"/>
          <w:kern w:val="0"/>
          <w:sz w:val="32"/>
          <w:szCs w:val="32"/>
          <w:shd w:val="clear" w:color="auto" w:fill="FFFFFF"/>
        </w:rPr>
        <w:t>2024年度财政拨款收入</w:t>
      </w:r>
      <w:r>
        <w:rPr>
          <w:rFonts w:hint="eastAsia" w:ascii="仿宋_GB2312" w:hAnsi="仿宋_GB2312" w:eastAsia="仿宋_GB2312" w:cs="仿宋_GB2312"/>
          <w:color w:val="333333"/>
          <w:kern w:val="0"/>
          <w:sz w:val="32"/>
          <w:szCs w:val="32"/>
          <w:shd w:val="clear" w:color="auto" w:fill="FFFFFF"/>
          <w:lang w:val="en-US" w:eastAsia="zh-CN"/>
        </w:rPr>
        <w:t>275.42</w:t>
      </w:r>
      <w:r>
        <w:rPr>
          <w:rFonts w:hint="eastAsia" w:ascii="仿宋_GB2312" w:hAnsi="仿宋_GB2312" w:eastAsia="仿宋_GB2312" w:cs="仿宋_GB2312"/>
          <w:color w:val="333333"/>
          <w:kern w:val="0"/>
          <w:sz w:val="32"/>
          <w:szCs w:val="32"/>
          <w:shd w:val="clear" w:color="auto" w:fill="FFFFFF"/>
        </w:rPr>
        <w:t>万元，上年结转0万元，当年财政拨款收入</w:t>
      </w:r>
      <w:r>
        <w:rPr>
          <w:rFonts w:hint="eastAsia" w:ascii="仿宋_GB2312" w:hAnsi="仿宋_GB2312" w:eastAsia="仿宋_GB2312" w:cs="仿宋_GB2312"/>
          <w:color w:val="333333"/>
          <w:kern w:val="0"/>
          <w:sz w:val="32"/>
          <w:szCs w:val="32"/>
          <w:shd w:val="clear" w:color="auto" w:fill="FFFFFF"/>
          <w:lang w:val="en-US" w:eastAsia="zh-CN"/>
        </w:rPr>
        <w:t>275.42</w:t>
      </w:r>
      <w:r>
        <w:rPr>
          <w:rFonts w:hint="eastAsia" w:ascii="仿宋_GB2312" w:hAnsi="仿宋_GB2312" w:eastAsia="仿宋_GB2312" w:cs="仿宋_GB2312"/>
          <w:color w:val="333333"/>
          <w:kern w:val="0"/>
          <w:sz w:val="32"/>
          <w:szCs w:val="32"/>
          <w:shd w:val="clear" w:color="auto" w:fill="FFFFFF"/>
        </w:rPr>
        <w:t>万元，占100%，其</w:t>
      </w:r>
      <w:r>
        <w:rPr>
          <w:rFonts w:hint="eastAsia" w:ascii="仿宋_GB2312" w:hAnsi="仿宋_GB2312" w:eastAsia="仿宋_GB2312" w:cs="仿宋_GB2312"/>
          <w:bCs/>
          <w:sz w:val="32"/>
          <w:lang w:val="zh-CN"/>
        </w:rPr>
        <w:t xml:space="preserve">他收入 0万元，上年结转收入 </w:t>
      </w:r>
      <w:r>
        <w:rPr>
          <w:rFonts w:hint="eastAsia" w:ascii="仿宋_GB2312" w:hAnsi="仿宋_GB2312" w:eastAsia="仿宋_GB2312" w:cs="仿宋_GB2312"/>
          <w:bCs/>
          <w:sz w:val="32"/>
        </w:rPr>
        <w:t>0</w:t>
      </w:r>
      <w:r>
        <w:rPr>
          <w:rFonts w:hint="eastAsia" w:ascii="仿宋_GB2312" w:hAnsi="仿宋_GB2312" w:eastAsia="仿宋_GB2312" w:cs="仿宋_GB2312"/>
          <w:bCs/>
          <w:sz w:val="32"/>
          <w:lang w:val="zh-CN"/>
        </w:rPr>
        <w:t>万元。</w:t>
      </w:r>
    </w:p>
    <w:p>
      <w:pPr>
        <w:widowControl/>
        <w:wordWrap w:val="0"/>
        <w:topLinePunct/>
        <w:adjustRightInd w:val="0"/>
        <w:snapToGrid w:val="0"/>
        <w:spacing w:line="576" w:lineRule="exact"/>
        <w:ind w:firstLine="558" w:firstLineChars="200"/>
        <w:jc w:val="left"/>
        <w:rPr>
          <w:rFonts w:hint="eastAsia" w:ascii="仿宋_GB2312" w:hAnsi="仿宋_GB2312" w:eastAsia="仿宋_GB2312" w:cs="仿宋_GB2312"/>
          <w:spacing w:val="34"/>
          <w:sz w:val="32"/>
          <w:szCs w:val="32"/>
          <w:lang w:val="zh-CN"/>
        </w:rPr>
      </w:pPr>
      <w:r>
        <w:rPr>
          <w:rFonts w:hint="eastAsia" w:ascii="楷体" w:hAnsi="楷体" w:eastAsia="楷体" w:cs="楷体"/>
          <w:b/>
          <w:bCs/>
          <w:spacing w:val="34"/>
          <w:szCs w:val="32"/>
          <w:lang w:val="zh-CN"/>
        </w:rPr>
        <w:t>（</w:t>
      </w:r>
      <w:r>
        <w:rPr>
          <w:rFonts w:hint="eastAsia" w:ascii="楷体" w:hAnsi="楷体" w:eastAsia="楷体" w:cs="楷体"/>
          <w:b/>
          <w:bCs/>
          <w:spacing w:val="34"/>
          <w:sz w:val="32"/>
          <w:szCs w:val="32"/>
          <w:lang w:val="zh-CN"/>
        </w:rPr>
        <w:t>二）支出情况</w:t>
      </w:r>
      <w:r>
        <w:rPr>
          <w:rFonts w:hint="eastAsia" w:ascii="仿宋_GB2312" w:hAnsi="宋体" w:cs="宋体"/>
          <w:spacing w:val="34"/>
          <w:sz w:val="32"/>
          <w:szCs w:val="32"/>
          <w:lang w:val="zh-CN"/>
        </w:rPr>
        <w:t>。 </w:t>
      </w:r>
    </w:p>
    <w:p>
      <w:pPr>
        <w:spacing w:line="600" w:lineRule="exact"/>
        <w:ind w:firstLine="640"/>
        <w:rPr>
          <w:rFonts w:ascii="仿宋" w:eastAsia="仿宋"/>
          <w:color w:val="000000" w:themeColor="text1"/>
          <w:sz w:val="32"/>
          <w:szCs w:val="32"/>
          <w:shd w:val="pct10" w:color="auto" w:fill="FFFFFF"/>
        </w:rPr>
      </w:pPr>
      <w:r>
        <w:rPr>
          <w:rFonts w:ascii="仿宋" w:eastAsia="仿宋"/>
          <w:color w:val="000000" w:themeColor="text1"/>
          <w:sz w:val="32"/>
          <w:szCs w:val="32"/>
        </w:rPr>
        <w:t>202</w:t>
      </w:r>
      <w:r>
        <w:rPr>
          <w:rFonts w:hint="eastAsia" w:ascii="仿宋" w:eastAsia="仿宋"/>
          <w:color w:val="000000" w:themeColor="text1"/>
          <w:sz w:val="32"/>
          <w:szCs w:val="32"/>
        </w:rPr>
        <w:t>4年本年总支出</w:t>
      </w:r>
      <w:r>
        <w:rPr>
          <w:rFonts w:hint="eastAsia" w:ascii="仿宋" w:eastAsia="仿宋" w:cs="仿宋"/>
          <w:bCs/>
          <w:color w:val="000000" w:themeColor="text1"/>
          <w:sz w:val="32"/>
          <w:szCs w:val="32"/>
        </w:rPr>
        <w:t>275.42</w:t>
      </w:r>
      <w:r>
        <w:rPr>
          <w:rFonts w:hint="eastAsia" w:ascii="仿宋" w:eastAsia="仿宋"/>
          <w:color w:val="000000" w:themeColor="text1"/>
          <w:sz w:val="32"/>
          <w:szCs w:val="32"/>
        </w:rPr>
        <w:t>万元，其中：基本支出</w:t>
      </w:r>
      <w:r>
        <w:rPr>
          <w:rFonts w:hint="eastAsia" w:ascii="仿宋_GB2312" w:eastAsia="仿宋_GB2312"/>
          <w:color w:val="000000" w:themeColor="text1"/>
          <w:spacing w:val="-2"/>
          <w:sz w:val="32"/>
          <w:szCs w:val="32"/>
        </w:rPr>
        <w:t>145.55</w:t>
      </w:r>
      <w:r>
        <w:rPr>
          <w:rFonts w:hint="eastAsia" w:ascii="仿宋" w:eastAsia="仿宋"/>
          <w:color w:val="000000" w:themeColor="text1"/>
          <w:sz w:val="32"/>
          <w:szCs w:val="32"/>
        </w:rPr>
        <w:t>万元，占52.85 %；项目支出129.87万元，占47.15%；上缴上级支出0万元，占0%；经营支出0万元，占0</w:t>
      </w:r>
      <w:r>
        <w:rPr>
          <w:rFonts w:ascii="仿宋" w:eastAsia="仿宋"/>
          <w:color w:val="000000" w:themeColor="text1"/>
          <w:sz w:val="32"/>
          <w:szCs w:val="32"/>
        </w:rPr>
        <w:t>%</w:t>
      </w:r>
      <w:r>
        <w:rPr>
          <w:rFonts w:hint="eastAsia" w:ascii="仿宋" w:eastAsia="仿宋"/>
          <w:color w:val="000000" w:themeColor="text1"/>
          <w:sz w:val="32"/>
          <w:szCs w:val="32"/>
        </w:rPr>
        <w:t>；对附属单位补助支出0万元，占0</w:t>
      </w:r>
      <w:r>
        <w:rPr>
          <w:rFonts w:ascii="仿宋" w:eastAsia="仿宋"/>
          <w:color w:val="000000" w:themeColor="text1"/>
          <w:sz w:val="32"/>
          <w:szCs w:val="32"/>
        </w:rPr>
        <w:t>%</w:t>
      </w:r>
      <w:r>
        <w:rPr>
          <w:rFonts w:hint="eastAsia" w:ascii="仿宋" w:eastAsia="仿宋"/>
          <w:color w:val="000000" w:themeColor="text1"/>
          <w:sz w:val="32"/>
          <w:szCs w:val="32"/>
        </w:rPr>
        <w:t>。</w:t>
      </w:r>
    </w:p>
    <w:p>
      <w:pPr>
        <w:spacing w:line="576" w:lineRule="exact"/>
        <w:jc w:val="left"/>
        <w:rPr>
          <w:rFonts w:hint="eastAsia" w:ascii="仿宋" w:hAnsi="仿宋" w:eastAsia="仿宋" w:cs="仿宋"/>
          <w:sz w:val="32"/>
          <w:szCs w:val="32"/>
        </w:rPr>
      </w:pPr>
    </w:p>
    <w:p>
      <w:pPr>
        <w:spacing w:line="600" w:lineRule="exact"/>
        <w:ind w:firstLine="640"/>
        <w:rPr>
          <w:rFonts w:hint="eastAsia" w:ascii="仿宋_GB2312" w:hAnsi="仿宋_GB2312" w:eastAsia="仿宋_GB2312" w:cs="仿宋_GB2312"/>
          <w:bCs/>
          <w:sz w:val="32"/>
          <w:lang w:val="zh-CN"/>
        </w:rPr>
      </w:pPr>
      <w:r>
        <w:rPr>
          <w:rFonts w:ascii="仿宋" w:eastAsia="仿宋"/>
          <w:color w:val="000000"/>
          <w:sz w:val="32"/>
          <w:szCs w:val="32"/>
        </w:rPr>
        <w:t>2</w:t>
      </w:r>
      <w:r>
        <w:rPr>
          <w:rFonts w:hint="eastAsia" w:ascii="仿宋_GB2312" w:hAnsi="仿宋_GB2312" w:eastAsia="仿宋_GB2312" w:cs="仿宋_GB2312"/>
          <w:bCs/>
          <w:sz w:val="32"/>
          <w:lang w:val="zh-CN"/>
        </w:rPr>
        <w:t>024年一般公共预算财政拨款支出</w:t>
      </w:r>
      <w:r>
        <w:rPr>
          <w:rFonts w:hint="eastAsia" w:ascii="仿宋_GB2312" w:hAnsi="仿宋_GB2312" w:eastAsia="仿宋_GB2312" w:cs="仿宋_GB2312"/>
          <w:bCs/>
          <w:sz w:val="32"/>
          <w:lang w:val="en-US" w:eastAsia="zh-CN"/>
        </w:rPr>
        <w:t>275.42</w:t>
      </w:r>
      <w:r>
        <w:rPr>
          <w:rFonts w:hint="eastAsia" w:ascii="仿宋_GB2312" w:hAnsi="仿宋_GB2312" w:eastAsia="仿宋_GB2312" w:cs="仿宋_GB2312"/>
          <w:bCs/>
          <w:sz w:val="32"/>
          <w:lang w:val="zh-CN"/>
        </w:rPr>
        <w:t>万元，主要用于以下方面:文化旅游体育与传媒支出</w:t>
      </w:r>
      <w:r>
        <w:rPr>
          <w:rFonts w:hint="eastAsia" w:ascii="仿宋_GB2312" w:hAnsi="仿宋_GB2312" w:eastAsia="仿宋_GB2312" w:cs="仿宋_GB2312"/>
          <w:bCs/>
          <w:sz w:val="32"/>
          <w:lang w:val="en-US" w:eastAsia="zh-CN"/>
        </w:rPr>
        <w:t>236.59</w:t>
      </w:r>
      <w:r>
        <w:rPr>
          <w:rFonts w:hint="eastAsia" w:ascii="仿宋_GB2312" w:hAnsi="仿宋_GB2312" w:eastAsia="仿宋_GB2312" w:cs="仿宋_GB2312"/>
          <w:bCs/>
          <w:sz w:val="32"/>
          <w:lang w:val="zh-CN"/>
        </w:rPr>
        <w:t>万元，占74 %；社会保障和就业支出101万元，占0.005 %；卫生健康支出46.72万元，占0.003%；农林水支出：368.16万元。占21%；住房保障支出57.73万元，占0.003%，其他支出477.84万元，占0.09%。</w:t>
      </w:r>
    </w:p>
    <w:p>
      <w:pPr>
        <w:spacing w:line="576" w:lineRule="exact"/>
        <w:ind w:firstLine="320" w:firstLineChars="100"/>
        <w:jc w:val="left"/>
        <w:rPr>
          <w:rFonts w:hint="eastAsia" w:ascii="仿宋_GB2312" w:hAnsi="仿宋_GB2312" w:eastAsia="仿宋_GB2312" w:cs="仿宋_GB2312"/>
          <w:bCs/>
          <w:sz w:val="32"/>
          <w:lang w:val="zh-CN"/>
        </w:rPr>
      </w:pPr>
      <w:r>
        <w:rPr>
          <w:rFonts w:hint="eastAsia" w:ascii="仿宋_GB2312" w:hAnsi="仿宋_GB2312" w:eastAsia="仿宋_GB2312" w:cs="仿宋_GB2312"/>
          <w:bCs/>
          <w:sz w:val="32"/>
          <w:lang w:val="zh-CN"/>
        </w:rPr>
        <w:t>2024年一般公共预算财政拨款基本支出万元，其中：</w:t>
      </w:r>
    </w:p>
    <w:p>
      <w:pPr>
        <w:spacing w:line="600" w:lineRule="exact"/>
        <w:ind w:firstLine="645"/>
        <w:rPr>
          <w:rFonts w:ascii="仿宋" w:eastAsia="仿宋"/>
          <w:color w:val="auto"/>
          <w:sz w:val="32"/>
          <w:szCs w:val="32"/>
        </w:rPr>
      </w:pPr>
      <w:r>
        <w:rPr>
          <w:rFonts w:ascii="仿宋" w:eastAsia="仿宋"/>
          <w:color w:val="auto"/>
          <w:sz w:val="32"/>
          <w:szCs w:val="32"/>
        </w:rPr>
        <w:t>20</w:t>
      </w:r>
      <w:r>
        <w:rPr>
          <w:rFonts w:hint="eastAsia" w:ascii="仿宋" w:eastAsia="仿宋"/>
          <w:color w:val="auto"/>
          <w:sz w:val="32"/>
          <w:szCs w:val="32"/>
        </w:rPr>
        <w:t>24年一般公共预算财政拨款基本支出275.42万元，其中：</w:t>
      </w:r>
    </w:p>
    <w:p>
      <w:pPr>
        <w:spacing w:line="600" w:lineRule="exact"/>
        <w:ind w:firstLine="645"/>
        <w:rPr>
          <w:rFonts w:ascii="仿宋" w:eastAsia="仿宋"/>
          <w:color w:val="auto"/>
          <w:sz w:val="32"/>
          <w:szCs w:val="32"/>
        </w:rPr>
      </w:pPr>
      <w:r>
        <w:rPr>
          <w:rFonts w:hint="eastAsia" w:ascii="仿宋" w:eastAsia="仿宋"/>
          <w:color w:val="auto"/>
          <w:sz w:val="32"/>
          <w:szCs w:val="32"/>
        </w:rPr>
        <w:t xml:space="preserve">人员经费134.15万元，主要包括：基本工资 25.99 万元、津贴补贴34.36万元、奖金34.41万元、机关事业单位基本养老保险缴费13.51 万元、职业年金缴费6.44万元、职工基本医疗保险缴费 </w:t>
      </w:r>
      <w:r>
        <w:rPr>
          <w:rFonts w:ascii="仿宋" w:eastAsia="仿宋"/>
          <w:color w:val="auto"/>
          <w:sz w:val="32"/>
          <w:szCs w:val="32"/>
        </w:rPr>
        <w:t>5.</w:t>
      </w:r>
      <w:r>
        <w:rPr>
          <w:rFonts w:hint="eastAsia" w:ascii="仿宋" w:eastAsia="仿宋"/>
          <w:color w:val="auto"/>
          <w:sz w:val="32"/>
          <w:szCs w:val="32"/>
        </w:rPr>
        <w:t>81万元、公务员医疗补助缴费1.51万元、其他社会保障缴费1.76万元、住房公积金10.36万元。　</w:t>
      </w:r>
    </w:p>
    <w:p>
      <w:pPr>
        <w:pStyle w:val="38"/>
        <w:ind w:leftChars="1" w:hanging="198" w:hangingChars="62"/>
        <w:rPr>
          <w:rFonts w:hint="eastAsia" w:ascii="仿宋_GB2312" w:hAnsi="仿宋_GB2312" w:eastAsia="仿宋_GB2312" w:cs="仿宋_GB2312"/>
          <w:bCs/>
          <w:sz w:val="32"/>
          <w:lang w:val="zh-CN"/>
        </w:rPr>
      </w:pPr>
      <w:r>
        <w:rPr>
          <w:rFonts w:hint="eastAsia" w:ascii="仿宋" w:eastAsia="仿宋"/>
          <w:color w:val="auto"/>
          <w:sz w:val="32"/>
          <w:szCs w:val="32"/>
        </w:rPr>
        <w:t>项目支出129.87万元，公用经费11.4万元.</w:t>
      </w:r>
    </w:p>
    <w:p>
      <w:pPr>
        <w:numPr>
          <w:ilvl w:val="0"/>
          <w:numId w:val="3"/>
        </w:numPr>
        <w:spacing w:line="576" w:lineRule="exact"/>
        <w:ind w:firstLine="779" w:firstLineChars="200"/>
        <w:jc w:val="left"/>
        <w:rPr>
          <w:rFonts w:ascii="楷体" w:hAnsi="楷体" w:eastAsia="楷体" w:cs="楷体"/>
          <w:b/>
          <w:bCs/>
          <w:spacing w:val="34"/>
          <w:sz w:val="32"/>
          <w:szCs w:val="32"/>
        </w:rPr>
      </w:pPr>
      <w:r>
        <w:rPr>
          <w:rFonts w:ascii="楷体" w:hAnsi="楷体" w:eastAsia="楷体" w:cs="楷体"/>
          <w:b/>
          <w:bCs/>
          <w:spacing w:val="34"/>
          <w:sz w:val="32"/>
          <w:szCs w:val="32"/>
        </w:rPr>
        <w:t>结余分配和结转结余情况</w:t>
      </w:r>
    </w:p>
    <w:p>
      <w:pPr>
        <w:spacing w:line="576" w:lineRule="exac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本单位2024年决算报表无</w:t>
      </w:r>
      <w:r>
        <w:rPr>
          <w:rFonts w:ascii="仿宋_GB2312" w:hAnsi="仿宋_GB2312" w:eastAsia="仿宋_GB2312" w:cs="仿宋_GB2312"/>
          <w:color w:val="333333"/>
          <w:kern w:val="0"/>
          <w:sz w:val="32"/>
          <w:szCs w:val="32"/>
          <w:shd w:val="clear" w:color="auto" w:fill="FFFFFF"/>
        </w:rPr>
        <w:t>结转结余</w:t>
      </w:r>
      <w:r>
        <w:rPr>
          <w:rFonts w:hint="eastAsia" w:ascii="仿宋_GB2312" w:hAnsi="仿宋_GB2312" w:eastAsia="仿宋_GB2312" w:cs="仿宋_GB2312"/>
          <w:color w:val="333333"/>
          <w:kern w:val="0"/>
          <w:sz w:val="32"/>
          <w:szCs w:val="32"/>
          <w:shd w:val="clear" w:color="auto" w:fill="FFFFFF"/>
        </w:rPr>
        <w:t>资金</w:t>
      </w:r>
      <w:r>
        <w:rPr>
          <w:rFonts w:ascii="仿宋_GB2312" w:hAnsi="仿宋_GB2312" w:eastAsia="仿宋_GB2312" w:cs="仿宋_GB2312"/>
          <w:color w:val="333333"/>
          <w:kern w:val="0"/>
          <w:sz w:val="32"/>
          <w:szCs w:val="32"/>
          <w:shd w:val="clear" w:color="auto" w:fill="FFFFFF"/>
        </w:rPr>
        <w:t>。</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三、部门预算绩效分析</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（一）</w:t>
      </w:r>
      <w:r>
        <w:rPr>
          <w:rFonts w:hint="eastAsia" w:ascii="仿宋_GB2312" w:hAnsi="仿宋_GB2312" w:eastAsia="仿宋_GB2312" w:cs="仿宋_GB2312"/>
          <w:color w:val="333333"/>
          <w:kern w:val="0"/>
          <w:sz w:val="32"/>
          <w:szCs w:val="32"/>
          <w:shd w:val="clear" w:color="auto" w:fill="FFFFFF"/>
        </w:rPr>
        <w:t>部门预算</w:t>
      </w:r>
      <w:r>
        <w:rPr>
          <w:rFonts w:ascii="仿宋_GB2312" w:hAnsi="仿宋_GB2312" w:eastAsia="仿宋_GB2312" w:cs="仿宋_GB2312"/>
          <w:color w:val="333333"/>
          <w:kern w:val="0"/>
          <w:sz w:val="32"/>
          <w:szCs w:val="32"/>
          <w:shd w:val="clear" w:color="auto" w:fill="FFFFFF"/>
        </w:rPr>
        <w:t>总体绩效分析。根据部门预算绩效评价指标体系“总体绩效”涉及</w:t>
      </w:r>
      <w:r>
        <w:rPr>
          <w:rFonts w:hint="eastAsia" w:ascii="仿宋_GB2312" w:hAnsi="仿宋_GB2312" w:eastAsia="仿宋_GB2312" w:cs="仿宋_GB2312"/>
          <w:color w:val="333333"/>
          <w:kern w:val="0"/>
          <w:sz w:val="32"/>
          <w:szCs w:val="32"/>
          <w:shd w:val="clear" w:color="auto" w:fill="FFFFFF"/>
        </w:rPr>
        <w:t>二、三级</w:t>
      </w:r>
      <w:r>
        <w:rPr>
          <w:rFonts w:ascii="仿宋_GB2312" w:hAnsi="仿宋_GB2312" w:eastAsia="仿宋_GB2312" w:cs="仿宋_GB2312"/>
          <w:color w:val="333333"/>
          <w:kern w:val="0"/>
          <w:sz w:val="32"/>
          <w:szCs w:val="32"/>
          <w:shd w:val="clear" w:color="auto" w:fill="FFFFFF"/>
        </w:rPr>
        <w:t>指标进行</w:t>
      </w:r>
      <w:r>
        <w:rPr>
          <w:rFonts w:hint="eastAsia" w:ascii="仿宋_GB2312" w:hAnsi="仿宋_GB2312" w:eastAsia="仿宋_GB2312" w:cs="仿宋_GB2312"/>
          <w:color w:val="333333"/>
          <w:kern w:val="0"/>
          <w:sz w:val="32"/>
          <w:szCs w:val="32"/>
          <w:shd w:val="clear" w:color="auto" w:fill="FFFFFF"/>
        </w:rPr>
        <w:t>逐项</w:t>
      </w:r>
      <w:r>
        <w:rPr>
          <w:rFonts w:ascii="仿宋_GB2312" w:hAnsi="仿宋_GB2312" w:eastAsia="仿宋_GB2312" w:cs="仿宋_GB2312"/>
          <w:color w:val="333333"/>
          <w:kern w:val="0"/>
          <w:sz w:val="32"/>
          <w:szCs w:val="32"/>
          <w:shd w:val="clear" w:color="auto" w:fill="FFFFFF"/>
        </w:rPr>
        <w:t>绩效分析</w:t>
      </w:r>
      <w:r>
        <w:rPr>
          <w:rFonts w:hint="eastAsia" w:ascii="仿宋_GB2312" w:hAnsi="仿宋_GB2312" w:eastAsia="仿宋_GB2312" w:cs="仿宋_GB2312"/>
          <w:color w:val="333333"/>
          <w:kern w:val="0"/>
          <w:sz w:val="32"/>
          <w:szCs w:val="32"/>
          <w:shd w:val="clear" w:color="auto" w:fill="FFFFFF"/>
        </w:rPr>
        <w:t>并评分</w:t>
      </w:r>
      <w:r>
        <w:rPr>
          <w:rFonts w:ascii="仿宋_GB2312" w:hAnsi="仿宋_GB2312" w:eastAsia="仿宋_GB2312" w:cs="仿宋_GB2312"/>
          <w:color w:val="333333"/>
          <w:kern w:val="0"/>
          <w:sz w:val="32"/>
          <w:szCs w:val="32"/>
          <w:shd w:val="clear" w:color="auto" w:fill="FFFFFF"/>
        </w:rPr>
        <w:t>，依次包括履职效能、预算管理、财务管理、资产管理、采购管理等情况。</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1.履职效能。综合自评得分15分。</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2.</w:t>
      </w:r>
      <w:r>
        <w:rPr>
          <w:rFonts w:ascii="仿宋_GB2312" w:hAnsi="仿宋_GB2312" w:eastAsia="仿宋_GB2312" w:cs="仿宋_GB2312"/>
          <w:color w:val="333333"/>
          <w:kern w:val="0"/>
          <w:sz w:val="32"/>
          <w:szCs w:val="32"/>
          <w:shd w:val="clear" w:color="auto" w:fill="FFFFFF"/>
        </w:rPr>
        <w:t>预算管理</w:t>
      </w:r>
      <w:r>
        <w:rPr>
          <w:rFonts w:hint="eastAsia" w:ascii="仿宋_GB2312" w:hAnsi="仿宋_GB2312" w:eastAsia="仿宋_GB2312" w:cs="仿宋_GB2312"/>
          <w:color w:val="333333"/>
          <w:kern w:val="0"/>
          <w:sz w:val="32"/>
          <w:szCs w:val="32"/>
          <w:shd w:val="clear" w:color="auto" w:fill="FFFFFF"/>
        </w:rPr>
        <w:t>。总分共2</w:t>
      </w:r>
      <w:r>
        <w:rPr>
          <w:rFonts w:hint="eastAsia" w:ascii="仿宋_GB2312" w:hAnsi="仿宋_GB2312" w:eastAsia="仿宋_GB2312" w:cs="仿宋_GB2312"/>
          <w:color w:val="333333"/>
          <w:kern w:val="0"/>
          <w:sz w:val="32"/>
          <w:szCs w:val="32"/>
          <w:shd w:val="clear" w:color="auto" w:fill="FFFFFF"/>
          <w:lang w:val="en-US" w:eastAsia="zh-CN"/>
        </w:rPr>
        <w:t>3</w:t>
      </w:r>
      <w:r>
        <w:rPr>
          <w:rFonts w:hint="eastAsia" w:ascii="仿宋_GB2312" w:hAnsi="仿宋_GB2312" w:eastAsia="仿宋_GB2312" w:cs="仿宋_GB2312"/>
          <w:color w:val="333333"/>
          <w:kern w:val="0"/>
          <w:sz w:val="32"/>
          <w:szCs w:val="32"/>
          <w:shd w:val="clear" w:color="auto" w:fill="FFFFFF"/>
        </w:rPr>
        <w:t>分，自评21分：预算编制质量严格按要求编制年初部门预算，年初预算编制的科学性和准确性，自评得7分；单位收入统筹完整、有效、执行率高，自评得3分；支出执行进度严格按照执行进度进行，自评得5分，预算年终结余，自评得2分；部门严控“三公”经费、会议、培训、差旅、办节办展、办公设备购置、信息网络及软件购置更新、课题经费等8项一般性支出，“三公”经费均与上年预算数持平，自评得4分。</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3.</w:t>
      </w:r>
      <w:r>
        <w:rPr>
          <w:rFonts w:ascii="仿宋_GB2312" w:hAnsi="仿宋_GB2312" w:eastAsia="仿宋_GB2312" w:cs="仿宋_GB2312"/>
          <w:color w:val="333333"/>
          <w:kern w:val="0"/>
          <w:sz w:val="32"/>
          <w:szCs w:val="32"/>
          <w:shd w:val="clear" w:color="auto" w:fill="FFFFFF"/>
        </w:rPr>
        <w:t>财务管理</w:t>
      </w:r>
      <w:r>
        <w:rPr>
          <w:rFonts w:hint="eastAsia" w:ascii="仿宋_GB2312" w:hAnsi="仿宋_GB2312" w:eastAsia="仿宋_GB2312" w:cs="仿宋_GB2312"/>
          <w:color w:val="333333"/>
          <w:kern w:val="0"/>
          <w:sz w:val="32"/>
          <w:szCs w:val="32"/>
          <w:shd w:val="clear" w:color="auto" w:fill="FFFFFF"/>
        </w:rPr>
        <w:t xml:space="preserve">。本部门已按照要求制定了内部财务管理制度，并严格遵照执行，自评得3分；合理设置了财务工作岗位，明确职责权限，并严格实行不相容岗位分离，自评得2分；本部门资金使用完全符合相关财务管理制度规定，不存在违规情况，自评得4分。   </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4.</w:t>
      </w:r>
      <w:r>
        <w:rPr>
          <w:rFonts w:ascii="仿宋_GB2312" w:hAnsi="仿宋_GB2312" w:eastAsia="仿宋_GB2312" w:cs="仿宋_GB2312"/>
          <w:color w:val="333333"/>
          <w:kern w:val="0"/>
          <w:sz w:val="32"/>
          <w:szCs w:val="32"/>
          <w:shd w:val="clear" w:color="auto" w:fill="FFFFFF"/>
        </w:rPr>
        <w:t>资产管理</w:t>
      </w:r>
      <w:r>
        <w:rPr>
          <w:rFonts w:hint="eastAsia" w:ascii="仿宋_GB2312" w:hAnsi="仿宋_GB2312" w:eastAsia="仿宋_GB2312" w:cs="仿宋_GB2312"/>
          <w:color w:val="333333"/>
          <w:kern w:val="0"/>
          <w:sz w:val="32"/>
          <w:szCs w:val="32"/>
          <w:shd w:val="clear" w:color="auto" w:fill="FFFFFF"/>
        </w:rPr>
        <w:t>。2024年度本单位人均资产变化率无明显变化，资产利用率较高、无单位闲置资产，本项自评综合得9分。</w:t>
      </w:r>
    </w:p>
    <w:p>
      <w:pPr>
        <w:pBdr>
          <w:bottom w:val="single" w:color="FFFFFF" w:sz="4" w:space="29"/>
        </w:pBdr>
        <w:tabs>
          <w:tab w:val="left" w:pos="1440"/>
        </w:tabs>
        <w:spacing w:line="576" w:lineRule="atLeas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三、目标实现情况</w:t>
      </w:r>
    </w:p>
    <w:p>
      <w:pPr>
        <w:pBdr>
          <w:bottom w:val="single" w:color="FFFFFF" w:sz="4" w:space="29"/>
        </w:pBdr>
        <w:tabs>
          <w:tab w:val="left" w:pos="1440"/>
        </w:tabs>
        <w:spacing w:line="576" w:lineRule="atLeas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（一）部门预算预计目标完成情况年初预算收入</w:t>
      </w:r>
      <w:r>
        <w:rPr>
          <w:rFonts w:hint="eastAsia" w:ascii="仿宋_GB2312" w:hAnsi="仿宋_GB2312" w:eastAsia="仿宋_GB2312" w:cs="仿宋_GB2312"/>
          <w:color w:val="333333"/>
          <w:kern w:val="0"/>
          <w:sz w:val="32"/>
          <w:szCs w:val="32"/>
          <w:shd w:val="clear" w:color="auto" w:fill="FFFFFF"/>
          <w:lang w:val="en-US" w:eastAsia="zh-CN"/>
        </w:rPr>
        <w:t>275.42</w:t>
      </w:r>
      <w:r>
        <w:rPr>
          <w:rFonts w:hint="eastAsia" w:ascii="仿宋_GB2312" w:hAnsi="仿宋_GB2312" w:eastAsia="仿宋_GB2312" w:cs="仿宋_GB2312"/>
          <w:color w:val="333333"/>
          <w:kern w:val="0"/>
          <w:sz w:val="32"/>
          <w:szCs w:val="32"/>
          <w:shd w:val="clear" w:color="auto" w:fill="FFFFFF"/>
        </w:rPr>
        <w:t>元，完成支付</w:t>
      </w:r>
      <w:r>
        <w:rPr>
          <w:rFonts w:hint="eastAsia" w:ascii="仿宋_GB2312" w:hAnsi="仿宋_GB2312" w:eastAsia="仿宋_GB2312" w:cs="仿宋_GB2312"/>
          <w:color w:val="333333"/>
          <w:kern w:val="0"/>
          <w:sz w:val="32"/>
          <w:szCs w:val="32"/>
          <w:shd w:val="clear" w:color="auto" w:fill="FFFFFF"/>
          <w:lang w:val="en-US" w:eastAsia="zh-CN"/>
        </w:rPr>
        <w:t>275.42</w:t>
      </w:r>
      <w:r>
        <w:rPr>
          <w:rFonts w:hint="eastAsia" w:ascii="仿宋_GB2312" w:hAnsi="仿宋_GB2312" w:eastAsia="仿宋_GB2312" w:cs="仿宋_GB2312"/>
          <w:color w:val="333333"/>
          <w:kern w:val="0"/>
          <w:sz w:val="32"/>
          <w:szCs w:val="32"/>
          <w:shd w:val="clear" w:color="auto" w:fill="FFFFFF"/>
        </w:rPr>
        <w:t>万元，其中项目经费完成支付</w:t>
      </w:r>
      <w:r>
        <w:rPr>
          <w:rFonts w:hint="eastAsia" w:ascii="仿宋_GB2312" w:hAnsi="仿宋_GB2312" w:eastAsia="仿宋_GB2312" w:cs="仿宋_GB2312"/>
          <w:color w:val="333333"/>
          <w:kern w:val="0"/>
          <w:sz w:val="32"/>
          <w:szCs w:val="32"/>
          <w:shd w:val="clear" w:color="auto" w:fill="FFFFFF"/>
          <w:lang w:val="en-US" w:eastAsia="zh-CN"/>
        </w:rPr>
        <w:t>129.87</w:t>
      </w:r>
      <w:r>
        <w:rPr>
          <w:rFonts w:hint="eastAsia" w:ascii="仿宋_GB2312" w:hAnsi="仿宋_GB2312" w:eastAsia="仿宋_GB2312" w:cs="仿宋_GB2312"/>
          <w:color w:val="333333"/>
          <w:kern w:val="0"/>
          <w:sz w:val="32"/>
          <w:szCs w:val="32"/>
          <w:shd w:val="clear" w:color="auto" w:fill="FFFFFF"/>
        </w:rPr>
        <w:t>万元。</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（二）部门预算项目绩效分析。</w:t>
      </w:r>
      <w:r>
        <w:rPr>
          <w:rFonts w:hint="eastAsia" w:ascii="仿宋_GB2312" w:hAnsi="仿宋_GB2312" w:eastAsia="仿宋_GB2312" w:cs="仿宋_GB2312"/>
          <w:color w:val="333333"/>
          <w:kern w:val="0"/>
          <w:sz w:val="32"/>
          <w:szCs w:val="32"/>
          <w:shd w:val="clear" w:color="auto" w:fill="FFFFFF"/>
        </w:rPr>
        <w:t>填报以下数据，并</w:t>
      </w:r>
      <w:r>
        <w:rPr>
          <w:rFonts w:ascii="仿宋_GB2312" w:hAnsi="仿宋_GB2312" w:eastAsia="仿宋_GB2312" w:cs="仿宋_GB2312"/>
          <w:color w:val="333333"/>
          <w:kern w:val="0"/>
          <w:sz w:val="32"/>
          <w:szCs w:val="32"/>
          <w:shd w:val="clear" w:color="auto" w:fill="FFFFFF"/>
        </w:rPr>
        <w:t>根据部门预算绩效评价指标体系“项目绩效”涉及</w:t>
      </w:r>
      <w:r>
        <w:rPr>
          <w:rFonts w:hint="eastAsia" w:ascii="仿宋_GB2312" w:hAnsi="仿宋_GB2312" w:eastAsia="仿宋_GB2312" w:cs="仿宋_GB2312"/>
          <w:color w:val="333333"/>
          <w:kern w:val="0"/>
          <w:sz w:val="32"/>
          <w:szCs w:val="32"/>
          <w:shd w:val="clear" w:color="auto" w:fill="FFFFFF"/>
        </w:rPr>
        <w:t>二、三级</w:t>
      </w:r>
      <w:r>
        <w:rPr>
          <w:rFonts w:ascii="仿宋_GB2312" w:hAnsi="仿宋_GB2312" w:eastAsia="仿宋_GB2312" w:cs="仿宋_GB2312"/>
          <w:color w:val="333333"/>
          <w:kern w:val="0"/>
          <w:sz w:val="32"/>
          <w:szCs w:val="32"/>
          <w:shd w:val="clear" w:color="auto" w:fill="FFFFFF"/>
        </w:rPr>
        <w:t>指标进行</w:t>
      </w:r>
      <w:r>
        <w:rPr>
          <w:rFonts w:hint="eastAsia" w:ascii="仿宋_GB2312" w:hAnsi="仿宋_GB2312" w:eastAsia="仿宋_GB2312" w:cs="仿宋_GB2312"/>
          <w:color w:val="333333"/>
          <w:kern w:val="0"/>
          <w:sz w:val="32"/>
          <w:szCs w:val="32"/>
          <w:shd w:val="clear" w:color="auto" w:fill="FFFFFF"/>
        </w:rPr>
        <w:t>逐项</w:t>
      </w:r>
      <w:r>
        <w:rPr>
          <w:rFonts w:ascii="仿宋_GB2312" w:hAnsi="仿宋_GB2312" w:eastAsia="仿宋_GB2312" w:cs="仿宋_GB2312"/>
          <w:color w:val="333333"/>
          <w:kern w:val="0"/>
          <w:sz w:val="32"/>
          <w:szCs w:val="32"/>
          <w:shd w:val="clear" w:color="auto" w:fill="FFFFFF"/>
        </w:rPr>
        <w:t>绩效分析</w:t>
      </w:r>
      <w:r>
        <w:rPr>
          <w:rFonts w:hint="eastAsia" w:ascii="仿宋_GB2312" w:hAnsi="仿宋_GB2312" w:eastAsia="仿宋_GB2312" w:cs="仿宋_GB2312"/>
          <w:color w:val="333333"/>
          <w:kern w:val="0"/>
          <w:sz w:val="32"/>
          <w:szCs w:val="32"/>
          <w:shd w:val="clear" w:color="auto" w:fill="FFFFFF"/>
        </w:rPr>
        <w:t>并评分</w:t>
      </w:r>
      <w:r>
        <w:rPr>
          <w:rFonts w:ascii="仿宋_GB2312" w:hAnsi="仿宋_GB2312" w:eastAsia="仿宋_GB2312" w:cs="仿宋_GB2312"/>
          <w:color w:val="333333"/>
          <w:kern w:val="0"/>
          <w:sz w:val="32"/>
          <w:szCs w:val="32"/>
          <w:shd w:val="clear" w:color="auto" w:fill="FFFFFF"/>
        </w:rPr>
        <w:t>，依次包括项目决策、项目执行、目标实现等情况</w:t>
      </w:r>
      <w:r>
        <w:rPr>
          <w:rFonts w:hint="eastAsia" w:ascii="仿宋_GB2312" w:hAnsi="仿宋_GB2312" w:eastAsia="仿宋_GB2312" w:cs="仿宋_GB2312"/>
          <w:color w:val="333333"/>
          <w:kern w:val="0"/>
          <w:sz w:val="32"/>
          <w:szCs w:val="32"/>
          <w:shd w:val="clear" w:color="auto" w:fill="FFFFFF"/>
        </w:rPr>
        <w:t>。</w:t>
      </w:r>
    </w:p>
    <w:p>
      <w:pPr>
        <w:pBdr>
          <w:bottom w:val="single" w:color="FFFFFF" w:sz="4" w:space="29"/>
        </w:pBdr>
        <w:tabs>
          <w:tab w:val="left" w:pos="1440"/>
        </w:tabs>
        <w:spacing w:line="576" w:lineRule="atLeast"/>
        <w:ind w:firstLine="640" w:firstLineChars="200"/>
        <w:jc w:val="left"/>
        <w:rPr>
          <w:rFonts w:hint="eastAsia" w:ascii="仿宋_GB2312" w:hAnsi="仿宋_GB2312" w:eastAsia="仿宋_GB2312" w:cs="仿宋_GB2312"/>
          <w:color w:val="333333"/>
          <w:kern w:val="0"/>
          <w:sz w:val="32"/>
          <w:szCs w:val="32"/>
          <w:shd w:val="clear" w:color="auto" w:fill="FFFFFF"/>
        </w:rPr>
      </w:pP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四、评价结论及建议</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（一）评价结论。</w:t>
      </w:r>
      <w:r>
        <w:rPr>
          <w:rFonts w:hint="eastAsia" w:ascii="仿宋_GB2312" w:hAnsi="仿宋_GB2312" w:eastAsia="仿宋_GB2312" w:cs="仿宋_GB2312"/>
          <w:color w:val="333333"/>
          <w:kern w:val="0"/>
          <w:sz w:val="32"/>
          <w:szCs w:val="32"/>
          <w:shd w:val="clear" w:color="auto" w:fill="FFFFFF"/>
        </w:rPr>
        <w:t>根据金财监绩〔2025〕35号文件的附件1部门支出绩效评价指标体系进行单位自评，圆满完成绩效自评工作，圆满完成中央、省、州委和县的重要工作、目标任务。</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本单位总体评价内容内实际得分9</w:t>
      </w:r>
      <w:r>
        <w:rPr>
          <w:rFonts w:hint="eastAsia" w:ascii="仿宋_GB2312" w:hAnsi="仿宋_GB2312" w:eastAsia="仿宋_GB2312" w:cs="仿宋_GB2312"/>
          <w:color w:val="333333"/>
          <w:kern w:val="0"/>
          <w:sz w:val="32"/>
          <w:szCs w:val="32"/>
          <w:shd w:val="clear" w:color="auto" w:fill="FFFFFF"/>
          <w:lang w:val="en-US" w:eastAsia="zh-CN"/>
        </w:rPr>
        <w:t>3</w:t>
      </w:r>
      <w:bookmarkStart w:id="84" w:name="_GoBack"/>
      <w:bookmarkEnd w:id="84"/>
      <w:r>
        <w:rPr>
          <w:rFonts w:hint="eastAsia" w:ascii="仿宋_GB2312" w:hAnsi="仿宋_GB2312" w:eastAsia="仿宋_GB2312" w:cs="仿宋_GB2312"/>
          <w:color w:val="333333"/>
          <w:kern w:val="0"/>
          <w:sz w:val="32"/>
          <w:szCs w:val="32"/>
          <w:shd w:val="clear" w:color="auto" w:fill="FFFFFF"/>
        </w:rPr>
        <w:t>分（见附件1）。</w:t>
      </w:r>
    </w:p>
    <w:p>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p>
    <w:p>
      <w:pPr>
        <w:pStyle w:val="16"/>
        <w:shd w:val="clear" w:color="auto" w:fill="FFFFFF"/>
        <w:spacing w:beforeAutospacing="0" w:afterAutospacing="0" w:line="360" w:lineRule="auto"/>
        <w:ind w:firstLine="320" w:firstLineChars="1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五、存在问题</w:t>
      </w:r>
    </w:p>
    <w:p>
      <w:pPr>
        <w:widowControl/>
        <w:adjustRightInd w:val="0"/>
        <w:snapToGrid w:val="0"/>
        <w:spacing w:line="360" w:lineRule="auto"/>
        <w:ind w:firstLine="640" w:firstLineChars="200"/>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一是部门决算上报处理效率还需继续提升，二是加快完成机关财务管理规章制度建设、加强会计核算和财务管理能力，及时与县财政局相关科室对接工作，提升工作效率；</w:t>
      </w:r>
    </w:p>
    <w:p>
      <w:pPr>
        <w:pStyle w:val="16"/>
        <w:numPr>
          <w:ilvl w:val="0"/>
          <w:numId w:val="4"/>
        </w:numPr>
        <w:shd w:val="clear" w:color="auto" w:fill="FFFFFF"/>
        <w:spacing w:beforeAutospacing="0" w:afterAutospacing="0" w:line="360" w:lineRule="auto"/>
        <w:ind w:firstLine="42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整改措施</w:t>
      </w:r>
    </w:p>
    <w:p>
      <w:pPr>
        <w:pStyle w:val="16"/>
        <w:shd w:val="clear" w:color="auto" w:fill="FFFFFF"/>
        <w:spacing w:beforeAutospacing="0" w:afterAutospacing="0" w:line="36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（一）高度重视，成立组织机构。</w:t>
      </w:r>
    </w:p>
    <w:p>
      <w:pPr>
        <w:pStyle w:val="16"/>
        <w:shd w:val="clear" w:color="auto" w:fill="FFFFFF"/>
        <w:spacing w:beforeAutospacing="0" w:afterAutospacing="0" w:line="36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我单位高度重视部门绩效运行监控管理工作，建立健全相关组织机构。</w:t>
      </w:r>
    </w:p>
    <w:p>
      <w:pPr>
        <w:pStyle w:val="16"/>
        <w:shd w:val="clear" w:color="auto" w:fill="FFFFFF"/>
        <w:spacing w:beforeAutospacing="0" w:afterAutospacing="0" w:line="36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(二)严密组织，认真开展自评工作。我单位严密组织开展部门绩效运行监控管理工作，对照相关信息，严格按照评价体系评价相关项目，认真汇总梳理整体绩效情况，积极推进项目预算支付进程。</w:t>
      </w:r>
    </w:p>
    <w:p>
      <w:pPr>
        <w:pStyle w:val="5"/>
        <w:spacing w:before="93"/>
        <w:rPr>
          <w:rFonts w:hAnsi="仿宋_GB2312" w:cs="仿宋_GB2312"/>
          <w:color w:val="333333"/>
          <w:sz w:val="32"/>
          <w:szCs w:val="32"/>
          <w:shd w:val="clear" w:color="auto" w:fill="FFFFFF"/>
        </w:rPr>
      </w:pPr>
    </w:p>
    <w:p>
      <w:pPr>
        <w:keepNext w:val="0"/>
        <w:keepLines w:val="0"/>
        <w:pageBreakBefore w:val="0"/>
        <w:kinsoku/>
        <w:wordWrap/>
        <w:overflowPunct/>
        <w:topLinePunct w:val="0"/>
        <w:autoSpaceDE/>
        <w:autoSpaceDN/>
        <w:bidi w:val="0"/>
        <w:spacing w:line="578" w:lineRule="exact"/>
        <w:jc w:val="center"/>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5"/>
        <w:gridCol w:w="1136"/>
        <w:gridCol w:w="1298"/>
        <w:gridCol w:w="558"/>
        <w:gridCol w:w="3714"/>
        <w:gridCol w:w="582"/>
        <w:gridCol w:w="301"/>
        <w:gridCol w:w="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22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21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3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220" w:type="pct"/>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21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3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220" w:type="pct"/>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67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333"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87"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67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333"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187"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67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333"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187"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675"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9"/>
              <w:ind w:left="0" w:leftChars="0" w:firstLine="0" w:firstLineChars="0"/>
              <w:rPr>
                <w:rFonts w:hint="eastAsia" w:ascii="宋体" w:hAnsi="宋体" w:eastAsia="宋体" w:cs="宋体"/>
                <w:b/>
                <w:i w:val="0"/>
                <w:color w:val="000000"/>
                <w:kern w:val="0"/>
                <w:sz w:val="24"/>
                <w:szCs w:val="24"/>
                <w:u w:val="none"/>
                <w:lang w:val="en-US" w:eastAsia="zh-CN" w:bidi="ar"/>
              </w:rPr>
            </w:pPr>
          </w:p>
        </w:tc>
        <w:tc>
          <w:tcPr>
            <w:tcW w:w="1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2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762" w:hRule="exact"/>
          <w:jc w:val="center"/>
        </w:trPr>
        <w:tc>
          <w:tcPr>
            <w:tcW w:w="4924" w:type="pct"/>
            <w:gridSpan w:val="7"/>
            <w:shd w:val="clear" w:color="auto" w:fill="auto"/>
            <w:noWrap w:val="0"/>
            <w:vAlign w:val="center"/>
          </w:tcPr>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2240" w:firstLineChars="700"/>
              <w:jc w:val="both"/>
              <w:textAlignment w:val="center"/>
              <w:outlineLvl w:val="9"/>
              <w:rPr>
                <w:rFonts w:hint="eastAsia" w:ascii="仿宋" w:hAnsi="仿宋" w:eastAsia="仿宋" w:cs="仿宋"/>
                <w:b w:val="0"/>
                <w:bCs w:val="0"/>
                <w:i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762" w:hRule="exact"/>
          <w:jc w:val="center"/>
        </w:trPr>
        <w:tc>
          <w:tcPr>
            <w:tcW w:w="4924" w:type="pct"/>
            <w:gridSpan w:val="7"/>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ind w:firstLine="2240" w:firstLineChars="700"/>
              <w:jc w:val="both"/>
              <w:textAlignment w:val="center"/>
              <w:outlineLvl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7944" w:hRule="exact"/>
          <w:jc w:val="center"/>
        </w:trPr>
        <w:tc>
          <w:tcPr>
            <w:tcW w:w="4924" w:type="pct"/>
            <w:gridSpan w:val="7"/>
            <w:shd w:val="clear" w:color="auto" w:fill="auto"/>
            <w:noWrap w:val="0"/>
            <w:vAlign w:val="center"/>
          </w:tcPr>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p>
            <w:pPr>
              <w:pStyle w:val="9"/>
              <w:rPr>
                <w:rFonts w:hint="eastAsia" w:ascii="仿宋" w:hAnsi="仿宋" w:eastAsia="仿宋" w:cs="仿宋"/>
                <w:b w:val="0"/>
                <w:bCs w:val="0"/>
                <w:i w:val="0"/>
                <w:color w:val="000000"/>
                <w:kern w:val="0"/>
                <w:sz w:val="32"/>
                <w:szCs w:val="32"/>
                <w:u w:val="none"/>
                <w:lang w:val="en-US" w:eastAsia="zh-CN" w:bidi="ar"/>
              </w:rPr>
            </w:pPr>
          </w:p>
        </w:tc>
      </w:tr>
    </w:tbl>
    <w:p>
      <w:pPr>
        <w:pStyle w:val="5"/>
        <w:spacing w:before="93" w:line="600" w:lineRule="exact"/>
        <w:ind w:firstLine="640" w:firstLineChars="200"/>
        <w:rPr>
          <w:rFonts w:hAnsi="仿宋_GB2312" w:cs="仿宋_GB2312"/>
          <w:sz w:val="32"/>
          <w:szCs w:val="32"/>
        </w:rPr>
      </w:pPr>
      <w:bookmarkStart w:id="70" w:name="_Toc15396618"/>
      <w:r>
        <w:rPr>
          <w:rFonts w:hint="eastAsia" w:hAnsi="仿宋_GB2312" w:cs="仿宋_GB2312"/>
          <w:sz w:val="32"/>
          <w:szCs w:val="32"/>
        </w:rPr>
        <w:t>附表：1.项目资金分配涉及所有点位自评得分情况表</w:t>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hint="eastAsia" w:ascii="方正小标宋_GBK" w:hAnsi="方正小标宋_GBK" w:eastAsia="方正小标宋_GBK" w:cs="方正小标宋_GBK"/>
          <w:sz w:val="40"/>
          <w:szCs w:val="40"/>
        </w:rPr>
      </w:pP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黑体" w:hAnsi="黑体" w:eastAsia="黑体" w:cs="黑体"/>
                <w:sz w:val="24"/>
              </w:rPr>
            </w:pPr>
            <w:r>
              <w:rPr>
                <w:rFonts w:hint="eastAsia" w:ascii="黑体" w:hAnsi="黑体" w:eastAsia="黑体" w:cs="黑体"/>
                <w:sz w:val="24"/>
              </w:rPr>
              <w:t>序号</w:t>
            </w:r>
          </w:p>
        </w:tc>
        <w:tc>
          <w:tcPr>
            <w:tcW w:w="3843" w:type="dxa"/>
          </w:tcPr>
          <w:p>
            <w:pPr>
              <w:spacing w:line="300" w:lineRule="exact"/>
              <w:jc w:val="center"/>
              <w:rPr>
                <w:rFonts w:ascii="黑体" w:hAnsi="黑体" w:eastAsia="黑体" w:cs="黑体"/>
                <w:sz w:val="24"/>
              </w:rPr>
            </w:pPr>
            <w:r>
              <w:rPr>
                <w:rFonts w:hint="eastAsia" w:ascii="黑体" w:hAnsi="黑体" w:eastAsia="黑体" w:cs="黑体"/>
                <w:sz w:val="24"/>
              </w:rPr>
              <w:t>项目资金末端分配点位</w:t>
            </w:r>
          </w:p>
        </w:tc>
        <w:tc>
          <w:tcPr>
            <w:tcW w:w="2861" w:type="dxa"/>
          </w:tcPr>
          <w:p>
            <w:pPr>
              <w:spacing w:line="300" w:lineRule="exact"/>
              <w:jc w:val="center"/>
              <w:rPr>
                <w:rFonts w:ascii="黑体" w:hAnsi="黑体" w:eastAsia="黑体" w:cs="黑体"/>
                <w:sz w:val="24"/>
              </w:rPr>
            </w:pPr>
            <w:r>
              <w:rPr>
                <w:rFonts w:hint="eastAsia" w:ascii="黑体" w:hAnsi="黑体" w:eastAsia="黑体" w:cs="黑体"/>
                <w:sz w:val="24"/>
              </w:rPr>
              <w:t>自评得分（百分制）</w:t>
            </w:r>
          </w:p>
        </w:tc>
        <w:tc>
          <w:tcPr>
            <w:tcW w:w="993" w:type="dxa"/>
          </w:tcPr>
          <w:p>
            <w:pPr>
              <w:spacing w:line="300" w:lineRule="exact"/>
              <w:jc w:val="center"/>
              <w:rPr>
                <w:rFonts w:ascii="黑体" w:hAnsi="黑体" w:eastAsia="黑体" w:cs="黑体"/>
                <w:sz w:val="24"/>
              </w:rPr>
            </w:pPr>
            <w:r>
              <w:rPr>
                <w:rFonts w:hint="eastAsia" w:ascii="黑体" w:hAnsi="黑体" w:eastAsia="黑体" w:cs="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1</w:t>
            </w:r>
          </w:p>
        </w:tc>
        <w:tc>
          <w:tcPr>
            <w:tcW w:w="3843" w:type="dxa"/>
          </w:tcPr>
          <w:p>
            <w:pPr>
              <w:spacing w:line="300" w:lineRule="exact"/>
              <w:rPr>
                <w:rFonts w:hint="eastAsia" w:ascii="宋体" w:hAnsi="宋体" w:eastAsia="宋体" w:cs="宋体"/>
                <w:sz w:val="24"/>
                <w:lang w:eastAsia="zh-CN"/>
              </w:rPr>
            </w:pPr>
            <w:r>
              <w:rPr>
                <w:rFonts w:hint="eastAsia" w:ascii="宋体" w:hAnsi="宋体" w:cs="宋体"/>
                <w:sz w:val="24"/>
              </w:rPr>
              <w:t>金川县</w:t>
            </w:r>
            <w:r>
              <w:rPr>
                <w:rFonts w:hint="eastAsia" w:ascii="宋体" w:hAnsi="宋体" w:cs="宋体"/>
                <w:sz w:val="24"/>
                <w:lang w:eastAsia="zh-CN"/>
              </w:rPr>
              <w:t>世外梨园景区服务中心</w:t>
            </w:r>
          </w:p>
        </w:tc>
        <w:tc>
          <w:tcPr>
            <w:tcW w:w="2861" w:type="dxa"/>
          </w:tcPr>
          <w:p>
            <w:pPr>
              <w:spacing w:line="300" w:lineRule="exact"/>
              <w:rPr>
                <w:rFonts w:hint="eastAsia" w:ascii="宋体" w:hAnsi="宋体" w:eastAsia="宋体" w:cs="宋体"/>
                <w:sz w:val="24"/>
                <w:lang w:val="en-US" w:eastAsia="zh-CN"/>
              </w:rPr>
            </w:pPr>
            <w:r>
              <w:rPr>
                <w:rFonts w:hint="eastAsia" w:ascii="宋体" w:hAnsi="宋体" w:cs="宋体"/>
                <w:sz w:val="24"/>
              </w:rPr>
              <w:t>9</w:t>
            </w:r>
            <w:r>
              <w:rPr>
                <w:rFonts w:hint="eastAsia" w:ascii="宋体" w:hAnsi="宋体" w:cs="宋体"/>
                <w:sz w:val="24"/>
                <w:lang w:val="en-US" w:eastAsia="zh-CN"/>
              </w:rPr>
              <w:t>2</w:t>
            </w:r>
          </w:p>
        </w:tc>
        <w:tc>
          <w:tcPr>
            <w:tcW w:w="993" w:type="dxa"/>
          </w:tcPr>
          <w:p>
            <w:pPr>
              <w:spacing w:line="3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2</w:t>
            </w:r>
          </w:p>
        </w:tc>
        <w:tc>
          <w:tcPr>
            <w:tcW w:w="3843" w:type="dxa"/>
          </w:tcPr>
          <w:p>
            <w:pPr>
              <w:spacing w:line="300" w:lineRule="exact"/>
              <w:rPr>
                <w:rFonts w:ascii="宋体" w:hAnsi="宋体" w:cs="宋体"/>
                <w:sz w:val="24"/>
              </w:rPr>
            </w:pPr>
          </w:p>
        </w:tc>
        <w:tc>
          <w:tcPr>
            <w:tcW w:w="2861" w:type="dxa"/>
          </w:tcPr>
          <w:p>
            <w:pPr>
              <w:spacing w:line="300" w:lineRule="exact"/>
              <w:rPr>
                <w:rFonts w:ascii="宋体" w:hAnsi="宋体" w:cs="宋体"/>
                <w:sz w:val="24"/>
              </w:rPr>
            </w:pPr>
          </w:p>
        </w:tc>
        <w:tc>
          <w:tcPr>
            <w:tcW w:w="993" w:type="dxa"/>
          </w:tcPr>
          <w:p>
            <w:pPr>
              <w:spacing w:line="3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3</w:t>
            </w:r>
          </w:p>
        </w:tc>
        <w:tc>
          <w:tcPr>
            <w:tcW w:w="3843" w:type="dxa"/>
          </w:tcPr>
          <w:p>
            <w:pPr>
              <w:spacing w:line="300" w:lineRule="exact"/>
              <w:rPr>
                <w:rFonts w:ascii="宋体" w:hAnsi="宋体" w:cs="宋体"/>
                <w:sz w:val="24"/>
              </w:rPr>
            </w:pPr>
          </w:p>
        </w:tc>
        <w:tc>
          <w:tcPr>
            <w:tcW w:w="2861" w:type="dxa"/>
          </w:tcPr>
          <w:p>
            <w:pPr>
              <w:spacing w:line="300" w:lineRule="exact"/>
              <w:rPr>
                <w:rFonts w:ascii="宋体" w:hAnsi="宋体" w:cs="宋体"/>
                <w:sz w:val="24"/>
              </w:rPr>
            </w:pPr>
          </w:p>
        </w:tc>
        <w:tc>
          <w:tcPr>
            <w:tcW w:w="993" w:type="dxa"/>
          </w:tcPr>
          <w:p>
            <w:pPr>
              <w:spacing w:line="3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4</w:t>
            </w:r>
          </w:p>
        </w:tc>
        <w:tc>
          <w:tcPr>
            <w:tcW w:w="3843" w:type="dxa"/>
          </w:tcPr>
          <w:p>
            <w:pPr>
              <w:spacing w:line="300" w:lineRule="exact"/>
              <w:rPr>
                <w:rFonts w:ascii="宋体" w:hAnsi="宋体" w:cs="宋体"/>
                <w:sz w:val="24"/>
              </w:rPr>
            </w:pPr>
          </w:p>
        </w:tc>
        <w:tc>
          <w:tcPr>
            <w:tcW w:w="2861" w:type="dxa"/>
          </w:tcPr>
          <w:p>
            <w:pPr>
              <w:spacing w:line="300" w:lineRule="exact"/>
              <w:rPr>
                <w:rFonts w:ascii="宋体" w:hAnsi="宋体" w:cs="宋体"/>
                <w:sz w:val="24"/>
              </w:rPr>
            </w:pPr>
          </w:p>
        </w:tc>
        <w:tc>
          <w:tcPr>
            <w:tcW w:w="993" w:type="dxa"/>
          </w:tcPr>
          <w:p>
            <w:pPr>
              <w:spacing w:line="3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5</w:t>
            </w:r>
          </w:p>
        </w:tc>
        <w:tc>
          <w:tcPr>
            <w:tcW w:w="3843" w:type="dxa"/>
          </w:tcPr>
          <w:p>
            <w:pPr>
              <w:spacing w:line="300" w:lineRule="exact"/>
              <w:rPr>
                <w:rFonts w:ascii="宋体" w:hAnsi="宋体" w:cs="宋体"/>
                <w:sz w:val="24"/>
              </w:rPr>
            </w:pPr>
          </w:p>
        </w:tc>
        <w:tc>
          <w:tcPr>
            <w:tcW w:w="2861" w:type="dxa"/>
          </w:tcPr>
          <w:p>
            <w:pPr>
              <w:spacing w:line="300" w:lineRule="exact"/>
              <w:rPr>
                <w:rFonts w:ascii="宋体" w:hAnsi="宋体" w:cs="宋体"/>
                <w:sz w:val="24"/>
              </w:rPr>
            </w:pPr>
          </w:p>
        </w:tc>
        <w:tc>
          <w:tcPr>
            <w:tcW w:w="993" w:type="dxa"/>
          </w:tcPr>
          <w:p>
            <w:pPr>
              <w:spacing w:line="3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6</w:t>
            </w:r>
          </w:p>
        </w:tc>
        <w:tc>
          <w:tcPr>
            <w:tcW w:w="3843" w:type="dxa"/>
          </w:tcPr>
          <w:p>
            <w:pPr>
              <w:spacing w:line="300" w:lineRule="exact"/>
              <w:rPr>
                <w:rFonts w:ascii="宋体" w:hAnsi="宋体" w:cs="宋体"/>
                <w:sz w:val="24"/>
              </w:rPr>
            </w:pPr>
          </w:p>
        </w:tc>
        <w:tc>
          <w:tcPr>
            <w:tcW w:w="2861" w:type="dxa"/>
          </w:tcPr>
          <w:p>
            <w:pPr>
              <w:spacing w:line="300" w:lineRule="exact"/>
              <w:rPr>
                <w:rFonts w:ascii="宋体" w:hAnsi="宋体" w:cs="宋体"/>
                <w:sz w:val="24"/>
              </w:rPr>
            </w:pPr>
          </w:p>
        </w:tc>
        <w:tc>
          <w:tcPr>
            <w:tcW w:w="993" w:type="dxa"/>
          </w:tcPr>
          <w:p>
            <w:pPr>
              <w:spacing w:line="3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7</w:t>
            </w:r>
          </w:p>
        </w:tc>
        <w:tc>
          <w:tcPr>
            <w:tcW w:w="3843" w:type="dxa"/>
          </w:tcPr>
          <w:p>
            <w:pPr>
              <w:spacing w:line="300" w:lineRule="exact"/>
              <w:rPr>
                <w:rFonts w:ascii="宋体" w:hAnsi="宋体" w:cs="宋体"/>
                <w:sz w:val="24"/>
              </w:rPr>
            </w:pPr>
          </w:p>
        </w:tc>
        <w:tc>
          <w:tcPr>
            <w:tcW w:w="2861" w:type="dxa"/>
          </w:tcPr>
          <w:p>
            <w:pPr>
              <w:spacing w:line="300" w:lineRule="exact"/>
              <w:rPr>
                <w:rFonts w:ascii="宋体" w:hAnsi="宋体" w:cs="宋体"/>
                <w:sz w:val="24"/>
              </w:rPr>
            </w:pPr>
          </w:p>
        </w:tc>
        <w:tc>
          <w:tcPr>
            <w:tcW w:w="993" w:type="dxa"/>
          </w:tcPr>
          <w:p>
            <w:pPr>
              <w:spacing w:line="3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8</w:t>
            </w:r>
          </w:p>
        </w:tc>
        <w:tc>
          <w:tcPr>
            <w:tcW w:w="3843" w:type="dxa"/>
          </w:tcPr>
          <w:p>
            <w:pPr>
              <w:spacing w:line="300" w:lineRule="exact"/>
              <w:rPr>
                <w:rFonts w:ascii="宋体" w:hAnsi="宋体" w:cs="宋体"/>
                <w:sz w:val="24"/>
              </w:rPr>
            </w:pPr>
          </w:p>
        </w:tc>
        <w:tc>
          <w:tcPr>
            <w:tcW w:w="2861" w:type="dxa"/>
          </w:tcPr>
          <w:p>
            <w:pPr>
              <w:spacing w:line="300" w:lineRule="exact"/>
              <w:rPr>
                <w:rFonts w:ascii="宋体" w:hAnsi="宋体" w:cs="宋体"/>
                <w:sz w:val="24"/>
              </w:rPr>
            </w:pPr>
          </w:p>
        </w:tc>
        <w:tc>
          <w:tcPr>
            <w:tcW w:w="993" w:type="dxa"/>
          </w:tcPr>
          <w:p>
            <w:pPr>
              <w:spacing w:line="3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cs="宋体"/>
                <w:sz w:val="24"/>
              </w:rPr>
            </w:pPr>
            <w:r>
              <w:rPr>
                <w:rFonts w:hint="eastAsia" w:ascii="宋体" w:hAnsi="宋体" w:cs="宋体"/>
                <w:sz w:val="24"/>
              </w:rPr>
              <w:t>……</w:t>
            </w:r>
          </w:p>
        </w:tc>
        <w:tc>
          <w:tcPr>
            <w:tcW w:w="3843" w:type="dxa"/>
          </w:tcPr>
          <w:p>
            <w:pPr>
              <w:spacing w:line="300" w:lineRule="exact"/>
              <w:rPr>
                <w:rFonts w:ascii="宋体" w:hAnsi="宋体" w:cs="宋体"/>
                <w:sz w:val="24"/>
              </w:rPr>
            </w:pPr>
          </w:p>
        </w:tc>
        <w:tc>
          <w:tcPr>
            <w:tcW w:w="2861" w:type="dxa"/>
          </w:tcPr>
          <w:p>
            <w:pPr>
              <w:spacing w:line="300" w:lineRule="exact"/>
              <w:rPr>
                <w:rFonts w:ascii="宋体" w:hAnsi="宋体" w:cs="宋体"/>
                <w:sz w:val="24"/>
              </w:rPr>
            </w:pPr>
          </w:p>
        </w:tc>
        <w:tc>
          <w:tcPr>
            <w:tcW w:w="993" w:type="dxa"/>
          </w:tcPr>
          <w:p>
            <w:pPr>
              <w:spacing w:line="300" w:lineRule="exact"/>
              <w:rPr>
                <w:rFonts w:ascii="宋体" w:hAnsi="宋体" w:cs="宋体"/>
                <w:sz w:val="24"/>
              </w:rPr>
            </w:pPr>
          </w:p>
        </w:tc>
      </w:tr>
    </w:tbl>
    <w:p>
      <w:pPr>
        <w:spacing w:line="400" w:lineRule="exact"/>
        <w:jc w:val="left"/>
        <w:rPr>
          <w:rFonts w:ascii="宋体" w:hAnsi="宋体" w:cs="宋体"/>
          <w:szCs w:val="21"/>
        </w:rPr>
      </w:pPr>
      <w:r>
        <w:rPr>
          <w:rFonts w:hint="eastAsia" w:ascii="宋体" w:hAnsi="宋体" w:cs="宋体"/>
          <w:szCs w:val="21"/>
        </w:rPr>
        <w:t>备注：1.项目资金末端分配点位包括州本级、县（市）、州级部门下属单位及一次性单位等。</w:t>
      </w:r>
    </w:p>
    <w:p>
      <w:pPr>
        <w:spacing w:line="400" w:lineRule="exact"/>
        <w:ind w:firstLine="630" w:firstLineChars="300"/>
        <w:jc w:val="left"/>
        <w:rPr>
          <w:rFonts w:ascii="宋体" w:hAnsi="宋体" w:cs="宋体"/>
          <w:szCs w:val="21"/>
        </w:rPr>
      </w:pPr>
      <w:r>
        <w:rPr>
          <w:rFonts w:hint="eastAsia" w:ascii="宋体" w:hAnsi="宋体" w:cs="宋体"/>
          <w:szCs w:val="21"/>
        </w:rPr>
        <w:t>2.自评得分（百分制）从高到低划分为优、良、中、差四个档次，各个档次数量占比分别为20%、20%、55%、5%，且不同档次间得分分值应体现差异化，同档次得分分值相同的比例不超过该档次总数量的10%。</w:t>
      </w:r>
    </w:p>
    <w:p>
      <w:r>
        <w:rPr>
          <w:rFonts w:hint="eastAsia"/>
        </w:rPr>
        <w:br w:type="page"/>
      </w:r>
    </w:p>
    <w:p>
      <w:pPr>
        <w:widowControl/>
        <w:jc w:val="both"/>
        <w:rPr>
          <w:rFonts w:eastAsia="仿宋"/>
        </w:rPr>
      </w:pPr>
      <w:r>
        <w:rPr>
          <w:rFonts w:hint="eastAsia" w:eastAsia="黑体"/>
          <w:sz w:val="44"/>
          <w:szCs w:val="44"/>
        </w:rPr>
        <w:t>第</w:t>
      </w:r>
      <w:r>
        <w:rPr>
          <w:rStyle w:val="31"/>
          <w:rFonts w:hint="eastAsia" w:eastAsia="黑体"/>
          <w:b w:val="0"/>
        </w:rPr>
        <w:t>五部分 附表</w:t>
      </w:r>
      <w:bookmarkEnd w:id="68"/>
      <w:bookmarkEnd w:id="70"/>
      <w:bookmarkStart w:id="71" w:name="_Toc15396619"/>
    </w:p>
    <w:p>
      <w:pPr>
        <w:pStyle w:val="15"/>
        <w:adjustRightInd w:val="0"/>
        <w:snapToGrid w:val="0"/>
        <w:spacing w:line="560" w:lineRule="exact"/>
        <w:jc w:val="left"/>
        <w:rPr>
          <w:rFonts w:eastAsia="仿宋_GB2312" w:cs="仿宋_GB2312"/>
          <w:sz w:val="32"/>
          <w:szCs w:val="32"/>
        </w:rPr>
      </w:pPr>
    </w:p>
    <w:p>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71"/>
    </w:p>
    <w:p>
      <w:pPr>
        <w:pStyle w:val="15"/>
        <w:adjustRightInd w:val="0"/>
        <w:snapToGrid w:val="0"/>
        <w:spacing w:line="560" w:lineRule="exact"/>
        <w:jc w:val="left"/>
        <w:rPr>
          <w:rFonts w:eastAsia="仿宋_GB2312" w:cs="仿宋_GB2312"/>
          <w:sz w:val="32"/>
          <w:szCs w:val="32"/>
        </w:rPr>
      </w:pPr>
      <w:bookmarkStart w:id="72" w:name="_Toc15396620"/>
      <w:r>
        <w:rPr>
          <w:rFonts w:hint="eastAsia" w:eastAsia="仿宋_GB2312" w:cs="仿宋_GB2312"/>
          <w:sz w:val="32"/>
          <w:szCs w:val="32"/>
        </w:rPr>
        <w:t>二、收入决算表</w:t>
      </w:r>
      <w:bookmarkEnd w:id="72"/>
    </w:p>
    <w:p>
      <w:pPr>
        <w:pStyle w:val="15"/>
        <w:adjustRightInd w:val="0"/>
        <w:snapToGrid w:val="0"/>
        <w:spacing w:line="560" w:lineRule="exact"/>
        <w:jc w:val="left"/>
        <w:rPr>
          <w:rFonts w:eastAsia="仿宋_GB2312" w:cs="仿宋_GB2312"/>
          <w:sz w:val="32"/>
          <w:szCs w:val="32"/>
        </w:rPr>
      </w:pPr>
      <w:bookmarkStart w:id="73" w:name="_Toc15396621"/>
      <w:r>
        <w:rPr>
          <w:rFonts w:hint="eastAsia" w:eastAsia="仿宋_GB2312" w:cs="仿宋_GB2312"/>
          <w:sz w:val="32"/>
          <w:szCs w:val="32"/>
        </w:rPr>
        <w:t>三、支出决算表</w:t>
      </w:r>
      <w:bookmarkEnd w:id="73"/>
    </w:p>
    <w:p>
      <w:pPr>
        <w:pStyle w:val="15"/>
        <w:adjustRightInd w:val="0"/>
        <w:snapToGrid w:val="0"/>
        <w:spacing w:line="560" w:lineRule="exact"/>
        <w:jc w:val="left"/>
        <w:rPr>
          <w:rFonts w:eastAsia="仿宋_GB2312" w:cs="仿宋_GB2312"/>
          <w:sz w:val="32"/>
          <w:szCs w:val="32"/>
        </w:rPr>
      </w:pPr>
      <w:bookmarkStart w:id="74" w:name="_Toc15396622"/>
      <w:r>
        <w:rPr>
          <w:rFonts w:hint="eastAsia" w:eastAsia="仿宋_GB2312" w:cs="仿宋_GB2312"/>
          <w:sz w:val="32"/>
          <w:szCs w:val="32"/>
        </w:rPr>
        <w:t>四、财政拨款收入支出决算总表</w:t>
      </w:r>
      <w:bookmarkEnd w:id="74"/>
    </w:p>
    <w:p>
      <w:pPr>
        <w:pStyle w:val="15"/>
        <w:adjustRightInd w:val="0"/>
        <w:snapToGrid w:val="0"/>
        <w:spacing w:line="560" w:lineRule="exact"/>
        <w:jc w:val="left"/>
        <w:rPr>
          <w:rFonts w:eastAsia="仿宋_GB2312" w:cs="仿宋_GB2312"/>
          <w:sz w:val="32"/>
          <w:szCs w:val="32"/>
        </w:rPr>
      </w:pPr>
      <w:bookmarkStart w:id="75" w:name="_Toc15396623"/>
      <w:r>
        <w:rPr>
          <w:rFonts w:hint="eastAsia" w:eastAsia="仿宋_GB2312" w:cs="仿宋_GB2312"/>
          <w:sz w:val="32"/>
          <w:szCs w:val="32"/>
        </w:rPr>
        <w:t>五、财政拨款支出决算明细表</w:t>
      </w:r>
      <w:bookmarkEnd w:id="75"/>
      <w:bookmarkStart w:id="76" w:name="_Toc15396624"/>
    </w:p>
    <w:p>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76"/>
    </w:p>
    <w:p>
      <w:pPr>
        <w:pStyle w:val="15"/>
        <w:adjustRightInd w:val="0"/>
        <w:snapToGrid w:val="0"/>
        <w:spacing w:line="560" w:lineRule="exact"/>
        <w:jc w:val="left"/>
        <w:rPr>
          <w:rFonts w:eastAsia="仿宋_GB2312" w:cs="仿宋_GB2312"/>
          <w:sz w:val="32"/>
          <w:szCs w:val="32"/>
        </w:rPr>
      </w:pPr>
      <w:bookmarkStart w:id="77" w:name="_Toc15396625"/>
      <w:r>
        <w:rPr>
          <w:rFonts w:hint="eastAsia" w:eastAsia="仿宋_GB2312" w:cs="仿宋_GB2312"/>
          <w:sz w:val="32"/>
          <w:szCs w:val="32"/>
        </w:rPr>
        <w:t>七、一般公共预算财政拨款支出决算明细表</w:t>
      </w:r>
      <w:bookmarkEnd w:id="77"/>
    </w:p>
    <w:p>
      <w:pPr>
        <w:pStyle w:val="15"/>
        <w:adjustRightInd w:val="0"/>
        <w:snapToGrid w:val="0"/>
        <w:spacing w:line="560" w:lineRule="exact"/>
        <w:jc w:val="left"/>
        <w:rPr>
          <w:rFonts w:eastAsia="仿宋_GB2312" w:cs="仿宋_GB2312"/>
          <w:sz w:val="32"/>
          <w:szCs w:val="32"/>
        </w:rPr>
      </w:pPr>
      <w:bookmarkStart w:id="78" w:name="_Toc15396626"/>
      <w:r>
        <w:rPr>
          <w:rFonts w:hint="eastAsia" w:eastAsia="仿宋_GB2312" w:cs="仿宋_GB2312"/>
          <w:sz w:val="32"/>
          <w:szCs w:val="32"/>
        </w:rPr>
        <w:t>八、一般公共预算财政拨款基本支出决算表</w:t>
      </w:r>
      <w:bookmarkEnd w:id="78"/>
    </w:p>
    <w:p>
      <w:pPr>
        <w:pStyle w:val="15"/>
        <w:adjustRightInd w:val="0"/>
        <w:snapToGrid w:val="0"/>
        <w:spacing w:line="560" w:lineRule="exact"/>
        <w:jc w:val="left"/>
        <w:rPr>
          <w:rFonts w:eastAsia="仿宋_GB2312" w:cs="仿宋_GB2312"/>
          <w:sz w:val="32"/>
          <w:szCs w:val="32"/>
        </w:rPr>
      </w:pPr>
      <w:bookmarkStart w:id="79" w:name="_Toc15396627"/>
      <w:r>
        <w:rPr>
          <w:rFonts w:hint="eastAsia" w:eastAsia="仿宋_GB2312" w:cs="仿宋_GB2312"/>
          <w:sz w:val="32"/>
          <w:szCs w:val="32"/>
        </w:rPr>
        <w:t>九、一般公共预算财政拨款项目支出决算表</w:t>
      </w:r>
      <w:bookmarkEnd w:id="79"/>
    </w:p>
    <w:p>
      <w:pPr>
        <w:pStyle w:val="15"/>
        <w:adjustRightInd w:val="0"/>
        <w:snapToGrid w:val="0"/>
        <w:spacing w:line="560" w:lineRule="exact"/>
        <w:jc w:val="left"/>
        <w:rPr>
          <w:rFonts w:eastAsia="仿宋_GB2312" w:cs="仿宋_GB2312"/>
          <w:sz w:val="32"/>
          <w:szCs w:val="32"/>
        </w:rPr>
      </w:pPr>
      <w:bookmarkStart w:id="80" w:name="_Toc15396628"/>
      <w:r>
        <w:rPr>
          <w:rFonts w:hint="eastAsia" w:eastAsia="仿宋_GB2312" w:cs="仿宋_GB2312"/>
          <w:sz w:val="32"/>
          <w:szCs w:val="32"/>
        </w:rPr>
        <w:t>十、</w:t>
      </w:r>
      <w:bookmarkEnd w:id="80"/>
      <w:r>
        <w:rPr>
          <w:rFonts w:hint="eastAsia" w:eastAsia="仿宋_GB2312" w:cs="仿宋_GB2312"/>
          <w:sz w:val="32"/>
          <w:szCs w:val="32"/>
        </w:rPr>
        <w:t>政府性基金预算财政拨款收入支出决算表</w:t>
      </w:r>
    </w:p>
    <w:p>
      <w:pPr>
        <w:pStyle w:val="15"/>
        <w:adjustRightInd w:val="0"/>
        <w:snapToGrid w:val="0"/>
        <w:spacing w:line="560" w:lineRule="exact"/>
        <w:jc w:val="left"/>
        <w:rPr>
          <w:rFonts w:eastAsia="仿宋_GB2312" w:cs="仿宋_GB2312"/>
          <w:sz w:val="32"/>
          <w:szCs w:val="32"/>
        </w:rPr>
      </w:pPr>
      <w:bookmarkStart w:id="81" w:name="_Toc15396629"/>
      <w:r>
        <w:rPr>
          <w:rFonts w:hint="eastAsia" w:eastAsia="仿宋_GB2312" w:cs="仿宋_GB2312"/>
          <w:sz w:val="32"/>
          <w:szCs w:val="32"/>
        </w:rPr>
        <w:t>十一、</w:t>
      </w:r>
      <w:bookmarkEnd w:id="81"/>
      <w:r>
        <w:rPr>
          <w:rFonts w:hint="eastAsia" w:eastAsia="仿宋_GB2312" w:cs="仿宋_GB2312"/>
          <w:sz w:val="32"/>
          <w:szCs w:val="32"/>
        </w:rPr>
        <w:t>国有资本经营预算财政拨款收入支出决算表</w:t>
      </w:r>
    </w:p>
    <w:p>
      <w:pPr>
        <w:pStyle w:val="15"/>
        <w:adjustRightInd w:val="0"/>
        <w:snapToGrid w:val="0"/>
        <w:spacing w:line="560" w:lineRule="exact"/>
        <w:jc w:val="left"/>
        <w:rPr>
          <w:rFonts w:eastAsia="仿宋_GB2312" w:cs="仿宋_GB2312"/>
          <w:sz w:val="32"/>
          <w:szCs w:val="32"/>
        </w:rPr>
      </w:pPr>
      <w:bookmarkStart w:id="82" w:name="_Toc15396630"/>
      <w:r>
        <w:rPr>
          <w:rFonts w:hint="eastAsia" w:eastAsia="仿宋_GB2312" w:cs="仿宋_GB2312"/>
          <w:sz w:val="32"/>
          <w:szCs w:val="32"/>
        </w:rPr>
        <w:t>十二、</w:t>
      </w:r>
      <w:bookmarkEnd w:id="82"/>
      <w:r>
        <w:rPr>
          <w:rFonts w:hint="eastAsia" w:eastAsia="仿宋_GB2312" w:cs="仿宋_GB2312"/>
          <w:sz w:val="32"/>
          <w:szCs w:val="32"/>
        </w:rPr>
        <w:t>国有资本经营预算财政拨款支出决算表</w:t>
      </w:r>
    </w:p>
    <w:p>
      <w:pPr>
        <w:pStyle w:val="15"/>
        <w:adjustRightInd w:val="0"/>
        <w:snapToGrid w:val="0"/>
        <w:spacing w:line="560" w:lineRule="exact"/>
        <w:jc w:val="left"/>
        <w:rPr>
          <w:rFonts w:eastAsia="仿宋_GB2312" w:cs="仿宋_GB2312"/>
          <w:sz w:val="32"/>
          <w:szCs w:val="32"/>
        </w:rPr>
      </w:pPr>
      <w:bookmarkStart w:id="83" w:name="_Toc15396631"/>
      <w:r>
        <w:rPr>
          <w:rFonts w:hint="eastAsia" w:eastAsia="仿宋_GB2312" w:cs="仿宋_GB2312"/>
          <w:sz w:val="32"/>
          <w:szCs w:val="32"/>
        </w:rPr>
        <w:t>十三、</w:t>
      </w:r>
      <w:bookmarkEnd w:id="83"/>
      <w:r>
        <w:rPr>
          <w:rFonts w:hint="eastAsia" w:eastAsia="仿宋_GB2312" w:cs="仿宋_GB2312"/>
          <w:sz w:val="32"/>
          <w:szCs w:val="32"/>
        </w:rPr>
        <w:t>财政拨款“三公”经费支出决算表</w:t>
      </w:r>
    </w:p>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6F7AFF-5BD1-458F-908D-7CF5AA54B8B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2" w:fontKey="{E8934D68-287E-433F-AE2E-62A0E45D8231}"/>
  </w:font>
  <w:font w:name="仿宋_GB2312">
    <w:panose1 w:val="02010609030101010101"/>
    <w:charset w:val="86"/>
    <w:family w:val="modern"/>
    <w:pitch w:val="default"/>
    <w:sig w:usb0="00000001" w:usb1="080E0000" w:usb2="00000000" w:usb3="00000000" w:csb0="00040000" w:csb1="00000000"/>
    <w:embedRegular r:id="rId3" w:fontKey="{623F60EA-02F2-496A-A623-9F5128DF6C08}"/>
  </w:font>
  <w:font w:name="仿宋">
    <w:panose1 w:val="02010609060101010101"/>
    <w:charset w:val="86"/>
    <w:family w:val="modern"/>
    <w:pitch w:val="default"/>
    <w:sig w:usb0="800002BF" w:usb1="38CF7CFA" w:usb2="00000016" w:usb3="00000000" w:csb0="00040001" w:csb1="00000000"/>
    <w:embedRegular r:id="rId4" w:fontKey="{B9DA709E-32C3-4890-B488-401A04991AED}"/>
  </w:font>
  <w:font w:name="??">
    <w:altName w:val="Segoe Print"/>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00" w:usb3="00000000" w:csb0="00040000" w:csb1="00000000"/>
    <w:embedRegular r:id="rId5" w:fontKey="{CABAC02F-E6D3-45EC-850E-063A75862918}"/>
  </w:font>
  <w:font w:name="楷体">
    <w:panose1 w:val="02010609060101010101"/>
    <w:charset w:val="86"/>
    <w:family w:val="modern"/>
    <w:pitch w:val="default"/>
    <w:sig w:usb0="800002BF" w:usb1="38CF7CFA" w:usb2="00000016" w:usb3="00000000" w:csb0="00040001" w:csb1="00000000"/>
    <w:embedRegular r:id="rId6" w:fontKey="{83D3D8E0-7B2F-4356-A1E5-AF9096E1AD7D}"/>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embedRegular r:id="rId7" w:fontKey="{0976EA52-8606-4E21-94DC-DF1DEBDA3810}"/>
  </w:font>
  <w:font w:name="方正小标宋_GBK">
    <w:panose1 w:val="03000509000000000000"/>
    <w:charset w:val="86"/>
    <w:family w:val="auto"/>
    <w:pitch w:val="default"/>
    <w:sig w:usb0="00000001" w:usb1="080E0000" w:usb2="00000000" w:usb3="00000000" w:csb0="00040000" w:csb1="00000000"/>
    <w:embedRegular r:id="rId8" w:fontKey="{5A2C738F-BB49-4A0A-B3F2-CD95CE22C754}"/>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2088618"/>
      <w:docPartObj>
        <w:docPartGallery w:val="autotext"/>
      </w:docPartObj>
    </w:sdtPr>
    <w:sdtContent>
      <w:p>
        <w:pPr>
          <w:pStyle w:val="11"/>
          <w:jc w:val="center"/>
        </w:pPr>
        <w:r>
          <w:fldChar w:fldCharType="begin"/>
        </w:r>
        <w:r>
          <w:instrText xml:space="preserve"> PAGE   \* MERGEFORMAT </w:instrText>
        </w:r>
        <w:r>
          <w:fldChar w:fldCharType="separate"/>
        </w:r>
        <w:r>
          <w:rPr>
            <w:lang w:val="zh-CN"/>
          </w:rPr>
          <w:t>-</w:t>
        </w:r>
        <w:r>
          <w:t xml:space="preserve"> 34 -</w:t>
        </w:r>
        <w:r>
          <w:fldChar w:fldCharType="end"/>
        </w:r>
      </w:p>
    </w:sdtContent>
  </w:sdt>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603EF"/>
    <w:multiLevelType w:val="singleLevel"/>
    <w:tmpl w:val="AAA603EF"/>
    <w:lvl w:ilvl="0" w:tentative="0">
      <w:start w:val="1"/>
      <w:numFmt w:val="decimal"/>
      <w:lvlText w:val="%1."/>
      <w:lvlJc w:val="left"/>
      <w:pPr>
        <w:tabs>
          <w:tab w:val="left" w:pos="312"/>
        </w:tabs>
      </w:pPr>
    </w:lvl>
  </w:abstractNum>
  <w:abstractNum w:abstractNumId="1">
    <w:nsid w:val="FA6AB48F"/>
    <w:multiLevelType w:val="singleLevel"/>
    <w:tmpl w:val="FA6AB48F"/>
    <w:lvl w:ilvl="0" w:tentative="0">
      <w:start w:val="3"/>
      <w:numFmt w:val="chineseCounting"/>
      <w:suff w:val="nothing"/>
      <w:lvlText w:val="（%1）"/>
      <w:lvlJc w:val="left"/>
      <w:rPr>
        <w:rFonts w:hint="eastAsia"/>
      </w:rPr>
    </w:lvl>
  </w:abstractNum>
  <w:abstractNum w:abstractNumId="2">
    <w:nsid w:val="12CF29D1"/>
    <w:multiLevelType w:val="singleLevel"/>
    <w:tmpl w:val="12CF29D1"/>
    <w:lvl w:ilvl="0" w:tentative="0">
      <w:start w:val="5"/>
      <w:numFmt w:val="chineseCounting"/>
      <w:suff w:val="nothing"/>
      <w:lvlText w:val="%1、"/>
      <w:lvlJc w:val="left"/>
      <w:rPr>
        <w:rFonts w:hint="eastAsia" w:cs="Times New Roman"/>
      </w:rPr>
    </w:lvl>
  </w:abstractNum>
  <w:abstractNum w:abstractNumId="3">
    <w:nsid w:val="3AF99E20"/>
    <w:multiLevelType w:val="singleLevel"/>
    <w:tmpl w:val="3AF99E20"/>
    <w:lvl w:ilvl="0" w:tentative="0">
      <w:start w:val="3"/>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WUwM2U4MjlkMTU3NWRlY2Q1ZTllODZjM2NiNTJjMTkifQ=="/>
  </w:docVars>
  <w:rsids>
    <w:rsidRoot w:val="00F1361C"/>
    <w:rsid w:val="000222C6"/>
    <w:rsid w:val="0002549F"/>
    <w:rsid w:val="00026867"/>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86E55"/>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D4219"/>
    <w:rsid w:val="004E0A2D"/>
    <w:rsid w:val="004E206B"/>
    <w:rsid w:val="004E6DF7"/>
    <w:rsid w:val="004F0FBD"/>
    <w:rsid w:val="00505A47"/>
    <w:rsid w:val="00512FDA"/>
    <w:rsid w:val="00520DA0"/>
    <w:rsid w:val="0055573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0923"/>
    <w:rsid w:val="0075404D"/>
    <w:rsid w:val="0076182A"/>
    <w:rsid w:val="00767B7E"/>
    <w:rsid w:val="007770C3"/>
    <w:rsid w:val="00784D24"/>
    <w:rsid w:val="00785FBA"/>
    <w:rsid w:val="00786E4A"/>
    <w:rsid w:val="007875EB"/>
    <w:rsid w:val="0079426B"/>
    <w:rsid w:val="007D1682"/>
    <w:rsid w:val="007D18B8"/>
    <w:rsid w:val="007D312A"/>
    <w:rsid w:val="007D3F19"/>
    <w:rsid w:val="007E23B0"/>
    <w:rsid w:val="007E23E5"/>
    <w:rsid w:val="007F1991"/>
    <w:rsid w:val="007F2C2F"/>
    <w:rsid w:val="007F55FC"/>
    <w:rsid w:val="007F5665"/>
    <w:rsid w:val="00800112"/>
    <w:rsid w:val="00813348"/>
    <w:rsid w:val="00813DCD"/>
    <w:rsid w:val="008253BB"/>
    <w:rsid w:val="0083706E"/>
    <w:rsid w:val="008408F6"/>
    <w:rsid w:val="008423A5"/>
    <w:rsid w:val="00850625"/>
    <w:rsid w:val="00853718"/>
    <w:rsid w:val="00855221"/>
    <w:rsid w:val="00860645"/>
    <w:rsid w:val="00871F71"/>
    <w:rsid w:val="00872FD8"/>
    <w:rsid w:val="00885AF4"/>
    <w:rsid w:val="0089325D"/>
    <w:rsid w:val="008939CD"/>
    <w:rsid w:val="008B768C"/>
    <w:rsid w:val="008C4DB1"/>
    <w:rsid w:val="008C4EAF"/>
    <w:rsid w:val="008C5176"/>
    <w:rsid w:val="008C7FD0"/>
    <w:rsid w:val="008E1DE7"/>
    <w:rsid w:val="008E6EBB"/>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F1561"/>
    <w:rsid w:val="00AF3456"/>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D2C56"/>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3BFC"/>
    <w:rsid w:val="00D254F7"/>
    <w:rsid w:val="00D26091"/>
    <w:rsid w:val="00D2685C"/>
    <w:rsid w:val="00D34E7C"/>
    <w:rsid w:val="00D35489"/>
    <w:rsid w:val="00D36AFE"/>
    <w:rsid w:val="00D51276"/>
    <w:rsid w:val="00D7035F"/>
    <w:rsid w:val="00DA634F"/>
    <w:rsid w:val="00DA65AC"/>
    <w:rsid w:val="00DB1913"/>
    <w:rsid w:val="00DB30A2"/>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667"/>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2FFC"/>
    <w:rsid w:val="00F754A1"/>
    <w:rsid w:val="00F81FD9"/>
    <w:rsid w:val="00F841AA"/>
    <w:rsid w:val="00F84A94"/>
    <w:rsid w:val="00F87E96"/>
    <w:rsid w:val="00FA23E8"/>
    <w:rsid w:val="00FD3CC1"/>
    <w:rsid w:val="00FF1E02"/>
    <w:rsid w:val="00FF30B4"/>
    <w:rsid w:val="010F39D5"/>
    <w:rsid w:val="012A5EC2"/>
    <w:rsid w:val="01475D04"/>
    <w:rsid w:val="015975B8"/>
    <w:rsid w:val="02FEBE30"/>
    <w:rsid w:val="04916F1E"/>
    <w:rsid w:val="061E35DE"/>
    <w:rsid w:val="066E0107"/>
    <w:rsid w:val="07473673"/>
    <w:rsid w:val="07996F6E"/>
    <w:rsid w:val="07DFD8BA"/>
    <w:rsid w:val="09867E8F"/>
    <w:rsid w:val="0A05611E"/>
    <w:rsid w:val="0A2032A3"/>
    <w:rsid w:val="0C1E733C"/>
    <w:rsid w:val="0CA8290A"/>
    <w:rsid w:val="0D35B1ED"/>
    <w:rsid w:val="0E254B6B"/>
    <w:rsid w:val="0F98263C"/>
    <w:rsid w:val="101860EC"/>
    <w:rsid w:val="101F47CC"/>
    <w:rsid w:val="10654A8D"/>
    <w:rsid w:val="10C055FF"/>
    <w:rsid w:val="10DD5A17"/>
    <w:rsid w:val="11694EBD"/>
    <w:rsid w:val="11772AA4"/>
    <w:rsid w:val="118107EC"/>
    <w:rsid w:val="12E24EE2"/>
    <w:rsid w:val="13D50BC4"/>
    <w:rsid w:val="14B17F78"/>
    <w:rsid w:val="165E0673"/>
    <w:rsid w:val="16B831D5"/>
    <w:rsid w:val="16BB723D"/>
    <w:rsid w:val="17E50567"/>
    <w:rsid w:val="186504BB"/>
    <w:rsid w:val="193C5221"/>
    <w:rsid w:val="19A445FC"/>
    <w:rsid w:val="1BE8440E"/>
    <w:rsid w:val="1D155CEE"/>
    <w:rsid w:val="1D1638FE"/>
    <w:rsid w:val="1E312DEB"/>
    <w:rsid w:val="1E740ACF"/>
    <w:rsid w:val="1F133B1E"/>
    <w:rsid w:val="1FF35744"/>
    <w:rsid w:val="1FF6BC77"/>
    <w:rsid w:val="20F33778"/>
    <w:rsid w:val="2186353C"/>
    <w:rsid w:val="23860B96"/>
    <w:rsid w:val="240371BF"/>
    <w:rsid w:val="244F3473"/>
    <w:rsid w:val="24C97D99"/>
    <w:rsid w:val="25A718F0"/>
    <w:rsid w:val="25BB59F6"/>
    <w:rsid w:val="260F557C"/>
    <w:rsid w:val="26970054"/>
    <w:rsid w:val="281408E2"/>
    <w:rsid w:val="29FD04D3"/>
    <w:rsid w:val="2BEE01C4"/>
    <w:rsid w:val="2BFF7BC6"/>
    <w:rsid w:val="2C8A61B5"/>
    <w:rsid w:val="2DF04E50"/>
    <w:rsid w:val="2E586DFA"/>
    <w:rsid w:val="2F040D46"/>
    <w:rsid w:val="2F6B035B"/>
    <w:rsid w:val="2FAE5751"/>
    <w:rsid w:val="2FB1A395"/>
    <w:rsid w:val="2FD9A7D8"/>
    <w:rsid w:val="2FDBF714"/>
    <w:rsid w:val="30AB6865"/>
    <w:rsid w:val="319F7F4E"/>
    <w:rsid w:val="321626E0"/>
    <w:rsid w:val="32BD1EF1"/>
    <w:rsid w:val="3304709D"/>
    <w:rsid w:val="33A773CB"/>
    <w:rsid w:val="33F72303"/>
    <w:rsid w:val="349D6851"/>
    <w:rsid w:val="36031B61"/>
    <w:rsid w:val="36AA5135"/>
    <w:rsid w:val="36BE0DA7"/>
    <w:rsid w:val="371B5036"/>
    <w:rsid w:val="376B6AA6"/>
    <w:rsid w:val="376D39B2"/>
    <w:rsid w:val="37E16F03"/>
    <w:rsid w:val="37F53A3B"/>
    <w:rsid w:val="389B6C89"/>
    <w:rsid w:val="38D469F0"/>
    <w:rsid w:val="39627CCD"/>
    <w:rsid w:val="397BAF1F"/>
    <w:rsid w:val="3A5167B0"/>
    <w:rsid w:val="3AB79AF3"/>
    <w:rsid w:val="3AE02AC5"/>
    <w:rsid w:val="3AE70353"/>
    <w:rsid w:val="3AE834C0"/>
    <w:rsid w:val="3B7EF35A"/>
    <w:rsid w:val="3B9FDB6C"/>
    <w:rsid w:val="3BF5BC2F"/>
    <w:rsid w:val="3CEBA265"/>
    <w:rsid w:val="3D98207C"/>
    <w:rsid w:val="3DEE7CF3"/>
    <w:rsid w:val="3E740A63"/>
    <w:rsid w:val="3E78745D"/>
    <w:rsid w:val="3EE17838"/>
    <w:rsid w:val="3F055FB6"/>
    <w:rsid w:val="3F55381A"/>
    <w:rsid w:val="3F7F7599"/>
    <w:rsid w:val="3FF4CAE0"/>
    <w:rsid w:val="3FF7B227"/>
    <w:rsid w:val="431745FE"/>
    <w:rsid w:val="44103433"/>
    <w:rsid w:val="44E268DA"/>
    <w:rsid w:val="450D13D7"/>
    <w:rsid w:val="45506656"/>
    <w:rsid w:val="486A6C7A"/>
    <w:rsid w:val="4A627F82"/>
    <w:rsid w:val="4B0E749A"/>
    <w:rsid w:val="4B2477C4"/>
    <w:rsid w:val="4B2C3CC2"/>
    <w:rsid w:val="4B4F25DA"/>
    <w:rsid w:val="4BE068DB"/>
    <w:rsid w:val="4C87625C"/>
    <w:rsid w:val="4D577224"/>
    <w:rsid w:val="4DBF1CEB"/>
    <w:rsid w:val="4DF0007C"/>
    <w:rsid w:val="4EAB630A"/>
    <w:rsid w:val="4ECE2238"/>
    <w:rsid w:val="4F833267"/>
    <w:rsid w:val="4FE9BD67"/>
    <w:rsid w:val="4FFB052F"/>
    <w:rsid w:val="51C13FBE"/>
    <w:rsid w:val="537E6D0A"/>
    <w:rsid w:val="53F74C96"/>
    <w:rsid w:val="55170BA8"/>
    <w:rsid w:val="553218C9"/>
    <w:rsid w:val="567E1AA5"/>
    <w:rsid w:val="56E47B74"/>
    <w:rsid w:val="57175D52"/>
    <w:rsid w:val="57BD3DD4"/>
    <w:rsid w:val="5A9A1850"/>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5D435E"/>
    <w:rsid w:val="62BF3928"/>
    <w:rsid w:val="63B3701E"/>
    <w:rsid w:val="647F5392"/>
    <w:rsid w:val="65CF4C4B"/>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4F22DD"/>
    <w:rsid w:val="72734D90"/>
    <w:rsid w:val="73160E6D"/>
    <w:rsid w:val="7332FE48"/>
    <w:rsid w:val="737F1C5F"/>
    <w:rsid w:val="73AB61DA"/>
    <w:rsid w:val="73AD73D5"/>
    <w:rsid w:val="73B6EB34"/>
    <w:rsid w:val="73FA497D"/>
    <w:rsid w:val="744731E5"/>
    <w:rsid w:val="74802078"/>
    <w:rsid w:val="74BBD01D"/>
    <w:rsid w:val="74ED5379"/>
    <w:rsid w:val="75703482"/>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0A3B3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autoRedefine/>
    <w:unhideWhenUsed/>
    <w:qFormat/>
    <w:uiPriority w:val="9"/>
    <w:pPr>
      <w:keepNext/>
      <w:keepLines/>
      <w:spacing w:before="260" w:after="260" w:line="416" w:lineRule="auto"/>
      <w:outlineLvl w:val="2"/>
    </w:pPr>
    <w:rPr>
      <w:b/>
      <w:bCs/>
      <w:sz w:val="32"/>
      <w:szCs w:val="32"/>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link w:val="28"/>
    <w:autoRedefine/>
    <w:qFormat/>
    <w:uiPriority w:val="99"/>
    <w:pPr>
      <w:spacing w:beforeLines="30"/>
    </w:pPr>
    <w:rPr>
      <w:rFonts w:ascii="仿宋_GB2312" w:eastAsia="仿宋_GB2312"/>
      <w:kern w:val="0"/>
      <w:sz w:val="30"/>
    </w:rPr>
  </w:style>
  <w:style w:type="paragraph" w:styleId="6">
    <w:name w:val="Body Text Indent"/>
    <w:basedOn w:val="1"/>
    <w:next w:val="7"/>
    <w:autoRedefine/>
    <w:qFormat/>
    <w:uiPriority w:val="0"/>
    <w:pPr>
      <w:spacing w:after="120"/>
      <w:ind w:left="200" w:leftChars="200"/>
    </w:pPr>
    <w:rPr>
      <w:rFonts w:ascii="仿宋_GB2312"/>
      <w:szCs w:val="32"/>
    </w:rPr>
  </w:style>
  <w:style w:type="paragraph" w:styleId="7">
    <w:name w:val="Body Text First Indent 2"/>
    <w:basedOn w:val="6"/>
    <w:autoRedefine/>
    <w:unhideWhenUsed/>
    <w:qFormat/>
    <w:uiPriority w:val="99"/>
    <w:pPr>
      <w:ind w:firstLine="420" w:firstLineChars="200"/>
    </w:pPr>
  </w:style>
  <w:style w:type="paragraph" w:styleId="8">
    <w:name w:val="toc 3"/>
    <w:basedOn w:val="1"/>
    <w:next w:val="1"/>
    <w:autoRedefine/>
    <w:unhideWhenUsed/>
    <w:qFormat/>
    <w:uiPriority w:val="39"/>
    <w:pPr>
      <w:tabs>
        <w:tab w:val="right" w:leader="dot" w:pos="8296"/>
      </w:tabs>
      <w:ind w:left="840" w:leftChars="400"/>
    </w:pPr>
  </w:style>
  <w:style w:type="paragraph" w:styleId="9">
    <w:name w:val="Body Text Indent 2"/>
    <w:basedOn w:val="1"/>
    <w:autoRedefine/>
    <w:unhideWhenUsed/>
    <w:qFormat/>
    <w:uiPriority w:val="0"/>
    <w:pPr>
      <w:spacing w:after="120" w:line="480" w:lineRule="auto"/>
      <w:ind w:left="420" w:leftChars="200"/>
    </w:pPr>
  </w:style>
  <w:style w:type="paragraph" w:styleId="10">
    <w:name w:val="Balloon Text"/>
    <w:basedOn w:val="1"/>
    <w:link w:val="34"/>
    <w:autoRedefine/>
    <w:semiHidden/>
    <w:unhideWhenUsed/>
    <w:qFormat/>
    <w:uiPriority w:val="99"/>
    <w:rPr>
      <w:sz w:val="18"/>
      <w:szCs w:val="18"/>
    </w:rPr>
  </w:style>
  <w:style w:type="paragraph" w:styleId="11">
    <w:name w:val="footer"/>
    <w:basedOn w:val="1"/>
    <w:link w:val="26"/>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autoRedefine/>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7"/>
    <w:autoRedefine/>
    <w:semiHidden/>
    <w:qFormat/>
    <w:uiPriority w:val="0"/>
    <w:pPr>
      <w:snapToGrid w:val="0"/>
      <w:jc w:val="left"/>
    </w:pPr>
    <w:rPr>
      <w:sz w:val="18"/>
      <w:szCs w:val="18"/>
    </w:rPr>
  </w:style>
  <w:style w:type="paragraph" w:styleId="15">
    <w:name w:val="toc 2"/>
    <w:basedOn w:val="1"/>
    <w:next w:val="1"/>
    <w:autoRedefine/>
    <w:unhideWhenUsed/>
    <w:qFormat/>
    <w:uiPriority w:val="39"/>
    <w:pPr>
      <w:tabs>
        <w:tab w:val="right" w:leader="dot" w:pos="8296"/>
      </w:tabs>
      <w:ind w:left="420" w:leftChars="200"/>
    </w:p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rPr>
  </w:style>
  <w:style w:type="table" w:styleId="18">
    <w:name w:val="Table Grid"/>
    <w:basedOn w:val="17"/>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autoRedefine/>
    <w:qFormat/>
    <w:uiPriority w:val="0"/>
    <w:rPr>
      <w:b/>
    </w:rPr>
  </w:style>
  <w:style w:type="character" w:styleId="21">
    <w:name w:val="Hyperlink"/>
    <w:basedOn w:val="19"/>
    <w:autoRedefine/>
    <w:unhideWhenUsed/>
    <w:qFormat/>
    <w:uiPriority w:val="99"/>
    <w:rPr>
      <w:color w:val="0000FF" w:themeColor="hyperlink"/>
      <w:u w:val="single"/>
    </w:rPr>
  </w:style>
  <w:style w:type="paragraph" w:customStyle="1" w:styleId="22">
    <w:name w:val="标题 5（有编号）（绿盟科技）"/>
    <w:next w:val="1"/>
    <w:autoRedefine/>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autoRedefine/>
    <w:semiHidden/>
    <w:qFormat/>
    <w:uiPriority w:val="99"/>
    <w:rPr>
      <w:rFonts w:ascii="Times New Roman" w:hAnsi="Times New Roman"/>
      <w:sz w:val="18"/>
      <w:szCs w:val="18"/>
    </w:rPr>
  </w:style>
  <w:style w:type="character" w:customStyle="1" w:styleId="24">
    <w:name w:val="页眉 Char"/>
    <w:link w:val="12"/>
    <w:autoRedefine/>
    <w:semiHidden/>
    <w:qFormat/>
    <w:locked/>
    <w:uiPriority w:val="99"/>
    <w:rPr>
      <w:sz w:val="18"/>
    </w:rPr>
  </w:style>
  <w:style w:type="character" w:customStyle="1" w:styleId="25">
    <w:name w:val="Footer Char"/>
    <w:basedOn w:val="19"/>
    <w:autoRedefine/>
    <w:semiHidden/>
    <w:qFormat/>
    <w:uiPriority w:val="99"/>
    <w:rPr>
      <w:rFonts w:ascii="Times New Roman" w:hAnsi="Times New Roman"/>
      <w:sz w:val="18"/>
      <w:szCs w:val="18"/>
    </w:rPr>
  </w:style>
  <w:style w:type="character" w:customStyle="1" w:styleId="26">
    <w:name w:val="页脚 Char"/>
    <w:link w:val="11"/>
    <w:autoRedefine/>
    <w:qFormat/>
    <w:locked/>
    <w:uiPriority w:val="99"/>
    <w:rPr>
      <w:sz w:val="18"/>
    </w:rPr>
  </w:style>
  <w:style w:type="character" w:customStyle="1" w:styleId="27">
    <w:name w:val="Body Text Char"/>
    <w:basedOn w:val="19"/>
    <w:autoRedefine/>
    <w:semiHidden/>
    <w:qFormat/>
    <w:uiPriority w:val="99"/>
    <w:rPr>
      <w:rFonts w:ascii="Times New Roman" w:hAnsi="Times New Roman"/>
      <w:szCs w:val="24"/>
    </w:rPr>
  </w:style>
  <w:style w:type="character" w:customStyle="1" w:styleId="28">
    <w:name w:val="正文文本 Char"/>
    <w:link w:val="5"/>
    <w:autoRedefine/>
    <w:qFormat/>
    <w:locked/>
    <w:uiPriority w:val="99"/>
    <w:rPr>
      <w:rFonts w:ascii="仿宋_GB2312" w:hAnsi="Times New Roman" w:eastAsia="仿宋_GB2312"/>
      <w:sz w:val="24"/>
    </w:rPr>
  </w:style>
  <w:style w:type="paragraph" w:customStyle="1" w:styleId="29">
    <w:name w:val="Default"/>
    <w:autoRedefine/>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autoRedefine/>
    <w:qFormat/>
    <w:uiPriority w:val="34"/>
    <w:pPr>
      <w:ind w:firstLine="420" w:firstLineChars="200"/>
    </w:pPr>
  </w:style>
  <w:style w:type="character" w:customStyle="1" w:styleId="31">
    <w:name w:val="标题 1 Char"/>
    <w:basedOn w:val="19"/>
    <w:link w:val="2"/>
    <w:autoRedefine/>
    <w:qFormat/>
    <w:uiPriority w:val="9"/>
    <w:rPr>
      <w:rFonts w:ascii="Times New Roman" w:hAnsi="Times New Roman"/>
      <w:b/>
      <w:bCs/>
      <w:kern w:val="44"/>
      <w:sz w:val="44"/>
      <w:szCs w:val="44"/>
    </w:rPr>
  </w:style>
  <w:style w:type="character" w:customStyle="1" w:styleId="32">
    <w:name w:val="标题 2 Char"/>
    <w:basedOn w:val="19"/>
    <w:link w:val="3"/>
    <w:autoRedefine/>
    <w:qFormat/>
    <w:uiPriority w:val="9"/>
    <w:rPr>
      <w:rFonts w:asciiTheme="majorHAnsi" w:hAnsiTheme="majorHAnsi" w:eastAsiaTheme="majorEastAsia" w:cstheme="majorBidi"/>
      <w:b/>
      <w:bCs/>
      <w:kern w:val="2"/>
      <w:sz w:val="32"/>
      <w:szCs w:val="32"/>
    </w:rPr>
  </w:style>
  <w:style w:type="paragraph" w:customStyle="1" w:styleId="33">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4">
    <w:name w:val="批注框文本 Char"/>
    <w:basedOn w:val="19"/>
    <w:link w:val="10"/>
    <w:autoRedefine/>
    <w:semiHidden/>
    <w:qFormat/>
    <w:uiPriority w:val="99"/>
    <w:rPr>
      <w:rFonts w:ascii="Times New Roman" w:hAnsi="Times New Roman"/>
      <w:kern w:val="2"/>
      <w:sz w:val="18"/>
      <w:szCs w:val="18"/>
    </w:rPr>
  </w:style>
  <w:style w:type="character" w:customStyle="1" w:styleId="35">
    <w:name w:val="标题 3 Char"/>
    <w:basedOn w:val="19"/>
    <w:link w:val="4"/>
    <w:autoRedefine/>
    <w:qFormat/>
    <w:uiPriority w:val="9"/>
    <w:rPr>
      <w:rFonts w:ascii="Times New Roman" w:hAnsi="Times New Roman"/>
      <w:b/>
      <w:bCs/>
      <w:kern w:val="2"/>
      <w:sz w:val="32"/>
      <w:szCs w:val="32"/>
    </w:rPr>
  </w:style>
  <w:style w:type="paragraph" w:customStyle="1" w:styleId="36">
    <w:name w:val="TOC 标题2"/>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7">
    <w:name w:val="四号正文"/>
    <w:basedOn w:val="1"/>
    <w:autoRedefine/>
    <w:qFormat/>
    <w:uiPriority w:val="0"/>
    <w:pPr>
      <w:spacing w:line="360" w:lineRule="auto"/>
    </w:pPr>
    <w:rPr>
      <w:rFonts w:ascii="??" w:hAnsi="??"/>
      <w:color w:val="000000"/>
      <w:kern w:val="0"/>
      <w:sz w:val="28"/>
      <w:szCs w:val="21"/>
      <w:lang w:val="zh-CN"/>
    </w:rPr>
  </w:style>
  <w:style w:type="paragraph" w:customStyle="1" w:styleId="38">
    <w:name w:val="图表目录1"/>
    <w:basedOn w:val="1"/>
    <w:next w:val="1"/>
    <w:autoRedefine/>
    <w:qFormat/>
    <w:uiPriority w:val="0"/>
    <w:pPr>
      <w:spacing w:before="100" w:beforeAutospacing="1" w:after="100" w:afterAutospacing="1"/>
      <w:ind w:left="200" w:leftChars="200" w:hanging="200" w:hanging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3.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收入支出与上年度对比情况表</a:t>
            </a:r>
          </a:p>
        </c:rich>
      </c:tx>
      <c:layout>
        <c:manualLayout>
          <c:xMode val="edge"/>
          <c:yMode val="edge"/>
          <c:x val="0.2525"/>
          <c:y val="0.0277777777777778"/>
        </c:manualLayout>
      </c:layout>
      <c:overlay val="0"/>
      <c:spPr>
        <a:noFill/>
        <a:ln>
          <a:noFill/>
        </a:ln>
        <a:effectLst/>
      </c:spPr>
    </c:title>
    <c:autoTitleDeleted val="0"/>
    <c:plotArea>
      <c:layout/>
      <c:barChart>
        <c:barDir val="col"/>
        <c:grouping val="clustered"/>
        <c:varyColors val="0"/>
        <c:ser>
          <c:idx val="0"/>
          <c:order val="0"/>
          <c:tx>
            <c:strRef>
              <c:f>[工作簿1]Sheet1!$A$50</c:f>
              <c:strCache>
                <c:ptCount val="1"/>
                <c:pt idx="0">
                  <c:v>收入</c:v>
                </c:pt>
              </c:strCache>
            </c:strRef>
          </c:tx>
          <c:spPr>
            <a:solidFill>
              <a:srgbClr val="4F81BD"/>
            </a:solidFill>
            <a:ln>
              <a:noFill/>
            </a:ln>
            <a:effectLst/>
          </c:spPr>
          <c:invertIfNegative val="0"/>
          <c:dLbls>
            <c:delete val="1"/>
          </c:dLbls>
          <c:cat>
            <c:multiLvlStrRef>
              <c:f>[工作簿1]Sheet1!$B$48:$D$49</c:f>
              <c:multiLvlStrCache>
                <c:ptCount val="3"/>
                <c:lvl>
                  <c:pt idx="0">
                    <c:v>2023</c:v>
                  </c:pt>
                  <c:pt idx="1">
                    <c:v>2024</c:v>
                  </c:pt>
                </c:lvl>
                <c:lvl>
                  <c:pt idx="0">
                    <c:v>收入支出与上年度对比情况</c:v>
                  </c:pt>
                </c:lvl>
              </c:multiLvlStrCache>
            </c:multiLvlStrRef>
          </c:cat>
          <c:val>
            <c:numRef>
              <c:f>[工作簿1]Sheet1!$B$50:$D$50</c:f>
              <c:numCache>
                <c:formatCode>General</c:formatCode>
                <c:ptCount val="3"/>
                <c:pt idx="0">
                  <c:v>288.22</c:v>
                </c:pt>
                <c:pt idx="1">
                  <c:v>275.42</c:v>
                </c:pt>
              </c:numCache>
            </c:numRef>
          </c:val>
        </c:ser>
        <c:ser>
          <c:idx val="1"/>
          <c:order val="1"/>
          <c:tx>
            <c:strRef>
              <c:f>[工作簿1]Sheet1!$A$51</c:f>
              <c:strCache>
                <c:ptCount val="1"/>
                <c:pt idx="0">
                  <c:v>支出</c:v>
                </c:pt>
              </c:strCache>
            </c:strRef>
          </c:tx>
          <c:spPr>
            <a:solidFill>
              <a:srgbClr val="C0504D"/>
            </a:solidFill>
            <a:ln>
              <a:noFill/>
            </a:ln>
            <a:effectLst/>
          </c:spPr>
          <c:invertIfNegative val="0"/>
          <c:dLbls>
            <c:delete val="1"/>
          </c:dLbls>
          <c:cat>
            <c:multiLvlStrRef>
              <c:f>[工作簿1]Sheet1!$B$48:$D$49</c:f>
              <c:multiLvlStrCache>
                <c:ptCount val="3"/>
                <c:lvl>
                  <c:pt idx="0">
                    <c:v>2023</c:v>
                  </c:pt>
                  <c:pt idx="1">
                    <c:v>2024</c:v>
                  </c:pt>
                </c:lvl>
                <c:lvl>
                  <c:pt idx="0">
                    <c:v>收入支出与上年度对比情况</c:v>
                  </c:pt>
                </c:lvl>
              </c:multiLvlStrCache>
            </c:multiLvlStrRef>
          </c:cat>
          <c:val>
            <c:numRef>
              <c:f>[工作簿1]Sheet1!$B$51:$D$51</c:f>
              <c:numCache>
                <c:formatCode>General</c:formatCode>
                <c:ptCount val="3"/>
                <c:pt idx="0">
                  <c:v>288.22</c:v>
                </c:pt>
                <c:pt idx="1">
                  <c:v>275.42</c:v>
                </c:pt>
              </c:numCache>
            </c:numRef>
          </c:val>
        </c:ser>
        <c:dLbls>
          <c:showLegendKey val="0"/>
          <c:showVal val="0"/>
          <c:showCatName val="0"/>
          <c:showSerName val="0"/>
          <c:showPercent val="0"/>
          <c:showBubbleSize val="0"/>
        </c:dLbls>
        <c:gapWidth val="246"/>
        <c:overlap val="-28"/>
        <c:axId val="436923830"/>
        <c:axId val="818558397"/>
      </c:barChart>
      <c:catAx>
        <c:axId val="436923830"/>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18558397"/>
        <c:crosses val="autoZero"/>
        <c:auto val="1"/>
        <c:lblAlgn val="ctr"/>
        <c:lblOffset val="100"/>
        <c:noMultiLvlLbl val="0"/>
      </c:catAx>
      <c:valAx>
        <c:axId val="818558397"/>
        <c:scaling>
          <c:orientation val="minMax"/>
        </c:scaling>
        <c:delete val="0"/>
        <c:axPos val="l"/>
        <c:majorGridlines>
          <c:spPr>
            <a:ln w="9525" cap="flat" cmpd="sng" algn="ctr">
              <a:solidFill>
                <a:srgbClr val="E6E6E6">
                  <a:lumMod val="902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3692383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en-US" altLang="zh-CN"/>
                      <a:t>275.42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r>
                      <a:rPr lang="en-US"/>
                      <a:t>0</a:t>
                    </a:r>
                    <a:r>
                      <a:rPr lang="en-US" altLang="zh-CN"/>
                      <a:t>%</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275.42</c:v>
                </c:pt>
                <c:pt idx="1">
                  <c:v>0</c:v>
                </c:pt>
              </c:numCache>
            </c:numRef>
          </c:val>
        </c:ser>
        <c:dLbls>
          <c:showLegendKey val="0"/>
          <c:showVal val="1"/>
          <c:showCatName val="0"/>
          <c:showSerName val="0"/>
          <c:showPercent val="0"/>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0" vertOverflow="ellipsis" vert="horz" wrap="square" anchor="ctr" anchorCtr="1"/>
          <a:lstStyle/>
          <a:p>
            <a:pPr defTabSz="914400">
              <a:defRPr lang="zh-CN" sz="1600" b="1" i="0" u="none" strike="noStrike" kern="1200" spc="0" normalizeH="0" baseline="0">
                <a:solidFill>
                  <a:schemeClr val="dk1">
                    <a:lumMod val="50000"/>
                    <a:lumOff val="50000"/>
                  </a:schemeClr>
                </a:solidFill>
                <a:latin typeface="+mj-lt"/>
                <a:ea typeface="+mj-ea"/>
                <a:cs typeface="+mj-cs"/>
              </a:defRPr>
            </a:pPr>
            <a:r>
              <a:rPr lang="zh-CN" altLang="en-US"/>
              <a:t>图表标题</a:t>
            </a:r>
            <a:endParaRPr lang="zh-CN" altLang="en-US"/>
          </a:p>
        </c:rich>
      </c:tx>
      <c:layout>
        <c:manualLayout>
          <c:xMode val="edge"/>
          <c:yMode val="edge"/>
          <c:x val="0.0296296296296296"/>
          <c:y val="0.0264583333333333"/>
        </c:manualLayout>
      </c:layout>
      <c:overlay val="0"/>
      <c:spPr>
        <a:noFill/>
        <a:ln>
          <a:noFill/>
        </a:ln>
        <a:effectLst/>
      </c:spPr>
    </c:title>
    <c:autoTitleDeleted val="0"/>
    <c:plotArea>
      <c:layout>
        <c:manualLayout>
          <c:layoutTarget val="inner"/>
          <c:xMode val="edge"/>
          <c:yMode val="edge"/>
          <c:x val="0.281884975342857"/>
          <c:y val="0.113829744986242"/>
          <c:w val="0.463007407407407"/>
          <c:h val="0.781325"/>
        </c:manualLayout>
      </c:layout>
      <c:pieChart>
        <c:varyColors val="1"/>
        <c:ser>
          <c:idx val="0"/>
          <c:order val="0"/>
          <c:tx>
            <c:strRef>
              <c:f>Sheet1!$B$1</c:f>
              <c:strCache>
                <c:ptCount val="1"/>
                <c:pt idx="0">
                  <c:v>系列 1</c:v>
                </c:pt>
              </c:strCache>
            </c:strRef>
          </c:tx>
          <c:explosion val="72"/>
          <c:dPt>
            <c:idx val="0"/>
            <c:bubble3D val="0"/>
            <c:spPr>
              <a:gradFill>
                <a:gsLst>
                  <a:gs pos="100000">
                    <a:schemeClr val="accent5">
                      <a:shade val="47500"/>
                      <a:lumMod val="60000"/>
                      <a:lumOff val="40000"/>
                    </a:schemeClr>
                  </a:gs>
                  <a:gs pos="0">
                    <a:schemeClr val="accent5">
                      <a:shade val="47500"/>
                    </a:schemeClr>
                  </a:gs>
                </a:gsLst>
                <a:lin ang="5400000" scaled="0"/>
              </a:gradFill>
              <a:ln w="19050">
                <a:solidFill>
                  <a:schemeClr val="lt1"/>
                </a:solidFill>
              </a:ln>
              <a:effectLst/>
            </c:spPr>
          </c:dPt>
          <c:dPt>
            <c:idx val="1"/>
            <c:bubble3D val="0"/>
            <c:spPr>
              <a:gradFill>
                <a:gsLst>
                  <a:gs pos="100000">
                    <a:schemeClr val="accent5">
                      <a:shade val="65000"/>
                      <a:lumMod val="60000"/>
                      <a:lumOff val="40000"/>
                    </a:schemeClr>
                  </a:gs>
                  <a:gs pos="0">
                    <a:schemeClr val="accent5">
                      <a:shade val="65000"/>
                    </a:schemeClr>
                  </a:gs>
                </a:gsLst>
                <a:lin ang="5400000" scaled="0"/>
              </a:gradFill>
              <a:ln w="19050">
                <a:solidFill>
                  <a:schemeClr val="lt1"/>
                </a:solidFill>
              </a:ln>
              <a:effectLst/>
            </c:spPr>
          </c:dPt>
          <c:dPt>
            <c:idx val="2"/>
            <c:bubble3D val="0"/>
            <c:spPr>
              <a:gradFill>
                <a:gsLst>
                  <a:gs pos="100000">
                    <a:schemeClr val="accent5">
                      <a:shade val="82500"/>
                      <a:lumMod val="60000"/>
                      <a:lumOff val="40000"/>
                    </a:schemeClr>
                  </a:gs>
                  <a:gs pos="0">
                    <a:schemeClr val="accent5">
                      <a:shade val="82500"/>
                    </a:schemeClr>
                  </a:gs>
                </a:gsLst>
                <a:lin ang="5400000" scaled="0"/>
              </a:gradFill>
              <a:ln w="19050">
                <a:solidFill>
                  <a:schemeClr val="lt1"/>
                </a:solidFill>
              </a:ln>
              <a:effectLst/>
            </c:spPr>
          </c:dPt>
          <c:dPt>
            <c:idx val="3"/>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4"/>
            <c:bubble3D val="0"/>
            <c:spPr>
              <a:gradFill>
                <a:gsLst>
                  <a:gs pos="100000">
                    <a:schemeClr val="accent5">
                      <a:tint val="82500"/>
                      <a:lumMod val="60000"/>
                      <a:lumOff val="40000"/>
                    </a:schemeClr>
                  </a:gs>
                  <a:gs pos="0">
                    <a:schemeClr val="accent5">
                      <a:tint val="82500"/>
                    </a:schemeClr>
                  </a:gs>
                </a:gsLst>
                <a:lin ang="5400000" scaled="0"/>
              </a:gradFill>
              <a:ln w="19050">
                <a:solidFill>
                  <a:schemeClr val="lt1"/>
                </a:solidFill>
              </a:ln>
              <a:effectLst/>
            </c:spPr>
          </c:dPt>
          <c:dLbls>
            <c:dLbl>
              <c:idx val="0"/>
              <c:layout/>
              <c:dLblPos val="ctr"/>
              <c:showLegendKey val="0"/>
              <c:showVal val="0"/>
              <c:showCatName val="0"/>
              <c:showSerName val="0"/>
              <c:showPercent val="1"/>
              <c:showBubbleSize val="0"/>
              <c:extLst>
                <c:ext xmlns:c15="http://schemas.microsoft.com/office/drawing/2012/chart" uri="{CE6537A1-D6FC-4f65-9D91-7224C49458BB}"/>
              </c:extLst>
            </c:dLbl>
            <c:dLbl>
              <c:idx val="1"/>
              <c:layout/>
              <c:dLblPos val="ctr"/>
              <c:showLegendKey val="0"/>
              <c:showVal val="0"/>
              <c:showCatName val="0"/>
              <c:showSerName val="0"/>
              <c:showPercent val="1"/>
              <c:showBubbleSize val="0"/>
              <c:extLst>
                <c:ext xmlns:c15="http://schemas.microsoft.com/office/drawing/2012/chart" uri="{CE6537A1-D6FC-4f65-9D91-7224C49458BB}"/>
              </c:extLst>
            </c:dLbl>
            <c:dLbl>
              <c:idx val="2"/>
              <c:layout/>
              <c:dLblPos val="ctr"/>
              <c:showLegendKey val="0"/>
              <c:showVal val="0"/>
              <c:showCatName val="0"/>
              <c:showSerName val="0"/>
              <c:showPercent val="1"/>
              <c:showBubbleSize val="0"/>
              <c:extLst>
                <c:ext xmlns:c15="http://schemas.microsoft.com/office/drawing/2012/chart" uri="{CE6537A1-D6FC-4f65-9D91-7224C49458BB}"/>
              </c:extLst>
            </c:dLbl>
            <c:dLbl>
              <c:idx val="3"/>
              <c:layout/>
              <c:dLblPos val="ctr"/>
              <c:showLegendKey val="0"/>
              <c:showVal val="0"/>
              <c:showCatName val="0"/>
              <c:showSerName val="0"/>
              <c:showPercent val="1"/>
              <c:showBubbleSize val="0"/>
              <c:extLst>
                <c:ext xmlns:c15="http://schemas.microsoft.com/office/drawing/2012/chart" uri="{CE6537A1-D6FC-4f65-9D91-7224C49458BB}"/>
              </c:extLst>
            </c:dLbl>
            <c:dLbl>
              <c:idx val="4"/>
              <c:layout/>
              <c:dLblPos val="ctr"/>
              <c:showLegendKey val="0"/>
              <c:showVal val="0"/>
              <c:showCatName val="0"/>
              <c:showSerName val="0"/>
              <c:showPercent val="1"/>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ext>
            </c:extLst>
          </c:dLbls>
          <c:cat>
            <c:strRef>
              <c:f>Sheet1!$A$2:$A$6</c:f>
              <c:strCache>
                <c:ptCount val="5"/>
                <c:pt idx="0">
                  <c:v>文化旅游体育与传媒支出</c:v>
                </c:pt>
                <c:pt idx="1">
                  <c:v>社会保障和就业支出</c:v>
                </c:pt>
                <c:pt idx="2">
                  <c:v>卫生健康支出</c:v>
                </c:pt>
                <c:pt idx="3">
                  <c:v>住房保障支出</c:v>
                </c:pt>
              </c:strCache>
            </c:strRef>
          </c:cat>
          <c:val>
            <c:numRef>
              <c:f>Sheet1!$B$2:$B$6</c:f>
              <c:numCache>
                <c:formatCode>0.00_ </c:formatCode>
                <c:ptCount val="5"/>
                <c:pt idx="0">
                  <c:v>236.59</c:v>
                </c:pt>
                <c:pt idx="1">
                  <c:v>19.95</c:v>
                </c:pt>
                <c:pt idx="2">
                  <c:v>7.32</c:v>
                </c:pt>
                <c:pt idx="3">
                  <c:v>11.56</c:v>
                </c:pt>
              </c:numCache>
            </c:numRef>
          </c:val>
        </c:ser>
        <c:ser>
          <c:idx val="1"/>
          <c:order val="1"/>
          <c:tx>
            <c:strRef>
              <c:f>Sheet1!#REF!</c:f>
              <c:strCache>
                <c:ptCount val="1"/>
                <c:pt idx="0">
                  <c:v/>
                </c:pt>
              </c:strCache>
            </c:strRef>
          </c:tx>
          <c:explosion val="0"/>
          <c:dPt>
            <c:idx val="0"/>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Sheet1!$A$2:$A$6</c:f>
              <c:strCache>
                <c:ptCount val="5"/>
                <c:pt idx="0">
                  <c:v>文化旅游体育与传媒支出</c:v>
                </c:pt>
                <c:pt idx="1">
                  <c:v>社会保障和就业支出</c:v>
                </c:pt>
                <c:pt idx="2">
                  <c:v>卫生健康支出</c:v>
                </c:pt>
                <c:pt idx="3">
                  <c:v>住房保障支出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explosion val="0"/>
          <c:dPt>
            <c:idx val="0"/>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Sheet1!$A$2:$A$6</c:f>
              <c:strCache>
                <c:ptCount val="5"/>
                <c:pt idx="0">
                  <c:v>文化旅游体育与传媒支出</c:v>
                </c:pt>
                <c:pt idx="1">
                  <c:v>社会保障和就业支出</c:v>
                </c:pt>
                <c:pt idx="2">
                  <c:v>卫生健康支出</c:v>
                </c:pt>
                <c:pt idx="3">
                  <c:v>住房保障支出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8246753246753"/>
          <c:y val="0.345415266442631"/>
        </c:manualLayout>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noFill/>
      </a:ln>
      <a:effectLst/>
    </cs:spPr>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8625</Words>
  <Characters>9837</Characters>
  <Lines>96</Lines>
  <Paragraphs>27</Paragraphs>
  <TotalTime>8</TotalTime>
  <ScaleCrop>false</ScaleCrop>
  <LinksUpToDate>false</LinksUpToDate>
  <CharactersWithSpaces>9925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2025-08-14T08:49:00Z</dcterms:created>
  <dc:creator>曹颖</dc:creator>
  <cp:lastModifiedBy>狂吃不胖没办法</cp:lastModifiedBy>
  <cp:lastPrinted>2025-08-06T17:34:00Z</cp:lastPrinted>
  <dcterms:modified xsi:type="dcterms:W3CDTF">2025-09-03T03:28:21Z</dcterms:modified>
  <dc:title>四川省***</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04787F2533EB45DC91BCDE4AB213247F</vt:lpwstr>
  </property>
  <property fmtid="{D5CDD505-2E9C-101B-9397-08002B2CF9AE}" pid="4" name="KSOTemplateDocerSaveRecord">
    <vt:lpwstr>eyJoZGlkIjoiNzA4Mzc3Nzk5Mzk3ZjM3ZmU5MzM5ZmFkNWJlYmY5ODgiLCJ1c2VySWQiOiIzMTc3OTY2ODMifQ==</vt:lpwstr>
  </property>
</Properties>
</file>