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2024年世外梨园景区服务中心部门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2024年，我单位部门预算168.18万元 ，均严格按绩效管理要求实现项目绩效目标管理，其中重点项目预算18个，现将情况说明如下：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完成了2024年本级部门预算整体绩效目标申报和18个项目预算绩效目标申报，并编报18个项目预算事前绩效评估报告。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贯彻国家有关旅游景区管理的法律、法规和方针政策,制定景区的各项管理制度,统一管理景区；负责对外联络和协调工作,及时反映职工意见,提供准确信息,做好上传下达工作；负责文秘、文书档案,政务信息,保密等工作；负责会议的准备、组织、总务、后勤管理工作。负责中心党风廉政建设、纪检工作；工会工作；负责财务工作,负责组织、人事和社会保障,档案管理工作；负责机密文电、信件的传递工作；负责受理和接待群众的来信来访,转办和协调来访案件;负责社会治安综合治理及精神文明建设日常工作;维护景区和社会稳定工作;负责游客关于景区情况的咨询介绍工作；负责协调或处理在景区内发生的旅游投诉事宜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重点项目1：单位申报项目名称1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津贴补贴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奖金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3基本工资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pStyle w:val="2"/>
        <w:rPr>
          <w:rFonts w:hint="eastAsia"/>
        </w:rPr>
      </w:pP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4其他社会保障缴费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6住房公积金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重点项目6：单位申报项目名称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7机关事业单位基本养老保险缴费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重点项目7：单位申报项目名称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8职业年金缴费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重点项目8：单位申报项目名称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9职工基本医疗保险缴费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重点项目9：单位申报项目名称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10公务员医疗补助缴费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0：单位申报项目名称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11奖励金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12奖金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13电费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left="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14劳务费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15水费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16差旅费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17公务用车运行维护费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18办公费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19邮电费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8D91ACA"/>
    <w:rsid w:val="292D3980"/>
    <w:rsid w:val="30452993"/>
    <w:rsid w:val="52795C1D"/>
    <w:rsid w:val="5E5D777E"/>
    <w:rsid w:val="787529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3</TotalTime>
  <ScaleCrop>false</ScaleCrop>
  <LinksUpToDate>false</LinksUpToDate>
  <CharactersWithSpaces>356</CharactersWithSpaces>
  <Application>WPS Office_11.1.0.9339_F1E327BC-269C-435d-A152-05C5408002CA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HP</cp:lastModifiedBy>
  <dcterms:modified xsi:type="dcterms:W3CDTF">2024-02-29T06:29:34Z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ICV">
    <vt:lpwstr>3D341E3728DE4629B7BF94E8E63A2BCA_13</vt:lpwstr>
  </property>
</Properties>
</file>