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78441"/>
      <w:bookmarkStart w:id="1" w:name="_Toc15377425"/>
      <w:bookmarkStart w:id="2" w:name="_Toc15377193"/>
      <w:bookmarkStart w:id="3" w:name="_Toc15396475"/>
      <w:bookmarkStart w:id="4" w:name="_Toc15396597"/>
      <w:bookmarkStart w:id="5" w:name="_Toc15306267"/>
      <w:bookmarkStart w:id="6" w:name="_GoBack"/>
      <w:bookmarkEnd w:id="6"/>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adjustRightInd w:val="0"/>
        <w:snapToGrid w:val="0"/>
        <w:spacing w:line="360" w:lineRule="auto"/>
        <w:jc w:val="center"/>
        <w:outlineLvl w:val="0"/>
        <w:rPr>
          <w:rFonts w:ascii="Times New Roman" w:eastAsia="方正小标宋简体" w:cs="Times New Roman" w:hAnsi="Times New Roman"/>
          <w:sz w:val="72"/>
          <w:szCs w:val="72"/>
        </w:rPr>
      </w:pPr>
      <w:bookmarkStart w:id="7" w:name="_Toc26843601"/>
      <w:r>
        <w:rPr>
          <w:rFonts w:ascii="Times New Roman" w:eastAsia="方正小标宋简体" w:cs="Times New Roman" w:hAnsi="Times New Roman"/>
          <w:sz w:val="72"/>
          <w:szCs w:val="72"/>
        </w:rPr>
        <w:t>202</w:t>
      </w:r>
      <w:r>
        <w:rPr>
          <w:rFonts w:eastAsia="方正小标宋简体" w:cs="Times New Roman" w:hint="eastAsia"/>
          <w:sz w:val="72"/>
          <w:szCs w:val="72"/>
          <w:lang w:val="en-US" w:eastAsia="zh-CN"/>
        </w:rPr>
        <w:t>2</w:t>
      </w:r>
      <w:r>
        <w:rPr>
          <w:rFonts w:ascii="Times New Roman" w:eastAsia="方正小标宋简体" w:cs="Times New Roman" w:hAnsi="Times New Roman"/>
          <w:sz w:val="72"/>
          <w:szCs w:val="72"/>
        </w:rPr>
        <w:t>年度</w:t>
      </w:r>
      <w:bookmarkEnd w:id="0"/>
      <w:bookmarkEnd w:id="1"/>
      <w:bookmarkEnd w:id="2"/>
      <w:bookmarkEnd w:id="3"/>
      <w:bookmarkEnd w:id="4"/>
      <w:bookmarkEnd w:id="7"/>
    </w:p>
    <w:p>
      <w:pPr>
        <w:adjustRightInd w:val="0"/>
        <w:snapToGrid w:val="0"/>
        <w:spacing w:line="360" w:lineRule="auto"/>
        <w:jc w:val="center"/>
        <w:outlineLvl w:val="0"/>
        <w:rPr>
          <w:rFonts w:ascii="Times New Roman" w:eastAsia="方正小标宋简体" w:cs="Times New Roman" w:hAnsi="Times New Roman"/>
          <w:sz w:val="72"/>
          <w:szCs w:val="72"/>
        </w:rPr>
      </w:pPr>
      <w:bookmarkStart w:id="8" w:name="_Toc15396476"/>
      <w:bookmarkStart w:id="9" w:name="_Toc15377194"/>
      <w:bookmarkStart w:id="10" w:name="_Toc15378442"/>
      <w:bookmarkStart w:id="11" w:name="_Toc15377426"/>
      <w:bookmarkStart w:id="12" w:name="_Toc15396598"/>
      <w:bookmarkStart w:id="13" w:name="_Toc26843603"/>
      <w:bookmarkStart w:id="14" w:name="_Toc15306268"/>
      <w:bookmarkEnd w:id="5"/>
      <w:r>
        <w:rPr>
          <w:rFonts w:eastAsia="方正小标宋简体" w:cs="Times New Roman" w:hint="eastAsia"/>
          <w:sz w:val="72"/>
          <w:szCs w:val="72"/>
          <w:lang w:val="en-US" w:eastAsia="zh-CN"/>
        </w:rPr>
        <w:t>金川县世外梨园景区服务中心</w:t>
      </w:r>
      <w:r>
        <w:rPr>
          <w:rFonts w:ascii="Times New Roman" w:eastAsia="方正小标宋简体" w:cs="Times New Roman" w:hAnsi="Times New Roman"/>
          <w:sz w:val="72"/>
          <w:szCs w:val="72"/>
        </w:rPr>
        <w:t>部门决算</w:t>
      </w:r>
      <w:bookmarkEnd w:id="8"/>
      <w:bookmarkEnd w:id="9"/>
      <w:bookmarkEnd w:id="10"/>
      <w:bookmarkEnd w:id="11"/>
      <w:bookmarkEnd w:id="12"/>
      <w:bookmarkEnd w:id="13"/>
      <w:bookmarkEnd w:id="14"/>
    </w:p>
    <w:p>
      <w:pPr>
        <w:pStyle w:val="16"/>
        <w:spacing w:beforeLines="0" w:before="93"/>
        <w:rPr>
          <w:rFonts w:ascii="Times New Roman" w:eastAsia="方正小标宋简体" w:cs="Times New Roman" w:hAnsi="Times New Roman"/>
          <w:sz w:val="52"/>
          <w:szCs w:val="52"/>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1"/>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8</w:t>
      </w:r>
      <w:r>
        <w:rPr>
          <w:rFonts w:ascii="Times New Roman" w:cs="Times New Roman" w:hAnsi="Times New Roman"/>
        </w:rPr>
        <w:t>日</w:t>
      </w:r>
    </w:p>
    <w:p>
      <w:pPr>
        <w:pStyle w:val="21"/>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_Toc26843605 \h</w:instrText>
      </w:r>
      <w:r>
        <w:rPr>
          <w:rFonts w:ascii="Times New Roman" w:cs="Times New Roman" w:hAnsi="Times New Roman"/>
          <w:sz w:val="24"/>
        </w:rPr>
        <w:fldChar w:fldCharType="separate"/>
      </w:r>
      <w:r>
        <w:rPr>
          <w:rFonts w:ascii="Times New Roman" w:cs="Times New Roman" w:hAnsi="Times New Roman"/>
          <w:sz w:val="24"/>
        </w:rPr>
        <w:t>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_Toc26843606 \h</w:instrText>
      </w:r>
      <w:r>
        <w:rPr>
          <w:rFonts w:ascii="Times New Roman" w:cs="Times New Roman" w:hAnsi="Times New Roman"/>
          <w:sz w:val="24"/>
        </w:rPr>
        <w:fldChar w:fldCharType="separate"/>
      </w:r>
      <w:r>
        <w:rPr>
          <w:rFonts w:ascii="Times New Roman" w:cs="Times New Roman" w:hAnsi="Times New Roman"/>
          <w:sz w:val="24"/>
        </w:rPr>
        <w:t>5</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w:t>
      </w:r>
      <w:r>
        <w:rPr>
          <w:rFonts w:ascii="Times New Roman" w:cs="Times New Roman" w:hAnsi="Times New Roman" w:hint="eastAsia"/>
          <w:sz w:val="24"/>
          <w:lang w:val="en-US" w:eastAsia="zh-CN"/>
        </w:rPr>
        <w:t>2</w:t>
      </w:r>
      <w:r>
        <w:rPr>
          <w:rFonts w:ascii="Times New Roman" w:cs="Times New Roman" w:hAnsi="Times New Roman"/>
          <w:sz w:val="24"/>
        </w:rPr>
        <w:t>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_Toc26843607 \h</w:instrText>
      </w:r>
      <w:r>
        <w:rPr>
          <w:rFonts w:ascii="Times New Roman" w:cs="Times New Roman" w:hAnsi="Times New Roman"/>
          <w:sz w:val="24"/>
        </w:rPr>
        <w:fldChar w:fldCharType="separate"/>
      </w:r>
      <w:r>
        <w:rPr>
          <w:rFonts w:ascii="Times New Roman" w:cs="Times New Roman" w:hAnsi="Times New Roman"/>
          <w:sz w:val="24"/>
        </w:rPr>
        <w:t>6</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_Toc26843608 \h</w:instrText>
      </w:r>
      <w:r>
        <w:rPr>
          <w:rFonts w:ascii="Times New Roman" w:cs="Times New Roman" w:hAnsi="Times New Roman"/>
          <w:sz w:val="24"/>
        </w:rPr>
        <w:fldChar w:fldCharType="separate"/>
      </w:r>
      <w:r>
        <w:rPr>
          <w:rFonts w:ascii="Times New Roman" w:cs="Times New Roman" w:hAnsi="Times New Roman"/>
          <w:sz w:val="24"/>
        </w:rPr>
        <w:t>6</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_Toc26843609 \h</w:instrText>
      </w:r>
      <w:r>
        <w:rPr>
          <w:rFonts w:ascii="Times New Roman" w:cs="Times New Roman" w:hAnsi="Times New Roman"/>
          <w:sz w:val="24"/>
        </w:rPr>
        <w:fldChar w:fldCharType="separate"/>
      </w:r>
      <w:r>
        <w:rPr>
          <w:rFonts w:ascii="Times New Roman" w:cs="Times New Roman" w:hAnsi="Times New Roman"/>
          <w:sz w:val="24"/>
        </w:rPr>
        <w:t>6</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_Toc26843612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_Toc26843615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_Toc26843616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_Toc26843617 \h</w:instrText>
      </w:r>
      <w:r>
        <w:rPr>
          <w:rFonts w:ascii="Times New Roman" w:cs="Times New Roman" w:hAnsi="Times New Roman"/>
          <w:sz w:val="24"/>
        </w:rPr>
        <w:fldChar w:fldCharType="separate"/>
      </w:r>
      <w:r>
        <w:rPr>
          <w:rFonts w:ascii="Times New Roman" w:cs="Times New Roman" w:hAnsi="Times New Roman"/>
          <w:sz w:val="24"/>
        </w:rPr>
        <w:t>9</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_Toc26843618 \h</w:instrText>
      </w:r>
      <w:r>
        <w:rPr>
          <w:rFonts w:ascii="Times New Roman" w:cs="Times New Roman" w:hAnsi="Times New Roman"/>
          <w:sz w:val="24"/>
        </w:rPr>
        <w:fldChar w:fldCharType="separate"/>
      </w:r>
      <w:r>
        <w:rPr>
          <w:rFonts w:ascii="Times New Roman" w:cs="Times New Roman" w:hAnsi="Times New Roman"/>
          <w:sz w:val="24"/>
        </w:rPr>
        <w:t>11</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_Toc26843619 \h</w:instrText>
      </w:r>
      <w:r>
        <w:rPr>
          <w:rFonts w:ascii="Times New Roman" w:cs="Times New Roman" w:hAnsi="Times New Roman"/>
          <w:sz w:val="24"/>
        </w:rPr>
        <w:fldChar w:fldCharType="separate"/>
      </w:r>
      <w:r>
        <w:rPr>
          <w:rFonts w:ascii="Times New Roman" w:cs="Times New Roman" w:hAnsi="Times New Roman"/>
          <w:sz w:val="24"/>
        </w:rPr>
        <w:t>12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_Toc26843620 \h</w:instrText>
      </w:r>
      <w:r>
        <w:rPr>
          <w:rFonts w:ascii="Times New Roman" w:cs="Times New Roman" w:hAnsi="Times New Roman"/>
          <w:sz w:val="24"/>
        </w:rPr>
        <w:fldChar w:fldCharType="separate"/>
      </w:r>
      <w:r>
        <w:rPr>
          <w:rFonts w:ascii="Times New Roman" w:cs="Times New Roman" w:hAnsi="Times New Roman"/>
          <w:sz w:val="24"/>
        </w:rPr>
        <w:t>12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_Toc26843621 \h</w:instrText>
      </w:r>
      <w:r>
        <w:rPr>
          <w:rFonts w:ascii="Times New Roman" w:cs="Times New Roman" w:hAnsi="Times New Roman"/>
          <w:sz w:val="24"/>
        </w:rPr>
        <w:fldChar w:fldCharType="separate"/>
      </w:r>
      <w:r>
        <w:rPr>
          <w:rFonts w:ascii="Times New Roman" w:cs="Times New Roman" w:hAnsi="Times New Roman"/>
          <w:sz w:val="24"/>
        </w:rPr>
        <w:t>12</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_Toc26843622 \h</w:instrText>
      </w:r>
      <w:r>
        <w:rPr>
          <w:rFonts w:ascii="Times New Roman" w:cs="Times New Roman" w:hAnsi="Times New Roman"/>
          <w:sz w:val="24"/>
        </w:rPr>
        <w:fldChar w:fldCharType="separate"/>
      </w:r>
      <w:r>
        <w:rPr>
          <w:rFonts w:ascii="Times New Roman" w:cs="Times New Roman" w:hAnsi="Times New Roman"/>
          <w:sz w:val="24"/>
        </w:rPr>
        <w:t>14</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_Toc26843623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eastAsia="仿宋"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"_Toc26843625"</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五部分 附表</w:t>
      </w:r>
      <w:r>
        <w:rPr>
          <w:rFonts w:ascii="Times New Roman" w:cs="Times New Roman" w:hAnsi="Times New Roman"/>
          <w:sz w:val="24"/>
        </w:rPr>
        <w:tab/>
      </w:r>
      <w:r>
        <w:rPr>
          <w:rFonts w:ascii="Times New Roman" w:cs="Times New Roman" w:hAnsi="Times New Roman" w:hint="eastAsia"/>
          <w:sz w:val="24"/>
          <w:lang w:val="en-US" w:eastAsia="zh-CN"/>
        </w:rPr>
        <w:t>2</w:t>
      </w:r>
      <w:r>
        <w:rPr>
          <w:rFonts w:ascii="Times New Roman" w:cs="Times New Roman" w:hAnsi="Times New Roman"/>
          <w:sz w:val="24"/>
        </w:rPr>
        <w:fldChar w:fldCharType="end"/>
      </w:r>
      <w:r>
        <w:rPr>
          <w:rFonts w:ascii="Times New Roman" w:cs="Times New Roman" w:hAnsi="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"_Toc26843635"</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般公共预算财政拨款“三公”经费支出决算表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十一、</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cs="Times New Roman" w:hint="eastAsia"/>
          <w:bCs/>
          <w:sz w:val="24"/>
          <w:lang w:val="en-US" w:eastAsia="zh-CN" w:bidi="ar-SA"/>
        </w:rPr>
        <w:t>二</w:t>
      </w:r>
      <w:r>
        <w:rPr>
          <w:rFonts w:ascii="Times New Roman" w:cs="Times New Roman" w:hAnsi="Times New Roman"/>
          <w:bCs/>
          <w:sz w:val="24"/>
          <w:lang w:val="en-US" w:eastAsia="zh-CN" w:bidi="ar-SA"/>
        </w:rPr>
        <w:t>、</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eastAsia="宋体" w:cs="Times New Roman" w:hAnsi="Times New Roman" w:hint="eastAsia"/>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"_Toc26843639"</w:instrText>
      </w:r>
      <w:r>
        <w:rPr>
          <w:rFonts w:ascii="Times New Roman" w:cs="Times New Roman" w:hAnsi="Times New Roman"/>
          <w:sz w:val="24"/>
        </w:rPr>
        <w:fldChar w:fldCharType="separate"/>
      </w:r>
      <w:r>
        <w:rPr>
          <w:rFonts w:ascii="Times New Roman" w:cs="Times New Roman" w:hAnsi="Times New Roman"/>
          <w:sz w:val="24"/>
          <w:lang w:val="en-US" w:eastAsia="zh-CN" w:bidi="ar-SA"/>
        </w:rPr>
        <w:t>十</w:t>
      </w:r>
      <w:r>
        <w:rPr>
          <w:rFonts w:cs="Times New Roman" w:hint="eastAsia"/>
          <w:sz w:val="24"/>
          <w:lang w:val="en-US" w:eastAsia="zh-CN" w:bidi="ar-SA"/>
        </w:rPr>
        <w:t>三</w:t>
      </w:r>
      <w:r>
        <w:rPr>
          <w:rFonts w:ascii="Times New Roman" w:cs="Times New Roman" w:hAnsi="Times New Roman"/>
          <w:sz w:val="24"/>
          <w:lang w:val="en-US" w:eastAsia="zh-CN" w:bidi="ar-SA"/>
        </w:rPr>
        <w:t>、国有资本经营预算财政拨款支出决算表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ascii="Times New Roman" w:cs="Times New Roman" w:hAnsi="Times New Roman"/>
        </w:rPr>
        <w:fldChar w:fldCharType="end"/>
      </w:r>
      <w:r>
        <w:rPr>
          <w:rFonts w:cs="Times New Roman" w:hint="eastAsia"/>
          <w:lang w:val="en-US" w:eastAsia="zh-CN"/>
        </w:rPr>
        <w:t>0</w:t>
      </w:r>
    </w:p>
    <w:p>
      <w:pPr>
        <w:widowControl/>
        <w:spacing w:line="440" w:lineRule="exact"/>
        <w:jc w:val="left"/>
        <w:rPr>
          <w:rFonts w:ascii="Times New Roman" w:eastAsia="仿宋" w:cs="Times New Roman" w:hAnsi="Times New Roman"/>
          <w:b/>
          <w:sz w:val="24"/>
        </w:rPr>
      </w:pPr>
      <w:bookmarkStart w:id="15" w:name="_Toc15396599"/>
      <w:bookmarkStart w:id="16" w:name="_Toc15377196"/>
      <w:r>
        <w:rPr>
          <w:rFonts w:ascii="Times New Roman" w:eastAsia="仿宋" w:cs="Times New Roman" w:hAnsi="Times New Roman"/>
          <w:b/>
          <w:sz w:val="24"/>
        </w:rPr>
        <w:br w:type="page"/>
      </w:r>
      <w:bookmarkStart w:id="17" w:name="_Toc26843605"/>
      <w:bookmarkStart w:id="18" w:name="_Toc15396600"/>
      <w:bookmarkStart w:id="19" w:name="_Toc15377197"/>
      <w:bookmarkEnd w:id="15"/>
      <w:bookmarkEnd w:id="16"/>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方正小标宋简体" w:eastAsia="方正小标宋简体" w:cs="方正小标宋简体" w:hint="eastAsia"/>
          <w:b w:val="0"/>
          <w:bCs/>
          <w:sz w:val="44"/>
          <w:szCs w:val="44"/>
          <w:lang w:eastAsia="zh-CN"/>
        </w:rPr>
      </w:pPr>
      <w:r>
        <w:rPr>
          <w:rFonts w:ascii="方正小标宋简体" w:eastAsia="方正小标宋简体" w:cs="方正小标宋简体" w:hint="eastAsia"/>
          <w:b w:val="0"/>
          <w:bCs/>
          <w:sz w:val="44"/>
          <w:szCs w:val="44"/>
          <w:lang w:eastAsia="zh-CN"/>
        </w:rPr>
        <w:t>第一部分</w:t>
      </w:r>
      <w:r>
        <w:rPr>
          <w:rFonts w:ascii="方正小标宋简体" w:eastAsia="方正小标宋简体" w:cs="方正小标宋简体" w:hint="eastAsia"/>
          <w:b w:val="0"/>
          <w:bCs/>
          <w:sz w:val="44"/>
          <w:szCs w:val="44"/>
          <w:lang w:val="en-US" w:eastAsia="zh-CN"/>
        </w:rPr>
        <w:t xml:space="preserve">  </w:t>
      </w:r>
      <w:r>
        <w:rPr>
          <w:rFonts w:ascii="方正小标宋简体" w:eastAsia="方正小标宋简体" w:cs="方正小标宋简体" w:hint="eastAsia"/>
          <w:b w:val="0"/>
          <w:bCs/>
          <w:sz w:val="44"/>
          <w:szCs w:val="44"/>
          <w:lang w:eastAsia="zh-CN"/>
        </w:rPr>
        <w:t>部门概况</w:t>
      </w:r>
    </w:p>
    <w:p>
      <w:pPr>
        <w:widowControl/>
        <w:spacing w:line="440" w:lineRule="exact"/>
        <w:jc w:val="left"/>
        <w:rPr>
          <w:rStyle w:val="2Char"/>
          <w:rFonts w:ascii="Times New Roman" w:eastAsia="黑体" w:cs="Times New Roman" w:hAnsi="Times New Roman"/>
          <w:b w:val="0"/>
          <w:bCs w:val="0"/>
        </w:rPr>
      </w:pPr>
    </w:p>
    <w:p>
      <w:pPr>
        <w:pageBreakBefore w:val="0"/>
        <w:widowControl/>
        <w:kinsoku/>
        <w:wordWrap/>
        <w:overflowPunct/>
        <w:topLinePunct w:val="0"/>
        <w:autoSpaceDE/>
        <w:autoSpaceDN/>
        <w:bidi w:val="0"/>
        <w:spacing w:line="560" w:lineRule="exact"/>
        <w:ind w:firstLineChars="200" w:firstLine="640"/>
        <w:jc w:val="both"/>
        <w:textAlignment w:val="auto"/>
        <w:rPr>
          <w:rStyle w:val="2Char"/>
          <w:rFonts w:ascii="Times New Roman" w:eastAsia="黑体" w:cs="Times New Roman" w:hAnsi="Times New Roman"/>
          <w:b w:val="0"/>
          <w:bCs w:val="0"/>
        </w:rPr>
      </w:pPr>
      <w:r>
        <w:rPr>
          <w:rStyle w:val="2Char"/>
          <w:rFonts w:ascii="Times New Roman" w:eastAsia="黑体" w:cs="Times New Roman" w:hAnsi="Times New Roman"/>
          <w:b w:val="0"/>
          <w:bCs w:val="0"/>
        </w:rPr>
        <w:t>一、基本职能及主要工作</w:t>
      </w:r>
      <w:bookmarkEnd w:id="17"/>
      <w:bookmarkEnd w:id="18"/>
      <w:bookmarkEnd w:id="19"/>
    </w:p>
    <w:p>
      <w:pPr>
        <w:pStyle w:val="16"/>
        <w:pageBreakBefore w:val="0"/>
        <w:widowControl w:val="0"/>
        <w:kinsoku/>
        <w:wordWrap/>
        <w:overflowPunct/>
        <w:topLinePunct w:val="0"/>
        <w:autoSpaceDE/>
        <w:autoSpaceDN/>
        <w:bidi w:val="0"/>
        <w:adjustRightInd w:val="0"/>
        <w:snapToGrid w:val="0"/>
        <w:spacing w:beforeLines="0" w:before="0" w:line="560" w:lineRule="exact"/>
        <w:ind w:firstLineChars="200" w:firstLine="640"/>
        <w:jc w:val="both"/>
        <w:textAlignment w:val="auto"/>
        <w:rPr>
          <w:rFonts w:hint="eastAsia"/>
          <w:bCs/>
          <w:color w:val="000000"/>
          <w:sz w:val="32"/>
          <w:szCs w:val="32"/>
        </w:rPr>
      </w:pPr>
      <w:bookmarkStart w:id="20" w:name="_Toc79163605"/>
      <w:bookmarkStart w:id="21" w:name="_Toc79163855"/>
      <w:r>
        <w:rPr>
          <w:rFonts w:ascii="楷体_GB2312" w:eastAsia="楷体_GB2312" w:cs="楷体_GB2312" w:hint="eastAsia"/>
          <w:b/>
          <w:bCs w:val="0"/>
          <w:color w:val="000000"/>
          <w:sz w:val="32"/>
          <w:szCs w:val="32"/>
        </w:rPr>
        <w:t>（一）主要职能。</w:t>
      </w:r>
      <w:r>
        <w:rPr>
          <w:rFonts w:hint="eastAsia"/>
          <w:bCs/>
          <w:color w:val="000000"/>
          <w:sz w:val="32"/>
          <w:szCs w:val="32"/>
        </w:rPr>
        <w:t>贯彻国家有关旅游景区管理的法律、法规和方针政策,制定景区的各项管理制度,统一管理景区；负责对外联络和协调工作,及时反映职工意见,提供准确信息,做好上传下达工作；负责文秘、文书档案,政务信息,保密等工作；负责会议的准备、组织、总务、后勤管理工作。负责中心支部日常工作,党风廉政建设、纪检工作；工会工作；负责财务工作,负责组织、人事和社会保障,档案管理工作；负责机密文电、信件的传递工作；负责受理和接待群众的来信来访,转办和协调来访案件;负责社会治安综合治理及精神文明建设日常工作;维护景区和社会稳定工作;负责游客关于景区情况的咨询介绍工作；负责协调或处理在景区内发生的旅游投诉事宜</w:t>
      </w:r>
    </w:p>
    <w:p>
      <w:pPr>
        <w:pStyle w:val="16"/>
        <w:pageBreakBefore w:val="0"/>
        <w:widowControl w:val="0"/>
        <w:kinsoku/>
        <w:wordWrap/>
        <w:overflowPunct/>
        <w:topLinePunct w:val="0"/>
        <w:autoSpaceDE/>
        <w:autoSpaceDN/>
        <w:bidi w:val="0"/>
        <w:adjustRightInd w:val="0"/>
        <w:snapToGrid w:val="0"/>
        <w:spacing w:beforeLines="0" w:before="0" w:line="560" w:lineRule="exact"/>
        <w:ind w:firstLineChars="200" w:firstLine="640"/>
        <w:textAlignment w:val="auto"/>
        <w:rPr>
          <w:rFonts w:ascii="仿宋_GB2312" w:eastAsia="仿宋_GB2312" w:cs="仿宋_GB2312" w:hint="eastAsia"/>
          <w:bCs/>
          <w:sz w:val="32"/>
          <w:szCs w:val="32"/>
          <w:lang w:bidi="ar-SA"/>
        </w:rPr>
      </w:pPr>
      <w:r>
        <w:rPr>
          <w:rFonts w:ascii="楷体_GB2312" w:eastAsia="楷体_GB2312" w:cs="楷体_GB2312" w:hint="eastAsia"/>
          <w:b/>
          <w:bCs w:val="0"/>
          <w:color w:val="000000"/>
          <w:sz w:val="32"/>
          <w:szCs w:val="32"/>
        </w:rPr>
        <w:t>（二）2022年重点工作完成情况。</w:t>
      </w:r>
      <w:r>
        <w:rPr>
          <w:rFonts w:ascii="仿宋_GB2312" w:eastAsia="仿宋_GB2312" w:cs="仿宋_GB2312" w:hint="eastAsia"/>
          <w:bCs/>
          <w:color w:val="000000"/>
          <w:sz w:val="32"/>
          <w:szCs w:val="32"/>
          <w:lang w:bidi="ar-SA"/>
        </w:rPr>
        <w:t>2022年度，县文体旅局利用县级旅游发展资金开展宣传营销工作效益明显，推动了金川旅游产业的发展，按照省委、省政府“把旅游产业作为藏区发展的战略性和支柱性产业”的重要部署，在州委、州政府“阿坝全域旅游景区”“旅游转型升级”的工作要求指引下，以“建设川西北生态经济发展示范县”和“创建大东女国阳光旅游度假区”为目标，全力开展各项工作</w:t>
      </w:r>
      <w:r>
        <w:rPr>
          <w:rFonts w:ascii="仿宋_GB2312" w:eastAsia="仿宋_GB2312" w:cs="仿宋_GB2312" w:hint="eastAsia"/>
          <w:bCs/>
          <w:color w:val="000000"/>
          <w:sz w:val="32"/>
          <w:szCs w:val="32"/>
          <w:lang w:eastAsia="zh-CN" w:bidi="ar-SA"/>
        </w:rPr>
        <w:t>，</w:t>
      </w:r>
      <w:r>
        <w:rPr>
          <w:rFonts w:ascii="仿宋_GB2312" w:eastAsia="仿宋_GB2312" w:cs="仿宋_GB2312" w:hint="eastAsia"/>
          <w:bCs/>
          <w:sz w:val="32"/>
          <w:szCs w:val="32"/>
          <w:lang w:bidi="ar-SA"/>
        </w:rPr>
        <w:t>对全县的农家乐的部分涉旅企业进行了培训</w:t>
      </w:r>
      <w:r>
        <w:rPr>
          <w:rFonts w:cs="仿宋_GB2312" w:hint="eastAsia"/>
          <w:bCs/>
          <w:sz w:val="32"/>
          <w:szCs w:val="32"/>
          <w:lang w:val="en-US" w:eastAsia="zh-CN" w:bidi="ar-SA"/>
        </w:rPr>
        <w:t>。</w:t>
      </w:r>
      <w:r>
        <w:rPr>
          <w:rFonts w:ascii="仿宋_GB2312" w:eastAsia="仿宋_GB2312" w:cs="仿宋_GB2312" w:hint="eastAsia"/>
          <w:bCs/>
          <w:sz w:val="32"/>
          <w:szCs w:val="32"/>
          <w:lang w:bidi="ar-SA"/>
        </w:rPr>
        <w:t>2022年，全县旅游接待累计人次35.29万人次，旅游收入23671.1万元，累比增长23.2%。</w:t>
      </w:r>
      <w:bookmarkStart w:id="22" w:name="_Toc15396601"/>
      <w:bookmarkStart w:id="23" w:name="_Toc15377200"/>
      <w:bookmarkStart w:id="24" w:name="_Toc26843606"/>
      <w:bookmarkEnd w:id="20"/>
      <w:bookmarkEnd w:id="21"/>
    </w:p>
    <w:p>
      <w:pPr>
        <w:pStyle w:val="16"/>
        <w:pageBreakBefore w:val="0"/>
        <w:widowControl w:val="0"/>
        <w:kinsoku/>
        <w:wordWrap/>
        <w:overflowPunct/>
        <w:topLinePunct w:val="0"/>
        <w:autoSpaceDE/>
        <w:autoSpaceDN/>
        <w:bidi w:val="0"/>
        <w:adjustRightInd w:val="0"/>
        <w:snapToGrid w:val="0"/>
        <w:spacing w:beforeLines="0" w:before="0" w:line="560" w:lineRule="exact"/>
        <w:ind w:firstLineChars="200" w:firstLine="640"/>
        <w:textAlignment w:val="auto"/>
        <w:rPr>
          <w:rStyle w:val="2Char"/>
          <w:rFonts w:ascii="Times New Roman" w:eastAsia="方正黑体_GBK" w:cs="Times New Roman" w:hAnsi="Times New Roman"/>
          <w:b w:val="0"/>
          <w:bCs w:val="0"/>
        </w:rPr>
      </w:pPr>
      <w:r>
        <w:rPr>
          <w:rStyle w:val="2Char"/>
          <w:rFonts w:ascii="Times New Roman" w:eastAsia="黑体" w:cs="Times New Roman" w:hAnsi="Times New Roman"/>
          <w:b w:val="0"/>
          <w:bCs w:val="0"/>
        </w:rPr>
        <w:t>二、机构设置</w:t>
      </w:r>
      <w:bookmarkEnd w:id="22"/>
      <w:bookmarkEnd w:id="23"/>
      <w:bookmarkEnd w:id="24"/>
    </w:p>
    <w:p>
      <w:pPr>
        <w:pageBreakBefore w:val="0"/>
        <w:widowControl w:val="0"/>
        <w:kinsoku/>
        <w:wordWrap/>
        <w:overflowPunct/>
        <w:topLinePunct w:val="0"/>
        <w:autoSpaceDE/>
        <w:autoSpaceDN/>
        <w:bidi w:val="0"/>
        <w:spacing w:line="560" w:lineRule="exact"/>
        <w:ind w:firstLineChars="200" w:firstLine="640"/>
        <w:textAlignment w:val="auto"/>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1、机构情况：</w:t>
      </w:r>
    </w:p>
    <w:p>
      <w:pPr>
        <w:pageBreakBefore w:val="0"/>
        <w:widowControl w:val="0"/>
        <w:kinsoku/>
        <w:wordWrap/>
        <w:overflowPunct/>
        <w:topLinePunct w:val="0"/>
        <w:autoSpaceDE/>
        <w:autoSpaceDN/>
        <w:bidi w:val="0"/>
        <w:spacing w:line="560" w:lineRule="exact"/>
        <w:ind w:firstLineChars="200" w:firstLine="640"/>
        <w:textAlignment w:val="auto"/>
        <w:rPr>
          <w:rFonts w:ascii="Times New Roman" w:eastAsia="仿宋_GB2312" w:cs="Times New Roman" w:hAnsi="Times New Roman" w:hint="eastAsia"/>
          <w:sz w:val="32"/>
          <w:szCs w:val="32"/>
          <w:lang w:val="en-US" w:eastAsia="zh-CN"/>
        </w:rPr>
      </w:pPr>
      <w:r>
        <w:rPr>
          <w:rFonts w:eastAsia="仿宋_GB2312" w:cs="Times New Roman" w:hint="eastAsia"/>
          <w:sz w:val="32"/>
          <w:szCs w:val="32"/>
          <w:lang w:val="en-US" w:eastAsia="zh-CN"/>
        </w:rPr>
        <w:t>世外梨园景区服务中心属于独立</w:t>
      </w:r>
      <w:r>
        <w:rPr>
          <w:rFonts w:ascii="Times New Roman" w:eastAsia="仿宋_GB2312" w:cs="Times New Roman" w:hAnsi="Times New Roman" w:hint="eastAsia"/>
          <w:sz w:val="32"/>
          <w:szCs w:val="32"/>
          <w:lang w:val="en-US" w:eastAsia="zh-CN"/>
        </w:rPr>
        <w:t>核算机构。</w:t>
      </w:r>
    </w:p>
    <w:p>
      <w:pPr>
        <w:pageBreakBefore w:val="0"/>
        <w:widowControl w:val="0"/>
        <w:numPr>
          <w:ilvl w:val="0"/>
          <w:numId w:val="1"/>
        </w:numPr>
        <w:kinsoku/>
        <w:wordWrap/>
        <w:overflowPunct/>
        <w:topLinePunct w:val="0"/>
        <w:autoSpaceDE/>
        <w:autoSpaceDN/>
        <w:bidi w:val="0"/>
        <w:snapToGrid w:val="0"/>
        <w:spacing w:line="560" w:lineRule="exact"/>
        <w:ind w:left="0" w:firstLineChars="200" w:firstLine="640"/>
        <w:textAlignment w:val="auto"/>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人员情况</w:t>
      </w:r>
    </w:p>
    <w:p>
      <w:pPr>
        <w:pageBreakBefore w:val="0"/>
        <w:widowControl w:val="0"/>
        <w:kinsoku/>
        <w:wordWrap/>
        <w:overflowPunct/>
        <w:topLinePunct w:val="0"/>
        <w:autoSpaceDE/>
        <w:autoSpaceDN/>
        <w:bidi w:val="0"/>
        <w:snapToGrid w:val="0"/>
        <w:spacing w:line="560" w:lineRule="exact"/>
        <w:ind w:left="0" w:firstLineChars="200" w:firstLine="640"/>
        <w:textAlignment w:val="auto"/>
        <w:rPr>
          <w:rFonts w:ascii="仿宋_GB2312" w:eastAsia="仿宋_GB2312" w:hint="eastAsia"/>
          <w:sz w:val="32"/>
          <w:szCs w:val="32"/>
        </w:rPr>
      </w:pPr>
      <w:r>
        <w:rPr>
          <w:rFonts w:ascii="仿宋_GB2312" w:eastAsia="仿宋_GB2312" w:hint="eastAsia"/>
          <w:sz w:val="32"/>
          <w:szCs w:val="32"/>
        </w:rPr>
        <w:t>2022年年初在职8人（参公人员8名）。</w:t>
      </w:r>
    </w:p>
    <w:p>
      <w:pPr>
        <w:pageBreakBefore w:val="0"/>
        <w:widowControl w:val="0"/>
        <w:kinsoku/>
        <w:wordWrap/>
        <w:overflowPunct/>
        <w:topLinePunct w:val="0"/>
        <w:autoSpaceDE/>
        <w:autoSpaceDN/>
        <w:bidi w:val="0"/>
        <w:snapToGrid w:val="0"/>
        <w:spacing w:line="56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2022年年末在职</w:t>
      </w:r>
      <w:r>
        <w:rPr>
          <w:rFonts w:ascii="仿宋_GB2312" w:eastAsia="仿宋_GB2312" w:hint="eastAsia"/>
          <w:sz w:val="32"/>
          <w:szCs w:val="32"/>
          <w:lang w:val="en-US" w:eastAsia="zh-CN"/>
        </w:rPr>
        <w:t>8</w:t>
      </w:r>
      <w:r>
        <w:rPr>
          <w:rFonts w:ascii="仿宋_GB2312" w:eastAsia="仿宋_GB2312" w:hint="eastAsia"/>
          <w:sz w:val="32"/>
          <w:szCs w:val="32"/>
        </w:rPr>
        <w:t>人（参公人员</w:t>
      </w:r>
      <w:r>
        <w:rPr>
          <w:rFonts w:ascii="仿宋_GB2312" w:eastAsia="仿宋_GB2312" w:hint="eastAsia"/>
          <w:sz w:val="32"/>
          <w:szCs w:val="32"/>
          <w:lang w:val="en-US" w:eastAsia="zh-CN"/>
        </w:rPr>
        <w:t>8</w:t>
      </w:r>
      <w:r>
        <w:rPr>
          <w:rFonts w:ascii="仿宋_GB2312" w:eastAsia="仿宋_GB2312" w:hint="eastAsia"/>
          <w:sz w:val="32"/>
          <w:szCs w:val="32"/>
        </w:rPr>
        <w:t>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76" w:lineRule="exact"/>
        <w:ind w:firstLineChars="200" w:firstLine="640"/>
        <w:jc w:val="left"/>
        <w:textAlignment w:val="auto"/>
        <w:rPr>
          <w:rFonts w:ascii="Times New Roman" w:eastAsia="仿宋" w:cs="Times New Roman" w:hAnsi="Times New Roman"/>
          <w:kern w:val="0"/>
          <w:sz w:val="32"/>
          <w:szCs w:val="32"/>
        </w:rPr>
      </w:pPr>
      <w:r>
        <w:rPr>
          <w:rFonts w:ascii="Times New Roman" w:eastAsia="仿宋" w:cs="Times New Roman" w:hAnsi="Times New Roman"/>
          <w:sz w:val="32"/>
          <w:szCs w:val="32"/>
        </w:rPr>
        <w:br w:type="page"/>
      </w:r>
    </w:p>
    <w:p>
      <w:pPr>
        <w:pStyle w:val="1"/>
        <w:keepNext/>
        <w:keepLines/>
        <w:pageBreakBefore w:val="0"/>
        <w:widowControl w:val="0"/>
        <w:kinsoku/>
        <w:wordWrap/>
        <w:overflowPunct/>
        <w:topLinePunct w:val="0"/>
        <w:bidi w:val="0"/>
        <w:spacing w:line="576" w:lineRule="exact"/>
        <w:ind w:right="440"/>
        <w:jc w:val="center"/>
        <w:rPr>
          <w:rStyle w:val="1Char"/>
          <w:rFonts w:ascii="Times New Roman" w:eastAsia="黑体" w:cs="Times New Roman" w:hAnsi="Times New Roman"/>
          <w:b w:val="0"/>
          <w:bCs/>
        </w:rPr>
      </w:pPr>
      <w:bookmarkStart w:id="25" w:name="_Toc15377204"/>
      <w:bookmarkStart w:id="26" w:name="_Toc15396602"/>
      <w:bookmarkStart w:id="27" w:name="_Toc26843607"/>
      <w:r>
        <w:rPr>
          <w:rFonts w:ascii="Times New Roman" w:eastAsia="黑体" w:cs="Times New Roman" w:hAnsi="Times New Roman"/>
          <w:b w:val="0"/>
        </w:rPr>
        <w:t>第二部分</w:t>
      </w:r>
      <w:r>
        <w:rPr>
          <w:rFonts w:eastAsia="黑体" w:cs="Times New Roman" w:hint="eastAsia"/>
          <w:b w:val="0"/>
          <w:lang w:val="en-US" w:eastAsia="zh-CN"/>
        </w:rPr>
        <w:t xml:space="preserve"> </w:t>
      </w:r>
      <w:r>
        <w:rPr>
          <w:rFonts w:ascii="Times New Roman" w:eastAsia="黑体" w:cs="Times New Roman" w:hAnsi="Times New Roman"/>
          <w:b w:val="0"/>
        </w:rPr>
        <w:t xml:space="preserve"> 202</w:t>
      </w:r>
      <w:r>
        <w:rPr>
          <w:rFonts w:eastAsia="黑体" w:cs="Times New Roman" w:hint="eastAsia"/>
          <w:b w:val="0"/>
          <w:lang w:val="en-US" w:eastAsia="zh-CN"/>
        </w:rPr>
        <w:t>2</w:t>
      </w:r>
      <w:r>
        <w:rPr>
          <w:rFonts w:ascii="Times New Roman" w:eastAsia="黑体" w:cs="Times New Roman" w:hAnsi="Times New Roman"/>
          <w:b w:val="0"/>
        </w:rPr>
        <w:t>年度</w:t>
      </w:r>
      <w:r>
        <w:rPr>
          <w:rFonts w:ascii="Times New Roman" w:eastAsia="黑体" w:cs="Times New Roman" w:hAnsi="Times New Roman"/>
          <w:b w:val="0"/>
          <w:kern w:val="44"/>
          <w:sz w:val="44"/>
          <w:szCs w:val="44"/>
        </w:rPr>
        <w:t>部门决算情况说明</w:t>
      </w:r>
      <w:bookmarkEnd w:id="25"/>
      <w:bookmarkEnd w:id="26"/>
      <w:bookmarkEnd w:id="27"/>
    </w:p>
    <w:p>
      <w:pPr>
        <w:pageBreakBefore w:val="0"/>
        <w:widowControl w:val="0"/>
        <w:kinsoku/>
        <w:wordWrap/>
        <w:overflowPunct/>
        <w:topLinePunct w:val="0"/>
        <w:bidi w:val="0"/>
        <w:spacing w:line="576" w:lineRule="exact"/>
        <w:rPr>
          <w:rFonts w:ascii="Times New Roman" w:cs="Times New Roman" w:hAnsi="Times New Roman"/>
        </w:rPr>
      </w:pPr>
    </w:p>
    <w:p>
      <w:pPr>
        <w:pStyle w:val="31"/>
        <w:pageBreakBefore w:val="0"/>
        <w:widowControl w:val="0"/>
        <w:kinsoku/>
        <w:wordWrap/>
        <w:overflowPunct/>
        <w:topLinePunct w:val="0"/>
        <w:bidi w:val="0"/>
        <w:spacing w:line="576" w:lineRule="exact"/>
        <w:ind w:left="640"/>
        <w:outlineLvl w:val="1"/>
        <w:rPr>
          <w:rStyle w:val="2Char"/>
          <w:rFonts w:ascii="Times New Roman" w:eastAsia="黑体" w:cs="Times New Roman" w:hAnsi="Times New Roman"/>
          <w:b w:val="0"/>
        </w:rPr>
      </w:pPr>
      <w:bookmarkStart w:id="28" w:name="_Toc15377205"/>
      <w:bookmarkStart w:id="29" w:name="_Toc26843608"/>
      <w:bookmarkStart w:id="30" w:name="_Toc15396603"/>
      <w:r>
        <w:rPr>
          <w:rFonts w:eastAsia="黑体" w:cs="Times New Roman" w:hint="eastAsia"/>
          <w:sz w:val="32"/>
          <w:szCs w:val="32"/>
          <w:lang w:eastAsia="zh-CN"/>
        </w:rPr>
        <w:t>一、</w:t>
      </w:r>
      <w:r>
        <w:rPr>
          <w:rFonts w:ascii="Times New Roman" w:eastAsia="黑体" w:cs="Times New Roman" w:hAnsi="Times New Roman"/>
          <w:sz w:val="32"/>
          <w:szCs w:val="32"/>
        </w:rPr>
        <w:t>收</w:t>
      </w:r>
      <w:r>
        <w:rPr>
          <w:rStyle w:val="2Char"/>
          <w:rFonts w:ascii="Times New Roman" w:eastAsia="黑体" w:cs="Times New Roman" w:hAnsi="Times New Roman"/>
          <w:b w:val="0"/>
        </w:rPr>
        <w:t>入支出决算总体情况说明</w:t>
      </w:r>
      <w:bookmarkEnd w:id="28"/>
      <w:bookmarkEnd w:id="29"/>
      <w:bookmarkEnd w:id="30"/>
    </w:p>
    <w:p>
      <w:pPr>
        <w:spacing w:line="600" w:lineRule="exact"/>
        <w:ind w:firstLine="640"/>
        <w:rPr>
          <w:rFonts w:ascii="仿宋_GB2312" w:eastAsia="仿宋_GB2312" w:hint="eastAsia"/>
          <w:color w:val="000000"/>
          <w:sz w:val="32"/>
          <w:szCs w:val="32"/>
        </w:rPr>
      </w:pPr>
      <w:r>
        <w:rPr>
          <w:rFonts w:ascii="仿宋_GB2312" w:eastAsia="仿宋_GB2312" w:hint="eastAsia"/>
          <w:color w:val="000000"/>
          <w:sz w:val="32"/>
          <w:szCs w:val="32"/>
        </w:rPr>
        <w:t>2022年</w:t>
      </w:r>
      <w:r>
        <w:rPr>
          <w:rFonts w:ascii="仿宋_GB2312" w:eastAsia="仿宋_GB2312" w:hint="eastAsia"/>
          <w:color w:val="000000"/>
          <w:sz w:val="32"/>
          <w:szCs w:val="32"/>
          <w:lang w:eastAsia="zh-CN"/>
        </w:rPr>
        <w:t>世外梨园景区服务中心</w:t>
      </w:r>
      <w:r>
        <w:rPr>
          <w:rFonts w:ascii="仿宋_GB2312" w:eastAsia="仿宋_GB2312" w:hint="eastAsia"/>
          <w:color w:val="000000"/>
          <w:sz w:val="32"/>
          <w:szCs w:val="32"/>
        </w:rPr>
        <w:t>本年收入合计</w:t>
      </w:r>
      <w:r>
        <w:rPr>
          <w:rFonts w:ascii="仿宋_GB2312" w:eastAsia="仿宋_GB2312" w:cs="仿宋_GB2312" w:hint="eastAsia"/>
          <w:sz w:val="32"/>
          <w:szCs w:val="32"/>
          <w:lang w:val="en-US" w:eastAsia="zh-CN" w:bidi="ar-SA"/>
        </w:rPr>
        <w:t>165.6</w:t>
      </w:r>
      <w:r>
        <w:rPr>
          <w:rFonts w:ascii="仿宋_GB2312" w:eastAsia="仿宋_GB2312" w:hint="eastAsia"/>
          <w:color w:val="000000"/>
          <w:sz w:val="32"/>
          <w:szCs w:val="32"/>
        </w:rPr>
        <w:t>万元，其中：一般公共预算财政拨款收入</w:t>
      </w:r>
      <w:r>
        <w:rPr>
          <w:rFonts w:ascii="仿宋_GB2312" w:eastAsia="仿宋_GB2312" w:hint="eastAsia"/>
          <w:color w:val="000000"/>
          <w:sz w:val="32"/>
          <w:szCs w:val="32"/>
          <w:lang w:val="en-US" w:eastAsia="zh-CN"/>
        </w:rPr>
        <w:t>165.6</w:t>
      </w:r>
      <w:r>
        <w:rPr>
          <w:rFonts w:ascii="仿宋_GB2312" w:eastAsia="仿宋_GB2312" w:hint="eastAsia"/>
          <w:color w:val="000000"/>
          <w:sz w:val="32"/>
          <w:szCs w:val="32"/>
        </w:rPr>
        <w:t>万元，占100%；政府性基金预算财政拨款收入0万元，占0%；国有资本经营预算财政拨款收入0万元，占0%；事业收入0万元，占0%；经营收入0万元，占0%；附属单位上缴收入0万元，占0%；其他收入0万元，占0%。</w:t>
      </w:r>
    </w:p>
    <w:p>
      <w:pPr>
        <w:spacing w:line="600" w:lineRule="exact"/>
        <w:ind w:firstLineChars="200" w:firstLine="640"/>
        <w:rPr>
          <w:rFonts w:ascii="Times New Roman" w:cs="Times New Roman" w:hAnsi="Times New Roman"/>
        </w:rPr>
      </w:pPr>
      <w:r>
        <w:rPr>
          <w:rFonts w:ascii="仿宋_GB2312" w:eastAsia="仿宋_GB2312" w:hint="eastAsia"/>
          <w:color w:val="000000"/>
          <w:sz w:val="32"/>
          <w:szCs w:val="32"/>
        </w:rPr>
        <w:t>2022年</w:t>
      </w:r>
      <w:r>
        <w:rPr>
          <w:rFonts w:ascii="仿宋_GB2312" w:eastAsia="仿宋_GB2312" w:hint="eastAsia"/>
          <w:color w:val="000000"/>
          <w:sz w:val="32"/>
          <w:szCs w:val="32"/>
          <w:lang w:eastAsia="zh-CN"/>
        </w:rPr>
        <w:t>世外梨园景区服务中心</w:t>
      </w:r>
      <w:r>
        <w:rPr>
          <w:rFonts w:ascii="仿宋_GB2312" w:eastAsia="仿宋_GB2312" w:hint="eastAsia"/>
          <w:color w:val="000000"/>
          <w:sz w:val="32"/>
          <w:szCs w:val="32"/>
        </w:rPr>
        <w:t>本年支出合计</w:t>
      </w:r>
      <w:r>
        <w:rPr>
          <w:rFonts w:ascii="仿宋_GB2312" w:eastAsia="仿宋_GB2312" w:hint="eastAsia"/>
          <w:color w:val="000000"/>
          <w:sz w:val="32"/>
          <w:szCs w:val="32"/>
          <w:lang w:val="en-US" w:eastAsia="zh-CN"/>
        </w:rPr>
        <w:t>165.6</w:t>
      </w:r>
      <w:r>
        <w:rPr>
          <w:rFonts w:ascii="仿宋_GB2312" w:eastAsia="仿宋_GB2312" w:hint="eastAsia"/>
          <w:color w:val="000000"/>
          <w:sz w:val="32"/>
          <w:szCs w:val="32"/>
        </w:rPr>
        <w:t>万元其中：基本支出</w:t>
      </w:r>
      <w:r>
        <w:rPr>
          <w:rFonts w:ascii="仿宋_GB2312" w:eastAsia="仿宋_GB2312" w:hint="eastAsia"/>
          <w:color w:val="000000"/>
          <w:sz w:val="32"/>
          <w:szCs w:val="32"/>
          <w:lang w:val="en-US" w:eastAsia="zh-CN"/>
        </w:rPr>
        <w:t>165.6</w:t>
      </w:r>
      <w:r>
        <w:rPr>
          <w:rFonts w:ascii="仿宋_GB2312" w:eastAsia="仿宋_GB2312" w:hint="eastAsia"/>
          <w:color w:val="000000"/>
          <w:sz w:val="32"/>
          <w:szCs w:val="32"/>
        </w:rPr>
        <w:t>万元，占100%；项目支出0万元，占0%；上缴上级支出0万元，占0%；经营支出0万元，占0%；对附属单位补助支出0万元，占0%。</w:t>
      </w:r>
    </w:p>
    <w:p>
      <w:pPr>
        <w:pStyle w:val="31"/>
        <w:pageBreakBefore w:val="0"/>
        <w:widowControl w:val="0"/>
        <w:kinsoku/>
        <w:wordWrap/>
        <w:overflowPunct/>
        <w:topLinePunct w:val="0"/>
        <w:bidi w:val="0"/>
        <w:spacing w:line="576" w:lineRule="exact"/>
        <w:ind w:left="640"/>
        <w:outlineLvl w:val="1"/>
        <w:rPr>
          <w:rStyle w:val="2Char"/>
          <w:rFonts w:ascii="Times New Roman" w:eastAsia="黑体" w:cs="Times New Roman" w:hAnsi="Times New Roman"/>
          <w:b w:val="0"/>
        </w:rPr>
      </w:pPr>
      <w:bookmarkStart w:id="31" w:name="_Toc15396604"/>
      <w:bookmarkStart w:id="32" w:name="_Toc15377206"/>
      <w:bookmarkStart w:id="33" w:name="_Toc26843609"/>
      <w:r>
        <w:rPr>
          <w:rFonts w:eastAsia="黑体" w:cs="Times New Roman" w:hint="eastAsia"/>
          <w:sz w:val="32"/>
          <w:szCs w:val="32"/>
          <w:lang w:eastAsia="zh-CN"/>
        </w:rPr>
        <w:t>二、</w:t>
      </w:r>
      <w:r>
        <w:rPr>
          <w:rFonts w:ascii="Times New Roman" w:eastAsia="黑体" w:cs="Times New Roman" w:hAnsi="Times New Roman"/>
          <w:sz w:val="32"/>
          <w:szCs w:val="32"/>
        </w:rPr>
        <w:t>收</w:t>
      </w:r>
      <w:r>
        <w:rPr>
          <w:rStyle w:val="2Char"/>
          <w:rFonts w:ascii="Times New Roman" w:eastAsia="黑体" w:cs="Times New Roman" w:hAnsi="Times New Roman"/>
          <w:b w:val="0"/>
        </w:rPr>
        <w:t>入决算情况说明</w:t>
      </w:r>
      <w:bookmarkEnd w:id="31"/>
      <w:bookmarkEnd w:id="32"/>
      <w:bookmarkEnd w:id="33"/>
    </w:p>
    <w:p>
      <w:pPr>
        <w:pageBreakBefore w:val="0"/>
        <w:widowControl w:val="0"/>
        <w:kinsoku/>
        <w:wordWrap/>
        <w:overflowPunct/>
        <w:topLinePunct w:val="0"/>
        <w:bidi w:val="0"/>
        <w:spacing w:line="576" w:lineRule="exact"/>
        <w:ind w:firstLineChars="200" w:firstLine="640"/>
        <w:outlineLvl w:val="1"/>
        <w:rPr>
          <w:rFonts w:ascii="Times New Roman" w:eastAsia="仿宋" w:cs="Times New Roman" w:hAnsi="Times New Roman"/>
          <w:sz w:val="32"/>
          <w:szCs w:val="32"/>
        </w:rPr>
      </w:pPr>
      <w:bookmarkStart w:id="34" w:name="_Toc26843610"/>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年度收入合计</w:t>
      </w:r>
      <w:r>
        <w:rPr>
          <w:rFonts w:eastAsia="仿宋_GB2312" w:cs="Times New Roman" w:hint="eastAsia"/>
          <w:sz w:val="32"/>
          <w:szCs w:val="32"/>
          <w:lang w:val="en-US" w:eastAsia="zh-CN"/>
        </w:rPr>
        <w:t>165.6</w:t>
      </w:r>
      <w:r>
        <w:rPr>
          <w:rFonts w:ascii="Times New Roman" w:eastAsia="仿宋_GB2312" w:cs="Times New Roman" w:hAnsi="Times New Roman"/>
          <w:sz w:val="32"/>
          <w:szCs w:val="32"/>
        </w:rPr>
        <w:t>万元，其中：一般公共预算财政拨款收入</w:t>
      </w:r>
      <w:r>
        <w:rPr>
          <w:rFonts w:eastAsia="仿宋_GB2312" w:cs="Times New Roman" w:hint="eastAsia"/>
          <w:sz w:val="32"/>
          <w:szCs w:val="32"/>
          <w:lang w:val="en-US" w:eastAsia="zh-CN"/>
        </w:rPr>
        <w:t>165.6</w:t>
      </w:r>
      <w:r>
        <w:rPr>
          <w:rFonts w:ascii="Times New Roman" w:eastAsia="仿宋_GB2312" w:cs="Times New Roman" w:hAnsi="Times New Roman"/>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bookmarkEnd w:id="34"/>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Style w:val="15"/>
        <w:rPr>
          <w:rFonts w:ascii="Times New Roman" w:eastAsia="仿宋" w:cs="Times New Roman" w:hAnsi="Times New Roman"/>
          <w:color w:val="FF0000"/>
          <w:sz w:val="32"/>
          <w:szCs w:val="32"/>
        </w:rPr>
      </w:pPr>
    </w:p>
    <w:p>
      <w:pPr>
        <w:rPr>
          <w:rFonts w:ascii="Times New Roman" w:eastAsia="仿宋" w:cs="Times New Roman" w:hAnsi="Times New Roman"/>
          <w:color w:val="FF0000"/>
          <w:sz w:val="32"/>
          <w:szCs w:val="32"/>
        </w:rPr>
      </w:pPr>
    </w:p>
    <w:p>
      <w:pPr>
        <w:pStyle w:val="15"/>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jc w:val="center"/>
        <w:rPr>
          <w:rFonts w:ascii="Times New Roman" w:eastAsia="仿宋_GB2312" w:cs="Times New Roman" w:hAnsi="Times New Roman"/>
          <w:sz w:val="32"/>
          <w:szCs w:val="32"/>
        </w:rPr>
      </w:pPr>
      <w:r>
        <w:rPr>
          <w:rFonts w:ascii="黑体" w:eastAsia="黑体" w:cs="Times New Roman" w:hint="eastAsia"/>
          <w:color w:val="000000"/>
          <w:kern w:val="2"/>
          <w:sz w:val="32"/>
          <w:szCs w:val="32"/>
          <w:lang w:val="en-US" w:eastAsia="zh-CN" w:bidi="ar-SA"/>
        </w:rPr>
        <w:drawing>
          <wp:anchor distT="0" distB="0" distL="114300" distR="114300" simplePos="0" relativeHeight="21" behindDoc="0" locked="0" layoutInCell="1" hidden="0" allowOverlap="1">
            <wp:simplePos x="0" y="0"/>
            <wp:positionH relativeFrom="column">
              <wp:posOffset>742315</wp:posOffset>
            </wp:positionH>
            <wp:positionV relativeFrom="paragraph">
              <wp:posOffset>-607695</wp:posOffset>
            </wp:positionV>
            <wp:extent cx="3587750" cy="1697355"/>
            <wp:effectExtent l="0" t="0" r="0" b="0"/>
            <wp:wrapTopAndBottom/>
            <wp:docPr id="4" name="图表 5"/>
            <wp:cNvGraphicFramePr>
              <a:graphicFrameLocks noChangeAspect="0"/>
            </wp:cNvGraphicFramePr>
            <a:graphic>
              <a:graphicData uri="http://schemas.openxmlformats.org/drawingml/2006/chart">
                <c:chart xmlns:c="http://schemas.openxmlformats.org/drawingml/2006/chart" r:id="rId4"/>
              </a:graphicData>
            </a:graphic>
          </wp:anchor>
        </w:drawing>
      </w:r>
      <w:r>
        <w:rPr>
          <w:rFonts w:ascii="Times New Roman" w:eastAsia="仿宋_GB2312" w:cs="Times New Roman" w:hAnsi="Times New Roman"/>
          <w:color w:val="auto"/>
          <w:sz w:val="32"/>
          <w:szCs w:val="32"/>
        </w:rPr>
        <w:t>（收入决算结构图）（饼状图）</w:t>
      </w:r>
    </w:p>
    <w:p>
      <w:pPr>
        <w:pStyle w:val="31"/>
        <w:pageBreakBefore w:val="0"/>
        <w:widowControl w:val="0"/>
        <w:kinsoku/>
        <w:wordWrap/>
        <w:overflowPunct/>
        <w:topLinePunct w:val="0"/>
        <w:bidi w:val="0"/>
        <w:spacing w:line="576" w:lineRule="exact"/>
        <w:ind w:left="640"/>
        <w:outlineLvl w:val="1"/>
        <w:rPr>
          <w:rStyle w:val="2Char"/>
          <w:rFonts w:ascii="Times New Roman" w:eastAsia="黑体" w:cs="Times New Roman" w:hAnsi="Times New Roman"/>
          <w:b w:val="0"/>
        </w:rPr>
      </w:pPr>
      <w:bookmarkStart w:id="35" w:name="_Toc15396605"/>
      <w:bookmarkStart w:id="36" w:name="_Toc26843612"/>
      <w:bookmarkStart w:id="37" w:name="_Toc15377207"/>
      <w:r>
        <w:rPr>
          <w:rFonts w:eastAsia="黑体" w:cs="Times New Roman" w:hint="eastAsia"/>
          <w:sz w:val="32"/>
          <w:szCs w:val="32"/>
          <w:lang w:eastAsia="zh-CN"/>
        </w:rPr>
        <w:t>三、</w:t>
      </w:r>
      <w:r>
        <w:rPr>
          <w:rFonts w:ascii="Times New Roman" w:eastAsia="黑体" w:cs="Times New Roman" w:hAnsi="Times New Roman"/>
          <w:sz w:val="32"/>
          <w:szCs w:val="32"/>
        </w:rPr>
        <w:t>支</w:t>
      </w:r>
      <w:r>
        <w:rPr>
          <w:rStyle w:val="2Char"/>
          <w:rFonts w:ascii="Times New Roman" w:eastAsia="黑体" w:cs="Times New Roman" w:hAnsi="Times New Roman"/>
          <w:b w:val="0"/>
        </w:rPr>
        <w:t>出决算情况说明</w:t>
      </w:r>
      <w:bookmarkEnd w:id="35"/>
      <w:bookmarkEnd w:id="36"/>
      <w:bookmarkEnd w:id="37"/>
    </w:p>
    <w:p>
      <w:pPr>
        <w:pageBreakBefore w:val="0"/>
        <w:widowControl w:val="0"/>
        <w:kinsoku/>
        <w:wordWrap/>
        <w:overflowPunct/>
        <w:topLinePunct w:val="0"/>
        <w:bidi w:val="0"/>
        <w:spacing w:line="576" w:lineRule="exact"/>
        <w:ind w:firstLine="640"/>
        <w:rPr>
          <w:rFonts w:ascii="仿宋_GB2312" w:eastAsia="仿宋_GB2312" w:hint="eastAsia"/>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年一般公共预算财政拨款支出</w:t>
      </w:r>
      <w:r>
        <w:rPr>
          <w:rFonts w:ascii="仿宋_GB2312" w:eastAsia="仿宋_GB2312" w:hint="eastAsia"/>
          <w:color w:val="000000"/>
          <w:sz w:val="32"/>
          <w:szCs w:val="32"/>
          <w:lang w:val="en-US" w:eastAsia="zh-CN"/>
        </w:rPr>
        <w:t>165.6</w:t>
      </w:r>
      <w:r>
        <w:rPr>
          <w:rFonts w:ascii="仿宋_GB2312" w:eastAsia="仿宋_GB2312" w:hint="eastAsia"/>
          <w:color w:val="000000"/>
          <w:sz w:val="32"/>
          <w:szCs w:val="32"/>
        </w:rPr>
        <w:t>万元，主要用于以下方面:社会保障和就业支出</w:t>
      </w:r>
      <w:r>
        <w:rPr>
          <w:rFonts w:ascii="仿宋_GB2312" w:eastAsia="仿宋_GB2312" w:hint="eastAsia"/>
          <w:color w:val="000000"/>
          <w:sz w:val="32"/>
          <w:szCs w:val="32"/>
          <w:lang w:val="en-US" w:eastAsia="zh-CN"/>
        </w:rPr>
        <w:t>18.28</w:t>
      </w:r>
      <w:r>
        <w:rPr>
          <w:rFonts w:ascii="仿宋_GB2312" w:eastAsia="仿宋_GB2312" w:hint="eastAsia"/>
          <w:color w:val="000000"/>
          <w:sz w:val="32"/>
          <w:szCs w:val="32"/>
        </w:rPr>
        <w:t>万元，占11%；卫生健康支出</w:t>
      </w:r>
      <w:r>
        <w:rPr>
          <w:rFonts w:ascii="仿宋_GB2312" w:eastAsia="仿宋_GB2312" w:hint="eastAsia"/>
          <w:color w:val="000000"/>
          <w:sz w:val="32"/>
          <w:szCs w:val="32"/>
          <w:lang w:val="en-US" w:eastAsia="zh-CN"/>
        </w:rPr>
        <w:t>7.73</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%；住房保障支出</w:t>
      </w:r>
      <w:r>
        <w:rPr>
          <w:rFonts w:ascii="仿宋_GB2312" w:eastAsia="仿宋_GB2312" w:hint="eastAsia"/>
          <w:color w:val="000000"/>
          <w:sz w:val="32"/>
          <w:szCs w:val="32"/>
          <w:lang w:val="en-US" w:eastAsia="zh-CN"/>
        </w:rPr>
        <w:t>11.47</w:t>
      </w:r>
      <w:r>
        <w:rPr>
          <w:rFonts w:ascii="仿宋_GB2312" w:eastAsia="仿宋_GB2312" w:hint="eastAsia"/>
          <w:color w:val="000000"/>
          <w:sz w:val="32"/>
          <w:szCs w:val="32"/>
        </w:rPr>
        <w:t>万元，占7%，文化旅游体育与传媒支出</w:t>
      </w:r>
      <w:r>
        <w:rPr>
          <w:rFonts w:ascii="仿宋_GB2312" w:eastAsia="仿宋_GB2312" w:hint="eastAsia"/>
          <w:color w:val="000000"/>
          <w:sz w:val="32"/>
          <w:szCs w:val="32"/>
          <w:lang w:val="en-US" w:eastAsia="zh-CN"/>
        </w:rPr>
        <w:t>128.14</w:t>
      </w:r>
      <w:r>
        <w:rPr>
          <w:rFonts w:ascii="仿宋_GB2312" w:eastAsia="仿宋_GB2312" w:hint="eastAsia"/>
          <w:color w:val="000000"/>
          <w:sz w:val="32"/>
          <w:szCs w:val="32"/>
        </w:rPr>
        <w:t>万元，占77%。</w:t>
      </w:r>
    </w:p>
    <w:p>
      <w:pPr>
        <w:pStyle w:val="15"/>
      </w:pPr>
      <w:r>
        <w:drawing>
          <wp:anchor distT="0" distB="0" distL="114300" distR="114300" simplePos="0" relativeHeight="25" behindDoc="0" locked="0" layoutInCell="1" hidden="0" allowOverlap="1">
            <wp:simplePos x="0" y="0"/>
            <wp:positionH relativeFrom="column">
              <wp:posOffset>422910</wp:posOffset>
            </wp:positionH>
            <wp:positionV relativeFrom="paragraph">
              <wp:posOffset>102870</wp:posOffset>
            </wp:positionV>
            <wp:extent cx="4591050" cy="2533650"/>
            <wp:effectExtent l="0" t="0" r="0" b="0"/>
            <wp:wrapTight wrapText="bothSides">
              <wp:wrapPolygon>
                <wp:start x="0" y="0"/>
                <wp:lineTo x="0" y="21546"/>
                <wp:lineTo x="21570" y="21546"/>
                <wp:lineTo x="21570" y="0"/>
                <wp:lineTo x="0" y="0"/>
              </wp:wrapPolygon>
            </wp:wrapTight>
            <wp:docPr id="5" name="图表 3" descr="0.png"/>
            <wp:cNvGraphicFramePr>
              <a:graphicFrameLocks noChangeAspect="0"/>
            </wp:cNvGraphicFramePr>
            <a:graphic>
              <a:graphicData uri="http://schemas.openxmlformats.org/drawingml/2006/picture">
                <pic:pic>
                  <pic:nvPicPr>
                    <pic:cNvPr id="7" name="图表 3 7"/>
                    <pic:cNvPicPr/>
                  </pic:nvPicPr>
                  <pic:blipFill>
                    <a:blip r:embed="rId5"/>
                    <a:srcRect b="-128"/>
                    <a:stretch>
                      <a:fillRect/>
                    </a:stretch>
                  </pic:blipFill>
                  <pic:spPr>
                    <a:xfrm rot="0">
                      <a:off x="0" y="0"/>
                      <a:ext cx="4591050" cy="2533650"/>
                    </a:xfrm>
                    <a:prstGeom prst="rect"/>
                    <a:noFill/>
                    <a:ln w="9525" cmpd="sng" cap="flat">
                      <a:noFill/>
                      <a:prstDash val="solid"/>
                      <a:round/>
                    </a:ln>
                  </pic:spPr>
                </pic:pic>
              </a:graphicData>
            </a:graphic>
          </wp:anchor>
        </w:drawing>
      </w: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ageBreakBefore w:val="0"/>
        <w:widowControl w:val="0"/>
        <w:kinsoku/>
        <w:wordWrap/>
        <w:overflowPunct/>
        <w:topLinePunct w:val="0"/>
        <w:bidi w:val="0"/>
        <w:spacing w:line="576" w:lineRule="exact"/>
        <w:ind w:firstLineChars="200" w:firstLine="640"/>
        <w:jc w:val="center"/>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（支出决算结构图）（饼状图）</w:t>
      </w: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38" w:name="_Toc15396606"/>
      <w:bookmarkStart w:id="39" w:name="_Toc15377208"/>
      <w:bookmarkStart w:id="40" w:name="_Toc26843615"/>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38"/>
      <w:bookmarkEnd w:id="39"/>
      <w:bookmarkEnd w:id="40"/>
    </w:p>
    <w:p>
      <w:pPr>
        <w:pStyle w:val="16"/>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 w:cs="Times New Roman" w:hAnsi="Times New Roman"/>
          <w:sz w:val="32"/>
          <w:szCs w:val="32"/>
          <w:lang w:val="en-US"/>
        </w:rPr>
      </w:pPr>
      <w:r>
        <w:rPr>
          <w:rFonts w:ascii="Times New Roman" w:eastAsia="仿宋_GB2312" w:cs="Times New Roman" w:hAnsi="Times New Roman"/>
          <w:sz w:val="32"/>
          <w:szCs w:val="32"/>
          <w:lang w:val="en-US" w:eastAsia="zh-CN"/>
        </w:rPr>
        <w:t>202</w:t>
      </w:r>
      <w:r>
        <w:rPr>
          <w:rFonts w:ascii="Times New Roman" w:cs="Times New Roman" w:hAnsi="Times New Roman" w:hint="eastAsia"/>
          <w:sz w:val="32"/>
          <w:szCs w:val="32"/>
          <w:lang w:val="en-US" w:eastAsia="zh-CN"/>
        </w:rPr>
        <w:t>2</w:t>
      </w:r>
      <w:r>
        <w:rPr>
          <w:rFonts w:ascii="Times New Roman" w:eastAsia="仿宋_GB2312" w:cs="Times New Roman" w:hAnsi="Times New Roman"/>
          <w:sz w:val="32"/>
          <w:szCs w:val="32"/>
          <w:lang w:val="en-US" w:eastAsia="zh-CN"/>
        </w:rPr>
        <w:t>年财政拨款收、支总计</w:t>
      </w:r>
      <w:r>
        <w:rPr>
          <w:rFonts w:hint="eastAsia"/>
          <w:color w:val="000000"/>
          <w:spacing w:val="-2"/>
          <w:kern w:val="2"/>
          <w:sz w:val="32"/>
          <w:szCs w:val="32"/>
          <w:lang w:val="en-US" w:eastAsia="zh-CN" w:bidi="ar-SA"/>
        </w:rPr>
        <w:t>165.6</w:t>
      </w:r>
      <w:r>
        <w:rPr>
          <w:rFonts w:ascii="Times New Roman" w:eastAsia="仿宋_GB2312" w:cs="Times New Roman" w:hAnsi="Times New Roman"/>
          <w:sz w:val="32"/>
          <w:szCs w:val="32"/>
          <w:lang w:val="en-US" w:eastAsia="zh-CN"/>
        </w:rPr>
        <w:t>万元。与202</w:t>
      </w:r>
      <w:r>
        <w:rPr>
          <w:rFonts w:ascii="Times New Roman" w:cs="Times New Roman" w:hAnsi="Times New Roman" w:hint="eastAsia"/>
          <w:sz w:val="32"/>
          <w:szCs w:val="32"/>
          <w:lang w:val="en-US" w:eastAsia="zh-CN"/>
        </w:rPr>
        <w:t>1</w:t>
      </w:r>
      <w:r>
        <w:rPr>
          <w:rFonts w:ascii="Times New Roman" w:eastAsia="仿宋_GB2312" w:cs="Times New Roman" w:hAnsi="Times New Roman"/>
          <w:sz w:val="32"/>
          <w:szCs w:val="32"/>
          <w:lang w:val="en-US" w:eastAsia="zh-CN"/>
        </w:rPr>
        <w:t>年相比，财政拨款收、支总计各</w:t>
      </w:r>
      <w:r>
        <w:rPr>
          <w:rFonts w:ascii="Times New Roman" w:cs="Times New Roman" w:hAnsi="Times New Roman" w:hint="eastAsia"/>
          <w:sz w:val="32"/>
          <w:szCs w:val="32"/>
          <w:lang w:val="en-US" w:eastAsia="zh-CN"/>
        </w:rPr>
        <w:t>减少85</w:t>
      </w:r>
      <w:r>
        <w:rPr>
          <w:rFonts w:ascii="Times New Roman" w:eastAsia="仿宋_GB2312" w:cs="Times New Roman" w:hAnsi="Times New Roman"/>
          <w:sz w:val="32"/>
          <w:szCs w:val="32"/>
          <w:lang w:val="en-US" w:eastAsia="zh-CN"/>
        </w:rPr>
        <w:t>万元，</w:t>
      </w:r>
      <w:r>
        <w:rPr>
          <w:rFonts w:ascii="Times New Roman" w:cs="Times New Roman" w:hAnsi="Times New Roman" w:hint="eastAsia"/>
          <w:sz w:val="32"/>
          <w:szCs w:val="32"/>
          <w:lang w:val="en-US" w:eastAsia="zh-CN"/>
        </w:rPr>
        <w:t>减少34</w:t>
      </w:r>
      <w:r>
        <w:rPr>
          <w:rFonts w:ascii="Times New Roman" w:eastAsia="仿宋_GB2312" w:cs="Times New Roman" w:hAnsi="Times New Roman"/>
          <w:sz w:val="32"/>
          <w:szCs w:val="32"/>
          <w:lang w:val="en-US" w:eastAsia="zh-CN"/>
        </w:rPr>
        <w:t>%。主要变动原因是</w:t>
      </w:r>
      <w:r>
        <w:rPr>
          <w:rFonts w:ascii="Times New Roman" w:cs="Times New Roman" w:hAnsi="Times New Roman" w:hint="eastAsia"/>
          <w:sz w:val="32"/>
          <w:szCs w:val="32"/>
          <w:lang w:val="en-US" w:eastAsia="zh-CN"/>
        </w:rPr>
        <w:t>本年度人员减少。</w:t>
      </w:r>
    </w:p>
    <w:p>
      <w:pPr>
        <w:pStyle w:val="16"/>
        <w:pageBreakBefore w:val="0"/>
        <w:widowControl w:val="0"/>
        <w:kinsoku/>
        <w:wordWrap/>
        <w:overflowPunct/>
        <w:topLinePunct w:val="0"/>
        <w:bidi w:val="0"/>
        <w:spacing w:line="576" w:lineRule="exact"/>
        <w:jc w:val="center"/>
        <w:rPr>
          <w:rFonts w:ascii="Times New Roman" w:eastAsia="黑体" w:cs="Times New Roman" w:hAnsi="Times New Roman"/>
          <w:sz w:val="32"/>
          <w:szCs w:val="32"/>
        </w:rPr>
      </w:pPr>
      <w:r>
        <w:rPr>
          <w:rFonts w:ascii="仿宋" w:eastAsia="仿宋" w:hint="eastAsia"/>
          <w:color w:val="000000"/>
          <w:sz w:val="32"/>
          <w:szCs w:val="32"/>
        </w:rPr>
        <w:drawing>
          <wp:anchor distT="0" distB="0" distL="114300" distR="114300" simplePos="0" relativeHeight="23" behindDoc="0" locked="0" layoutInCell="1" hidden="0" allowOverlap="1">
            <wp:simplePos x="0" y="0"/>
            <wp:positionH relativeFrom="column">
              <wp:posOffset>259715</wp:posOffset>
            </wp:positionH>
            <wp:positionV relativeFrom="paragraph">
              <wp:posOffset>127635</wp:posOffset>
            </wp:positionV>
            <wp:extent cx="4036695" cy="2310764"/>
            <wp:effectExtent l="0" t="0" r="0" b="0"/>
            <wp:wrapTopAndBottom/>
            <wp:docPr id="8" name="图表 7"/>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Times New Roman" w:eastAsia="仿宋_GB2312" w:cs="Times New Roman" w:hAnsi="Times New Roman"/>
          <w:color w:val="auto"/>
          <w:sz w:val="32"/>
          <w:szCs w:val="32"/>
        </w:rPr>
        <w:t>（财政拨款收、支决算总计变动情况）（柱状图）</w:t>
      </w:r>
      <w:bookmarkStart w:id="41" w:name="_Toc15396607"/>
      <w:bookmarkStart w:id="42" w:name="_Toc15377209"/>
      <w:bookmarkStart w:id="43" w:name="_Toc26843616"/>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Style w:val="2Char"/>
          <w:rFonts w:ascii="Times New Roman" w:eastAsia="黑体" w:cs="Times New Roman" w:hAnsi="Times New Roman"/>
          <w:b w:val="0"/>
        </w:rPr>
      </w:pPr>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41"/>
      <w:bookmarkEnd w:id="42"/>
      <w:bookmarkEnd w:id="43"/>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2"/>
        <w:rPr>
          <w:rFonts w:ascii="Times New Roman" w:eastAsia="仿宋" w:cs="Times New Roman" w:hAnsi="Times New Roman"/>
          <w:b/>
          <w:sz w:val="32"/>
          <w:szCs w:val="32"/>
        </w:rPr>
      </w:pPr>
      <w:bookmarkStart w:id="44" w:name="_Toc15377210"/>
      <w:r>
        <w:rPr>
          <w:rFonts w:ascii="Times New Roman" w:eastAsia="仿宋" w:cs="Times New Roman" w:hAnsi="Times New Roman"/>
          <w:b/>
          <w:sz w:val="32"/>
          <w:szCs w:val="32"/>
        </w:rPr>
        <w:t>（一）一般公共预算财政拨款支出决算总体情况</w:t>
      </w:r>
      <w:bookmarkEnd w:id="44"/>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eastAsia="仿宋" w:cs="Times New Roman" w:hint="eastAsia"/>
          <w:color w:val="FF0000"/>
          <w:sz w:val="32"/>
          <w:szCs w:val="32"/>
          <w:lang w:val="en-US" w:eastAsia="zh-C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年一般公共预算财政拨款支出</w:t>
      </w:r>
      <w:r>
        <w:rPr>
          <w:rFonts w:eastAsia="仿宋_GB2312" w:cs="Times New Roman" w:hint="eastAsia"/>
          <w:sz w:val="32"/>
          <w:szCs w:val="32"/>
          <w:lang w:val="en-US" w:eastAsia="zh-CN"/>
        </w:rPr>
        <w:t>165.6</w:t>
      </w:r>
      <w:r>
        <w:rPr>
          <w:rFonts w:ascii="Times New Roman" w:eastAsia="仿宋_GB2312" w:cs="Times New Roman" w:hAnsi="Times New Roman"/>
          <w:sz w:val="32"/>
          <w:szCs w:val="32"/>
        </w:rPr>
        <w:t>万元，占本年支出合计的100%。与202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年相比</w:t>
      </w:r>
      <w:r>
        <w:rPr>
          <w:rFonts w:ascii="仿宋" w:eastAsia="仿宋" w:hint="eastAsia"/>
          <w:color w:val="auto"/>
          <w:sz w:val="32"/>
          <w:szCs w:val="32"/>
          <w:lang w:val="en-US" w:eastAsia="zh-CN"/>
        </w:rPr>
        <w:t>较上年</w:t>
      </w:r>
      <w:r>
        <w:rPr>
          <w:rFonts w:ascii="Times New Roman" w:eastAsia="仿宋_GB2312" w:cs="Times New Roman" w:hAnsi="Times New Roman"/>
          <w:sz w:val="32"/>
          <w:szCs w:val="32"/>
        </w:rPr>
        <w:t>支出</w:t>
      </w:r>
      <w:r>
        <w:rPr>
          <w:rFonts w:eastAsia="仿宋_GB2312" w:cs="Times New Roman" w:hint="eastAsia"/>
          <w:sz w:val="32"/>
          <w:szCs w:val="32"/>
          <w:lang w:val="en-US" w:eastAsia="zh-CN"/>
        </w:rPr>
        <w:t>减少</w:t>
      </w:r>
      <w:r>
        <w:rPr>
          <w:rFonts w:ascii="仿宋_GB2312" w:eastAsia="仿宋_GB2312" w:hint="eastAsia"/>
          <w:color w:val="000000"/>
          <w:spacing w:val="-2"/>
          <w:kern w:val="2"/>
          <w:sz w:val="32"/>
          <w:szCs w:val="32"/>
          <w:lang w:val="en-US" w:eastAsia="zh-CN" w:bidi="ar-SA"/>
        </w:rPr>
        <w:t>85</w:t>
      </w:r>
      <w:r>
        <w:rPr>
          <w:rFonts w:ascii="Times New Roman" w:eastAsia="仿宋_GB2312" w:cs="Times New Roman" w:hAnsi="Times New Roman"/>
          <w:sz w:val="32"/>
          <w:szCs w:val="32"/>
        </w:rPr>
        <w:t>万元，</w:t>
      </w:r>
      <w:r>
        <w:rPr>
          <w:rFonts w:eastAsia="仿宋_GB2312" w:cs="Times New Roman" w:hint="eastAsia"/>
          <w:sz w:val="32"/>
          <w:szCs w:val="32"/>
          <w:lang w:val="en-US" w:eastAsia="zh-CN"/>
        </w:rPr>
        <w:t>减少34</w:t>
      </w:r>
      <w:r>
        <w:rPr>
          <w:rFonts w:ascii="Times New Roman" w:eastAsia="仿宋_GB2312" w:cs="Times New Roman" w:hAnsi="Times New Roman"/>
          <w:sz w:val="32"/>
          <w:szCs w:val="32"/>
        </w:rPr>
        <w:t>%。主要变动原因是</w:t>
      </w:r>
      <w:r>
        <w:rPr>
          <w:rFonts w:eastAsia="仿宋_GB2312" w:cs="Times New Roman" w:hint="eastAsia"/>
          <w:sz w:val="32"/>
          <w:szCs w:val="32"/>
          <w:lang w:val="en-US" w:eastAsia="zh-CN"/>
        </w:rPr>
        <w:t>本年度人员减少。</w:t>
      </w:r>
    </w:p>
    <w:p>
      <w:pPr>
        <w:pStyle w:val="15"/>
        <w:ind w:leftChars="0" w:left="0" w:firstLineChars="0" w:firstLine="0"/>
        <w:rPr>
          <w:rFonts w:hint="eastAsia"/>
          <w:lang w:val="en-US" w:eastAsia="zh-CN"/>
        </w:rPr>
      </w:pPr>
      <w:r>
        <w:drawing>
          <wp:anchor distT="0" distB="0" distL="114300" distR="114300" simplePos="0" relativeHeight="2" behindDoc="1" locked="0" layoutInCell="1" hidden="0" allowOverlap="1">
            <wp:simplePos x="0" y="0"/>
            <wp:positionH relativeFrom="column">
              <wp:posOffset>530225</wp:posOffset>
            </wp:positionH>
            <wp:positionV relativeFrom="paragraph">
              <wp:posOffset>13335</wp:posOffset>
            </wp:positionV>
            <wp:extent cx="4572000" cy="2743200"/>
            <wp:effectExtent l="0" t="0" r="0" b="0"/>
            <wp:wrapNone/>
            <wp:docPr id="9" name="图表 12"/>
            <wp:cNvGraphicFramePr>
              <a:graphicFrameLocks noChangeAspect="1"/>
            </wp:cNvGraphicFramePr>
            <a:graphic>
              <a:graphicData uri="http://schemas.openxmlformats.org/drawingml/2006/chart">
                <c:chart xmlns:c="http://schemas.openxmlformats.org/drawingml/2006/chart" r:id="rId7"/>
              </a:graphicData>
            </a:graphic>
          </wp:anchor>
        </w:drawing>
      </w:r>
    </w:p>
    <w:p>
      <w:pPr>
        <w:pageBreakBefore w:val="0"/>
        <w:widowControl w:val="0"/>
        <w:kinsoku/>
        <w:wordWrap/>
        <w:overflowPunct/>
        <w:topLinePunct w:val="0"/>
        <w:bidi w:val="0"/>
        <w:spacing w:line="576" w:lineRule="exact"/>
        <w:rPr>
          <w:rFonts w:eastAsia="仿宋" w:cs="Times New Roman" w:hint="eastAsia"/>
          <w:color w:val="FF0000"/>
          <w:sz w:val="32"/>
          <w:szCs w:val="32"/>
          <w:lang w:val="en-US" w:eastAsia="zh-CN"/>
        </w:rPr>
      </w:pPr>
    </w:p>
    <w:p>
      <w:pPr>
        <w:pStyle w:val="15"/>
        <w:ind w:leftChars="0" w:left="0" w:firstLineChars="0" w:firstLine="0"/>
        <w:rPr>
          <w:rFonts w:eastAsia="仿宋" w:cs="Times New Roman" w:hint="eastAsia"/>
          <w:color w:val="FF0000"/>
          <w:sz w:val="32"/>
          <w:szCs w:val="32"/>
          <w:lang w:val="en-US" w:eastAsia="zh-CN"/>
        </w:rPr>
      </w:pPr>
    </w:p>
    <w:p>
      <w:pPr>
        <w:rPr>
          <w:rFonts w:eastAsia="仿宋" w:cs="Times New Roman" w:hint="eastAsia"/>
          <w:color w:val="FF0000"/>
          <w:sz w:val="32"/>
          <w:szCs w:val="32"/>
          <w:lang w:val="en-US" w:eastAsia="zh-CN"/>
        </w:rPr>
      </w:pPr>
    </w:p>
    <w:p>
      <w:pPr>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color w:val="auto"/>
          <w:sz w:val="32"/>
          <w:szCs w:val="32"/>
        </w:rPr>
        <w:t>（一般公共预算财政拨款支出决算变动情况）（柱状图）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5" w:name="_Toc15377211"/>
      <w:r>
        <w:rPr>
          <w:rFonts w:ascii="Times New Roman" w:eastAsia="仿宋" w:cs="Times New Roman" w:hAnsi="Times New Roman"/>
          <w:b/>
          <w:sz w:val="32"/>
          <w:szCs w:val="32"/>
        </w:rPr>
        <w:t>（二）一般公共预算财政拨款支出决算结构情况</w:t>
      </w:r>
      <w:bookmarkEnd w:id="45"/>
    </w:p>
    <w:p>
      <w:pPr>
        <w:spacing w:line="600" w:lineRule="exact"/>
        <w:ind w:firstLine="640"/>
        <w:rPr>
          <w:rFonts w:ascii="仿宋_GB2312" w:eastAsia="仿宋_GB2312" w:hint="eastAsia"/>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年一般公共预算财政拨款支出</w:t>
      </w:r>
      <w:r>
        <w:rPr>
          <w:rFonts w:ascii="仿宋_GB2312" w:eastAsia="仿宋_GB2312" w:hint="eastAsia"/>
          <w:color w:val="000000"/>
          <w:sz w:val="32"/>
          <w:szCs w:val="32"/>
          <w:lang w:val="en-US" w:eastAsia="zh-CN"/>
        </w:rPr>
        <w:t>165.6</w:t>
      </w:r>
      <w:r>
        <w:rPr>
          <w:rFonts w:ascii="仿宋_GB2312" w:eastAsia="仿宋_GB2312" w:hint="eastAsia"/>
          <w:color w:val="000000"/>
          <w:sz w:val="32"/>
          <w:szCs w:val="32"/>
        </w:rPr>
        <w:t>万元，主要用于以下方面:社会保障和就业支出</w:t>
      </w:r>
      <w:r>
        <w:rPr>
          <w:rFonts w:ascii="仿宋_GB2312" w:eastAsia="仿宋_GB2312" w:hint="eastAsia"/>
          <w:color w:val="000000"/>
          <w:sz w:val="32"/>
          <w:szCs w:val="32"/>
          <w:lang w:val="en-US" w:eastAsia="zh-CN"/>
        </w:rPr>
        <w:t>18.28</w:t>
      </w:r>
      <w:r>
        <w:rPr>
          <w:rFonts w:ascii="仿宋_GB2312" w:eastAsia="仿宋_GB2312" w:hint="eastAsia"/>
          <w:color w:val="000000"/>
          <w:sz w:val="32"/>
          <w:szCs w:val="32"/>
        </w:rPr>
        <w:t>万元，占11%；卫生健康支出</w:t>
      </w:r>
      <w:r>
        <w:rPr>
          <w:rFonts w:ascii="仿宋_GB2312" w:eastAsia="仿宋_GB2312" w:hint="eastAsia"/>
          <w:color w:val="000000"/>
          <w:sz w:val="32"/>
          <w:szCs w:val="32"/>
          <w:lang w:val="en-US" w:eastAsia="zh-CN"/>
        </w:rPr>
        <w:t>7.73</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%；住房保障支出</w:t>
      </w:r>
      <w:r>
        <w:rPr>
          <w:rFonts w:ascii="仿宋_GB2312" w:eastAsia="仿宋_GB2312" w:hint="eastAsia"/>
          <w:color w:val="000000"/>
          <w:sz w:val="32"/>
          <w:szCs w:val="32"/>
          <w:lang w:val="en-US" w:eastAsia="zh-CN"/>
        </w:rPr>
        <w:t>11.47</w:t>
      </w:r>
      <w:r>
        <w:rPr>
          <w:rFonts w:ascii="仿宋_GB2312" w:eastAsia="仿宋_GB2312" w:hint="eastAsia"/>
          <w:color w:val="000000"/>
          <w:sz w:val="32"/>
          <w:szCs w:val="32"/>
        </w:rPr>
        <w:t>万元，占7%，文化旅游体育与传媒支出</w:t>
      </w:r>
      <w:r>
        <w:rPr>
          <w:rFonts w:ascii="仿宋_GB2312" w:eastAsia="仿宋_GB2312" w:hint="eastAsia"/>
          <w:color w:val="000000"/>
          <w:sz w:val="32"/>
          <w:szCs w:val="32"/>
          <w:lang w:val="en-US" w:eastAsia="zh-CN"/>
        </w:rPr>
        <w:t>128.14</w:t>
      </w:r>
      <w:r>
        <w:rPr>
          <w:rFonts w:ascii="仿宋_GB2312" w:eastAsia="仿宋_GB2312" w:hint="eastAsia"/>
          <w:color w:val="000000"/>
          <w:sz w:val="32"/>
          <w:szCs w:val="32"/>
        </w:rPr>
        <w:t>万元，占77%。</w:t>
      </w:r>
    </w:p>
    <w:p>
      <w:pPr>
        <w:spacing w:line="600" w:lineRule="exact"/>
        <w:ind w:firstLineChars="200" w:firstLine="420"/>
        <w:rPr>
          <w:rFonts w:ascii="仿宋_GB2312" w:eastAsia="仿宋_GB2312" w:hint="eastAsia"/>
          <w:color w:val="000000"/>
          <w:sz w:val="32"/>
          <w:szCs w:val="32"/>
        </w:rPr>
      </w:pPr>
      <w:r>
        <w:drawing>
          <wp:anchor distT="0" distB="0" distL="114300" distR="114300" simplePos="0" relativeHeight="27" behindDoc="0" locked="0" layoutInCell="1" hidden="0" allowOverlap="1">
            <wp:simplePos x="0" y="0"/>
            <wp:positionH relativeFrom="column">
              <wp:posOffset>410210</wp:posOffset>
            </wp:positionH>
            <wp:positionV relativeFrom="paragraph">
              <wp:posOffset>114300</wp:posOffset>
            </wp:positionV>
            <wp:extent cx="4591050" cy="2533650"/>
            <wp:effectExtent l="0" t="0" r="0" b="0"/>
            <wp:wrapTight wrapText="bothSides">
              <wp:wrapPolygon>
                <wp:start x="0" y="0"/>
                <wp:lineTo x="0" y="21546"/>
                <wp:lineTo x="21570" y="21546"/>
                <wp:lineTo x="21570" y="0"/>
                <wp:lineTo x="0" y="0"/>
              </wp:wrapPolygon>
            </wp:wrapTight>
            <wp:docPr id="10" name="图表 3" descr="0.png"/>
            <wp:cNvGraphicFramePr>
              <a:graphicFrameLocks noChangeAspect="0"/>
            </wp:cNvGraphicFramePr>
            <a:graphic>
              <a:graphicData uri="http://schemas.openxmlformats.org/drawingml/2006/picture">
                <pic:pic>
                  <pic:nvPicPr>
                    <pic:cNvPr id="11" name="图表 3 11"/>
                    <pic:cNvPicPr/>
                  </pic:nvPicPr>
                  <pic:blipFill>
                    <a:blip r:embed="rId8"/>
                    <a:srcRect b="-128"/>
                    <a:stretch>
                      <a:fillRect/>
                    </a:stretch>
                  </pic:blipFill>
                  <pic:spPr>
                    <a:xfrm rot="0">
                      <a:off x="0" y="0"/>
                      <a:ext cx="4591050" cy="2533650"/>
                    </a:xfrm>
                    <a:prstGeom prst="rect"/>
                    <a:noFill/>
                    <a:ln w="9525" cmpd="sng" cap="flat">
                      <a:noFill/>
                      <a:prstDash val="solid"/>
                      <a:round/>
                    </a:ln>
                  </pic:spPr>
                </pic:pic>
              </a:graphicData>
            </a:graphic>
          </wp:anchor>
        </w:drawing>
      </w: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Fonts w:ascii="仿宋_GB2312" w:eastAsia="仿宋_GB2312" w:hint="eastAsia"/>
          <w:color w:val="000000"/>
          <w:sz w:val="32"/>
          <w:szCs w:val="32"/>
        </w:rPr>
      </w:pPr>
    </w:p>
    <w:p>
      <w:pPr>
        <w:spacing w:line="600" w:lineRule="exact"/>
        <w:ind w:firstLineChars="200" w:firstLine="640"/>
        <w:rPr>
          <w:rFonts w:ascii="仿宋_GB2312" w:eastAsia="仿宋_GB2312" w:hint="eastAsia"/>
          <w:color w:val="000000"/>
          <w:sz w:val="32"/>
          <w:szCs w:val="32"/>
        </w:rPr>
      </w:pPr>
    </w:p>
    <w:p>
      <w:pPr>
        <w:pStyle w:val="16"/>
        <w:jc w:val="distribute"/>
        <w:rPr>
          <w:rFonts w:ascii="Times New Roman" w:eastAsia="仿宋" w:cs="Times New Roman" w:hAnsi="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2"/>
        <w:rPr>
          <w:rFonts w:ascii="Times New Roman" w:eastAsia="仿宋" w:cs="Times New Roman" w:hAnsi="Times New Roman"/>
          <w:b/>
          <w:sz w:val="32"/>
          <w:szCs w:val="32"/>
        </w:rPr>
      </w:pPr>
      <w:bookmarkStart w:id="46" w:name="_Toc15377212"/>
      <w:r>
        <w:rPr>
          <w:rFonts w:ascii="Times New Roman" w:eastAsia="仿宋" w:cs="Times New Roman" w:hAnsi="Times New Roman"/>
          <w:b/>
          <w:sz w:val="32"/>
          <w:szCs w:val="32"/>
        </w:rPr>
        <w:t>（三）一般公共预算财政拨款支出决算具体情况</w:t>
      </w:r>
      <w:bookmarkEnd w:id="46"/>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b/>
          <w:color w:val="000000"/>
          <w:sz w:val="32"/>
          <w:szCs w:val="32"/>
        </w:rPr>
      </w:pPr>
      <w:bookmarkStart w:id="47" w:name="_Toc15377214"/>
      <w:bookmarkStart w:id="48" w:name="_Toc15396608"/>
      <w:bookmarkStart w:id="49" w:name="_Toc26843617"/>
      <w:r>
        <w:rPr>
          <w:rStyle w:val="24"/>
          <w:rFonts w:ascii="仿宋_GB2312" w:eastAsia="仿宋_GB2312" w:hint="eastAsia"/>
          <w:color w:val="000000"/>
          <w:sz w:val="32"/>
          <w:szCs w:val="32"/>
        </w:rPr>
        <w:t>1.一般公共服务（类）***（款）***（项）:</w:t>
      </w:r>
      <w:r>
        <w:rPr>
          <w:rStyle w:val="24"/>
          <w:rFonts w:ascii="仿宋_GB2312" w:eastAsia="仿宋_GB2312" w:hint="eastAsia"/>
          <w:b w:val="0"/>
          <w:color w:val="000000"/>
          <w:sz w:val="32"/>
          <w:szCs w:val="32"/>
        </w:rPr>
        <w:t xml:space="preserve"> 支出决算为0万元，完成预算0%，决算数大于/小于预算数的主要原因是…。</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b/>
          <w:color w:val="000000"/>
          <w:sz w:val="32"/>
          <w:szCs w:val="32"/>
        </w:rPr>
      </w:pPr>
      <w:r>
        <w:rPr>
          <w:rStyle w:val="24"/>
          <w:rFonts w:ascii="仿宋_GB2312" w:eastAsia="仿宋_GB2312" w:hint="eastAsia"/>
          <w:color w:val="000000"/>
          <w:sz w:val="32"/>
          <w:szCs w:val="32"/>
        </w:rPr>
        <w:t>2.教育（类）***（款）***（项）:</w:t>
      </w:r>
      <w:r>
        <w:rPr>
          <w:rStyle w:val="24"/>
          <w:rFonts w:ascii="仿宋_GB2312" w:eastAsia="仿宋_GB2312" w:hint="eastAsia"/>
          <w:b w:val="0"/>
          <w:color w:val="000000"/>
          <w:sz w:val="32"/>
          <w:szCs w:val="32"/>
        </w:rPr>
        <w:t xml:space="preserve"> 支出决算为0万元，完成预算0%，决算数大于/小于预算数的主要原因是…。</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b/>
          <w:color w:val="000000"/>
          <w:sz w:val="32"/>
          <w:szCs w:val="32"/>
        </w:rPr>
      </w:pPr>
      <w:r>
        <w:rPr>
          <w:rStyle w:val="24"/>
          <w:rFonts w:ascii="仿宋_GB2312" w:eastAsia="仿宋_GB2312" w:hint="eastAsia"/>
          <w:color w:val="000000"/>
          <w:sz w:val="32"/>
          <w:szCs w:val="32"/>
        </w:rPr>
        <w:t>3.科学技术（类）***（款）***（项）:</w:t>
      </w:r>
      <w:r>
        <w:rPr>
          <w:rStyle w:val="24"/>
          <w:rFonts w:ascii="仿宋_GB2312" w:eastAsia="仿宋_GB2312" w:hint="eastAsia"/>
          <w:b w:val="0"/>
          <w:color w:val="000000"/>
          <w:sz w:val="32"/>
          <w:szCs w:val="32"/>
        </w:rPr>
        <w:t xml:space="preserve"> 支出决算为0万元，完成预算0%，决算数大于/小于预算数的主要原因是…。</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b/>
          <w:color w:val="000000"/>
          <w:sz w:val="32"/>
          <w:szCs w:val="32"/>
        </w:rPr>
      </w:pPr>
      <w:r>
        <w:rPr>
          <w:rStyle w:val="24"/>
          <w:rFonts w:ascii="仿宋_GB2312" w:eastAsia="仿宋_GB2312" w:hint="eastAsia"/>
          <w:color w:val="000000"/>
          <w:sz w:val="32"/>
          <w:szCs w:val="32"/>
        </w:rPr>
        <w:t>4.文化体育与传媒（类）207（款）01（项）01:</w:t>
      </w:r>
      <w:r>
        <w:rPr>
          <w:rStyle w:val="24"/>
          <w:rFonts w:ascii="仿宋_GB2312" w:eastAsia="仿宋_GB2312" w:hint="eastAsia"/>
          <w:b w:val="0"/>
          <w:color w:val="000000"/>
          <w:sz w:val="32"/>
          <w:szCs w:val="32"/>
        </w:rPr>
        <w:t xml:space="preserve"> 支出决算为</w:t>
      </w:r>
      <w:r>
        <w:rPr>
          <w:rStyle w:val="24"/>
          <w:rFonts w:ascii="仿宋_GB2312" w:eastAsia="仿宋_GB2312" w:hint="eastAsia"/>
          <w:b w:val="0"/>
          <w:color w:val="000000"/>
          <w:sz w:val="32"/>
          <w:szCs w:val="32"/>
          <w:lang w:val="en-US" w:eastAsia="zh-CN"/>
        </w:rPr>
        <w:t>128.14</w:t>
      </w:r>
      <w:r>
        <w:rPr>
          <w:rStyle w:val="24"/>
          <w:rFonts w:ascii="仿宋_GB2312" w:eastAsia="仿宋_GB2312" w:hint="eastAsia"/>
          <w:b w:val="0"/>
          <w:color w:val="000000"/>
          <w:sz w:val="32"/>
          <w:szCs w:val="32"/>
        </w:rPr>
        <w:t>万元，完成预算100%，决算数大于预算数的主要原因是职工正常晋升与调资以及办公费</w:t>
      </w:r>
      <w:r>
        <w:rPr>
          <w:rStyle w:val="24"/>
          <w:rFonts w:ascii="仿宋_GB2312" w:eastAsia="仿宋_GB2312" w:hint="eastAsia"/>
          <w:b w:val="0"/>
          <w:color w:val="000000"/>
          <w:sz w:val="32"/>
          <w:szCs w:val="32"/>
          <w:lang w:eastAsia="zh-CN"/>
        </w:rPr>
        <w:t>减少</w:t>
      </w:r>
      <w:r>
        <w:rPr>
          <w:rStyle w:val="24"/>
          <w:rFonts w:ascii="仿宋_GB2312" w:eastAsia="仿宋_GB2312" w:hint="eastAsia"/>
          <w:b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4"/>
          <w:rFonts w:ascii="仿宋_GB2312" w:eastAsia="仿宋_GB2312" w:hint="eastAsia"/>
          <w:b w:val="0"/>
          <w:color w:val="000000"/>
          <w:sz w:val="32"/>
          <w:szCs w:val="32"/>
        </w:rPr>
      </w:pPr>
      <w:r>
        <w:rPr>
          <w:rStyle w:val="24"/>
          <w:rFonts w:ascii="仿宋_GB2312" w:eastAsia="仿宋_GB2312" w:hint="eastAsia"/>
          <w:color w:val="000000"/>
          <w:sz w:val="32"/>
          <w:szCs w:val="32"/>
        </w:rPr>
        <w:t>5.机关事业单位基本养老保险缴费（类）208（款）05（项）05:</w:t>
      </w:r>
      <w:r>
        <w:rPr>
          <w:rStyle w:val="24"/>
          <w:rFonts w:ascii="仿宋_GB2312" w:eastAsia="仿宋_GB2312" w:hint="eastAsia"/>
          <w:b w:val="0"/>
          <w:color w:val="000000"/>
          <w:sz w:val="32"/>
          <w:szCs w:val="32"/>
        </w:rPr>
        <w:t xml:space="preserve"> 支出决算为</w:t>
      </w:r>
      <w:r>
        <w:rPr>
          <w:rStyle w:val="24"/>
          <w:rFonts w:ascii="仿宋_GB2312" w:eastAsia="仿宋_GB2312" w:hint="eastAsia"/>
          <w:b w:val="0"/>
          <w:color w:val="000000"/>
          <w:sz w:val="32"/>
          <w:szCs w:val="32"/>
          <w:lang w:val="en-US" w:eastAsia="zh-CN"/>
        </w:rPr>
        <w:t>11.88</w:t>
      </w:r>
      <w:r>
        <w:rPr>
          <w:rStyle w:val="24"/>
          <w:rFonts w:ascii="仿宋_GB2312" w:eastAsia="仿宋_GB2312" w:hint="eastAsia"/>
          <w:b w:val="0"/>
          <w:color w:val="000000"/>
          <w:sz w:val="32"/>
          <w:szCs w:val="32"/>
        </w:rPr>
        <w:t>万元</w:t>
      </w:r>
      <w:r>
        <w:rPr>
          <w:rStyle w:val="24"/>
          <w:rFonts w:ascii="仿宋_GB2312" w:eastAsia="仿宋_GB2312" w:hint="eastAsia"/>
          <w:b w:val="0"/>
          <w:color w:val="000000"/>
          <w:sz w:val="32"/>
          <w:szCs w:val="32"/>
          <w:lang w:val="en-US" w:eastAsia="zh-CN"/>
        </w:rPr>
        <w:t>.</w:t>
      </w:r>
      <w:r>
        <w:rPr>
          <w:rStyle w:val="24"/>
          <w:rFonts w:ascii="仿宋_GB2312" w:eastAsia="仿宋_GB2312" w:hint="eastAsia"/>
          <w:b w:val="0"/>
          <w:color w:val="000000"/>
          <w:sz w:val="32"/>
          <w:szCs w:val="32"/>
        </w:rPr>
        <w:t>决算数比预算数</w:t>
      </w:r>
      <w:r>
        <w:rPr>
          <w:rStyle w:val="24"/>
          <w:rFonts w:ascii="仿宋_GB2312" w:eastAsia="仿宋_GB2312" w:hint="eastAsia"/>
          <w:b w:val="0"/>
          <w:color w:val="000000"/>
          <w:sz w:val="32"/>
          <w:szCs w:val="32"/>
          <w:lang w:val="en-US" w:eastAsia="zh-CN"/>
        </w:rPr>
        <w:t>减少10.98</w:t>
      </w:r>
      <w:r>
        <w:rPr>
          <w:rStyle w:val="24"/>
          <w:rFonts w:ascii="仿宋_GB2312" w:eastAsia="仿宋_GB2312" w:hint="eastAsia"/>
          <w:b w:val="0"/>
          <w:color w:val="000000"/>
          <w:sz w:val="32"/>
          <w:szCs w:val="32"/>
        </w:rPr>
        <w:t>万元，</w:t>
      </w:r>
      <w:r>
        <w:rPr>
          <w:rStyle w:val="24"/>
          <w:rFonts w:ascii="仿宋_GB2312" w:eastAsia="仿宋_GB2312" w:hint="eastAsia"/>
          <w:b w:val="0"/>
          <w:color w:val="000000"/>
          <w:sz w:val="32"/>
          <w:szCs w:val="32"/>
          <w:lang w:val="en-US" w:eastAsia="zh-CN"/>
        </w:rPr>
        <w:t>减少</w:t>
      </w:r>
      <w:r>
        <w:rPr>
          <w:rStyle w:val="24"/>
          <w:rFonts w:ascii="仿宋_GB2312" w:eastAsia="仿宋_GB2312" w:hint="eastAsia"/>
          <w:b w:val="0"/>
          <w:color w:val="000000"/>
          <w:sz w:val="32"/>
          <w:szCs w:val="32"/>
        </w:rPr>
        <w:t>原因为</w:t>
      </w:r>
      <w:r>
        <w:rPr>
          <w:rStyle w:val="24"/>
          <w:rFonts w:ascii="仿宋_GB2312" w:eastAsia="仿宋_GB2312" w:hint="eastAsia"/>
          <w:b w:val="0"/>
          <w:color w:val="000000"/>
          <w:sz w:val="32"/>
          <w:szCs w:val="32"/>
          <w:lang w:eastAsia="zh-CN"/>
        </w:rPr>
        <w:t>2022</w:t>
      </w:r>
      <w:r>
        <w:rPr>
          <w:rStyle w:val="24"/>
          <w:rFonts w:ascii="仿宋_GB2312" w:eastAsia="仿宋_GB2312" w:hint="eastAsia"/>
          <w:b w:val="0"/>
          <w:color w:val="000000"/>
          <w:sz w:val="32"/>
          <w:szCs w:val="32"/>
        </w:rPr>
        <w:t>年</w:t>
      </w:r>
      <w:r>
        <w:rPr>
          <w:rStyle w:val="24"/>
          <w:rFonts w:ascii="仿宋_GB2312" w:eastAsia="仿宋_GB2312" w:hint="eastAsia"/>
          <w:b w:val="0"/>
          <w:color w:val="000000"/>
          <w:sz w:val="32"/>
          <w:szCs w:val="32"/>
          <w:lang w:val="en-US" w:eastAsia="zh-CN"/>
        </w:rPr>
        <w:t>减少</w:t>
      </w:r>
      <w:r>
        <w:rPr>
          <w:rStyle w:val="24"/>
          <w:rFonts w:ascii="仿宋_GB2312" w:eastAsia="仿宋_GB2312" w:hint="eastAsia"/>
          <w:b w:val="0"/>
          <w:color w:val="000000"/>
          <w:sz w:val="32"/>
          <w:szCs w:val="32"/>
        </w:rPr>
        <w:t>1</w:t>
      </w:r>
      <w:r>
        <w:rPr>
          <w:rStyle w:val="24"/>
          <w:rFonts w:ascii="仿宋_GB2312" w:eastAsia="仿宋_GB2312" w:hint="eastAsia"/>
          <w:b w:val="0"/>
          <w:color w:val="000000"/>
          <w:sz w:val="32"/>
          <w:szCs w:val="32"/>
          <w:lang w:val="en-US" w:eastAsia="zh-CN"/>
        </w:rPr>
        <w:t>3</w:t>
      </w:r>
      <w:r>
        <w:rPr>
          <w:rStyle w:val="24"/>
          <w:rFonts w:ascii="仿宋_GB2312" w:eastAsia="仿宋_GB2312" w:hint="eastAsia"/>
          <w:b w:val="0"/>
          <w:color w:val="000000"/>
          <w:sz w:val="32"/>
          <w:szCs w:val="32"/>
        </w:rPr>
        <w:t>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4"/>
          <w:rFonts w:ascii="仿宋_GB2312" w:eastAsia="仿宋_GB2312" w:hint="eastAsia"/>
          <w:b w:val="0"/>
          <w:color w:val="000000"/>
          <w:sz w:val="32"/>
          <w:szCs w:val="32"/>
        </w:rPr>
      </w:pPr>
      <w:r>
        <w:rPr>
          <w:rStyle w:val="24"/>
          <w:rFonts w:ascii="仿宋_GB2312" w:eastAsia="仿宋_GB2312" w:hint="eastAsia"/>
          <w:color w:val="000000"/>
          <w:sz w:val="32"/>
          <w:szCs w:val="32"/>
        </w:rPr>
        <w:t>6.机关事业单位职业年金缴费（类）208（款）05（项）06:</w:t>
      </w:r>
      <w:r>
        <w:rPr>
          <w:rStyle w:val="24"/>
          <w:rFonts w:ascii="仿宋_GB2312" w:eastAsia="仿宋_GB2312" w:hint="eastAsia"/>
          <w:b w:val="0"/>
          <w:color w:val="000000"/>
          <w:sz w:val="32"/>
          <w:szCs w:val="32"/>
        </w:rPr>
        <w:t>支出决算为</w:t>
      </w:r>
      <w:r>
        <w:rPr>
          <w:rStyle w:val="24"/>
          <w:rFonts w:ascii="仿宋_GB2312" w:eastAsia="仿宋_GB2312" w:hint="eastAsia"/>
          <w:b w:val="0"/>
          <w:color w:val="000000"/>
          <w:sz w:val="32"/>
          <w:szCs w:val="32"/>
          <w:lang w:val="en-US" w:eastAsia="zh-CN"/>
        </w:rPr>
        <w:t>6.4</w:t>
      </w:r>
      <w:r>
        <w:rPr>
          <w:rStyle w:val="24"/>
          <w:rFonts w:ascii="仿宋_GB2312" w:eastAsia="仿宋_GB2312" w:hint="eastAsia"/>
          <w:b w:val="0"/>
          <w:color w:val="000000"/>
          <w:sz w:val="32"/>
          <w:szCs w:val="32"/>
        </w:rPr>
        <w:t>万元，决算数比预算数</w:t>
      </w:r>
      <w:r>
        <w:rPr>
          <w:rStyle w:val="24"/>
          <w:rFonts w:ascii="仿宋_GB2312" w:eastAsia="仿宋_GB2312" w:hint="eastAsia"/>
          <w:b w:val="0"/>
          <w:color w:val="000000"/>
          <w:sz w:val="32"/>
          <w:szCs w:val="32"/>
          <w:lang w:val="en-US" w:eastAsia="zh-CN"/>
        </w:rPr>
        <w:t>减少5.03</w:t>
      </w:r>
      <w:r>
        <w:rPr>
          <w:rStyle w:val="24"/>
          <w:rFonts w:ascii="仿宋_GB2312" w:eastAsia="仿宋_GB2312" w:hint="eastAsia"/>
          <w:b w:val="0"/>
          <w:color w:val="000000"/>
          <w:sz w:val="32"/>
          <w:szCs w:val="32"/>
        </w:rPr>
        <w:t>万元，原因为</w:t>
      </w:r>
      <w:r>
        <w:rPr>
          <w:rStyle w:val="24"/>
          <w:rFonts w:ascii="仿宋_GB2312" w:eastAsia="仿宋_GB2312" w:hint="eastAsia"/>
          <w:b w:val="0"/>
          <w:color w:val="000000"/>
          <w:sz w:val="32"/>
          <w:szCs w:val="32"/>
          <w:lang w:eastAsia="zh-CN"/>
        </w:rPr>
        <w:t>2022</w:t>
      </w:r>
      <w:r>
        <w:rPr>
          <w:rStyle w:val="24"/>
          <w:rFonts w:ascii="仿宋_GB2312" w:eastAsia="仿宋_GB2312" w:hint="eastAsia"/>
          <w:b w:val="0"/>
          <w:color w:val="000000"/>
          <w:sz w:val="32"/>
          <w:szCs w:val="32"/>
        </w:rPr>
        <w:t>年</w:t>
      </w:r>
      <w:r>
        <w:rPr>
          <w:rStyle w:val="24"/>
          <w:rFonts w:ascii="仿宋_GB2312" w:eastAsia="仿宋_GB2312" w:hint="eastAsia"/>
          <w:b w:val="0"/>
          <w:color w:val="000000"/>
          <w:sz w:val="32"/>
          <w:szCs w:val="32"/>
          <w:lang w:val="en-US" w:eastAsia="zh-CN"/>
        </w:rPr>
        <w:t>减少</w:t>
      </w:r>
      <w:r>
        <w:rPr>
          <w:rStyle w:val="24"/>
          <w:rFonts w:ascii="仿宋_GB2312" w:eastAsia="仿宋_GB2312" w:hint="eastAsia"/>
          <w:b w:val="0"/>
          <w:color w:val="000000"/>
          <w:sz w:val="32"/>
          <w:szCs w:val="32"/>
        </w:rPr>
        <w:t>1</w:t>
      </w:r>
      <w:r>
        <w:rPr>
          <w:rStyle w:val="24"/>
          <w:rFonts w:ascii="仿宋_GB2312" w:eastAsia="仿宋_GB2312" w:hint="eastAsia"/>
          <w:b w:val="0"/>
          <w:color w:val="000000"/>
          <w:sz w:val="32"/>
          <w:szCs w:val="32"/>
          <w:lang w:val="en-US" w:eastAsia="zh-CN"/>
        </w:rPr>
        <w:t>3</w:t>
      </w:r>
      <w:r>
        <w:rPr>
          <w:rStyle w:val="24"/>
          <w:rFonts w:ascii="仿宋_GB2312" w:eastAsia="仿宋_GB2312" w:hint="eastAsia"/>
          <w:b w:val="0"/>
          <w:color w:val="000000"/>
          <w:sz w:val="32"/>
          <w:szCs w:val="32"/>
        </w:rPr>
        <w:t>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4"/>
          <w:rFonts w:ascii="仿宋_GB2312" w:eastAsia="仿宋_GB2312" w:hint="eastAsia"/>
          <w:b w:val="0"/>
          <w:color w:val="000000"/>
          <w:sz w:val="32"/>
          <w:szCs w:val="32"/>
        </w:rPr>
      </w:pPr>
      <w:r>
        <w:rPr>
          <w:rStyle w:val="24"/>
          <w:rFonts w:ascii="仿宋_GB2312" w:eastAsia="仿宋_GB2312" w:hint="eastAsia"/>
          <w:color w:val="000000"/>
          <w:sz w:val="32"/>
          <w:szCs w:val="32"/>
        </w:rPr>
        <w:t>7.行政医疗补助（类）210（款）11（项）01:</w:t>
      </w:r>
      <w:r>
        <w:rPr>
          <w:rStyle w:val="24"/>
          <w:rFonts w:ascii="仿宋_GB2312" w:eastAsia="仿宋_GB2312" w:hint="eastAsia"/>
          <w:b w:val="0"/>
          <w:color w:val="000000"/>
          <w:sz w:val="32"/>
          <w:szCs w:val="32"/>
        </w:rPr>
        <w:t>支出决算6.3为万元，决算数比预算数</w:t>
      </w:r>
      <w:r>
        <w:rPr>
          <w:rStyle w:val="24"/>
          <w:rFonts w:ascii="仿宋_GB2312" w:eastAsia="仿宋_GB2312" w:hint="eastAsia"/>
          <w:b w:val="0"/>
          <w:color w:val="000000"/>
          <w:sz w:val="32"/>
          <w:szCs w:val="32"/>
          <w:lang w:eastAsia="zh-CN"/>
        </w:rPr>
        <w:t>减少</w:t>
      </w:r>
      <w:r>
        <w:rPr>
          <w:rStyle w:val="24"/>
          <w:rFonts w:ascii="仿宋_GB2312" w:eastAsia="仿宋_GB2312" w:hint="eastAsia"/>
          <w:b w:val="0"/>
          <w:color w:val="000000"/>
          <w:sz w:val="32"/>
          <w:szCs w:val="32"/>
        </w:rPr>
        <w:t>，</w:t>
      </w:r>
      <w:r>
        <w:rPr>
          <w:rStyle w:val="24"/>
          <w:rFonts w:ascii="仿宋_GB2312" w:eastAsia="仿宋_GB2312" w:hint="eastAsia"/>
          <w:b w:val="0"/>
          <w:color w:val="000000"/>
          <w:sz w:val="32"/>
          <w:szCs w:val="32"/>
          <w:lang w:eastAsia="zh-CN"/>
        </w:rPr>
        <w:t>减少</w:t>
      </w:r>
      <w:r>
        <w:rPr>
          <w:rStyle w:val="24"/>
          <w:rFonts w:ascii="仿宋_GB2312" w:eastAsia="仿宋_GB2312" w:hint="eastAsia"/>
          <w:b w:val="0"/>
          <w:color w:val="000000"/>
          <w:sz w:val="32"/>
          <w:szCs w:val="32"/>
        </w:rPr>
        <w:t>原因为</w:t>
      </w:r>
      <w:r>
        <w:rPr>
          <w:rStyle w:val="24"/>
          <w:rFonts w:ascii="仿宋_GB2312" w:eastAsia="仿宋_GB2312" w:hint="eastAsia"/>
          <w:b w:val="0"/>
          <w:color w:val="000000"/>
          <w:sz w:val="32"/>
          <w:szCs w:val="32"/>
          <w:lang w:eastAsia="zh-CN"/>
        </w:rPr>
        <w:t>2021</w:t>
      </w:r>
      <w:r>
        <w:rPr>
          <w:rStyle w:val="24"/>
          <w:rFonts w:ascii="仿宋_GB2312" w:eastAsia="仿宋_GB2312" w:hint="eastAsia"/>
          <w:b w:val="0"/>
          <w:color w:val="000000"/>
          <w:sz w:val="32"/>
          <w:szCs w:val="32"/>
        </w:rPr>
        <w:t>年</w:t>
      </w:r>
      <w:r>
        <w:rPr>
          <w:rStyle w:val="24"/>
          <w:rFonts w:ascii="仿宋_GB2312" w:eastAsia="仿宋_GB2312" w:hint="eastAsia"/>
          <w:b w:val="0"/>
          <w:color w:val="000000"/>
          <w:sz w:val="32"/>
          <w:szCs w:val="32"/>
          <w:lang w:eastAsia="zh-CN"/>
        </w:rPr>
        <w:t>减少</w:t>
      </w:r>
      <w:r>
        <w:rPr>
          <w:rStyle w:val="24"/>
          <w:rFonts w:ascii="仿宋_GB2312" w:eastAsia="仿宋_GB2312" w:hint="eastAsia"/>
          <w:b w:val="0"/>
          <w:color w:val="000000"/>
          <w:sz w:val="32"/>
          <w:szCs w:val="32"/>
        </w:rPr>
        <w:t>1</w:t>
      </w:r>
      <w:r>
        <w:rPr>
          <w:rStyle w:val="24"/>
          <w:rFonts w:ascii="仿宋_GB2312" w:eastAsia="仿宋_GB2312" w:hint="eastAsia"/>
          <w:b w:val="0"/>
          <w:color w:val="000000"/>
          <w:sz w:val="32"/>
          <w:szCs w:val="32"/>
          <w:lang w:val="en-US" w:eastAsia="zh-CN"/>
        </w:rPr>
        <w:t>3</w:t>
      </w:r>
      <w:r>
        <w:rPr>
          <w:rStyle w:val="24"/>
          <w:rFonts w:ascii="仿宋_GB2312" w:eastAsia="仿宋_GB2312" w:hint="eastAsia"/>
          <w:b w:val="0"/>
          <w:color w:val="000000"/>
          <w:sz w:val="32"/>
          <w:szCs w:val="32"/>
        </w:rPr>
        <w:t>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4"/>
          <w:rFonts w:ascii="仿宋_GB2312" w:eastAsia="仿宋_GB2312" w:hint="eastAsia"/>
          <w:b w:val="0"/>
          <w:color w:val="000000"/>
          <w:sz w:val="32"/>
          <w:szCs w:val="32"/>
        </w:rPr>
      </w:pPr>
      <w:r>
        <w:rPr>
          <w:rStyle w:val="24"/>
          <w:rFonts w:ascii="仿宋_GB2312" w:eastAsia="仿宋_GB2312" w:hint="eastAsia"/>
          <w:color w:val="000000"/>
          <w:sz w:val="32"/>
          <w:szCs w:val="32"/>
        </w:rPr>
        <w:t>8.公务员医疗补助（类）210（款）11（项）03：</w:t>
      </w:r>
      <w:r>
        <w:rPr>
          <w:rStyle w:val="24"/>
          <w:rFonts w:ascii="仿宋_GB2312" w:eastAsia="仿宋_GB2312" w:hint="eastAsia"/>
          <w:b w:val="0"/>
          <w:color w:val="000000"/>
          <w:sz w:val="32"/>
          <w:szCs w:val="32"/>
        </w:rPr>
        <w:t>支出决算为</w:t>
      </w:r>
      <w:r>
        <w:rPr>
          <w:rStyle w:val="24"/>
          <w:rFonts w:ascii="仿宋_GB2312" w:eastAsia="仿宋_GB2312" w:hint="eastAsia"/>
          <w:b w:val="0"/>
          <w:color w:val="000000"/>
          <w:sz w:val="32"/>
          <w:szCs w:val="32"/>
          <w:lang w:val="en-US" w:eastAsia="zh-CN"/>
        </w:rPr>
        <w:t>1.47</w:t>
      </w:r>
      <w:r>
        <w:rPr>
          <w:rStyle w:val="24"/>
          <w:rFonts w:ascii="仿宋_GB2312" w:eastAsia="仿宋_GB2312" w:hint="eastAsia"/>
          <w:b w:val="0"/>
          <w:color w:val="000000"/>
          <w:sz w:val="32"/>
          <w:szCs w:val="32"/>
        </w:rPr>
        <w:t>万元，决算数比预算数</w:t>
      </w:r>
      <w:r>
        <w:rPr>
          <w:rStyle w:val="24"/>
          <w:rFonts w:ascii="仿宋_GB2312" w:eastAsia="仿宋_GB2312" w:hint="eastAsia"/>
          <w:b w:val="0"/>
          <w:color w:val="000000"/>
          <w:sz w:val="32"/>
          <w:szCs w:val="32"/>
          <w:lang w:eastAsia="zh-CN"/>
        </w:rPr>
        <w:t>减少0</w:t>
      </w:r>
      <w:r>
        <w:rPr>
          <w:rStyle w:val="24"/>
          <w:rFonts w:ascii="仿宋_GB2312" w:eastAsia="仿宋_GB2312" w:hint="eastAsia"/>
          <w:b w:val="0"/>
          <w:color w:val="000000"/>
          <w:sz w:val="32"/>
          <w:szCs w:val="32"/>
        </w:rPr>
        <w:t>万元，</w:t>
      </w:r>
      <w:r>
        <w:rPr>
          <w:rStyle w:val="24"/>
          <w:rFonts w:ascii="仿宋_GB2312" w:eastAsia="仿宋_GB2312" w:hint="eastAsia"/>
          <w:b w:val="0"/>
          <w:color w:val="000000"/>
          <w:sz w:val="32"/>
          <w:szCs w:val="32"/>
          <w:lang w:eastAsia="zh-CN"/>
        </w:rPr>
        <w:t>减少</w:t>
      </w:r>
      <w:r>
        <w:rPr>
          <w:rStyle w:val="24"/>
          <w:rFonts w:ascii="仿宋_GB2312" w:eastAsia="仿宋_GB2312" w:hint="eastAsia"/>
          <w:b w:val="0"/>
          <w:color w:val="000000"/>
          <w:sz w:val="32"/>
          <w:szCs w:val="32"/>
        </w:rPr>
        <w:t>原因为</w:t>
      </w:r>
      <w:r>
        <w:rPr>
          <w:rStyle w:val="24"/>
          <w:rFonts w:ascii="仿宋_GB2312" w:eastAsia="仿宋_GB2312" w:hint="eastAsia"/>
          <w:b w:val="0"/>
          <w:color w:val="000000"/>
          <w:sz w:val="32"/>
          <w:szCs w:val="32"/>
          <w:lang w:eastAsia="zh-CN"/>
        </w:rPr>
        <w:t>2022</w:t>
      </w:r>
      <w:r>
        <w:rPr>
          <w:rStyle w:val="24"/>
          <w:rFonts w:ascii="仿宋_GB2312" w:eastAsia="仿宋_GB2312" w:hint="eastAsia"/>
          <w:b w:val="0"/>
          <w:color w:val="000000"/>
          <w:sz w:val="32"/>
          <w:szCs w:val="32"/>
        </w:rPr>
        <w:t>年</w:t>
      </w:r>
      <w:r>
        <w:rPr>
          <w:rStyle w:val="24"/>
          <w:rFonts w:ascii="仿宋_GB2312" w:eastAsia="仿宋_GB2312" w:hint="eastAsia"/>
          <w:b w:val="0"/>
          <w:color w:val="000000"/>
          <w:sz w:val="32"/>
          <w:szCs w:val="32"/>
          <w:lang w:eastAsia="zh-CN"/>
        </w:rPr>
        <w:t>基数调整</w:t>
      </w:r>
      <w:r>
        <w:rPr>
          <w:rStyle w:val="24"/>
          <w:rFonts w:ascii="仿宋_GB2312" w:eastAsia="仿宋_GB2312" w:hint="eastAsia"/>
          <w:b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Style w:val="24"/>
          <w:rFonts w:ascii="仿宋_GB2312" w:eastAsia="仿宋_GB2312" w:hint="eastAsia"/>
          <w:b w:val="0"/>
          <w:color w:val="000000"/>
          <w:sz w:val="32"/>
          <w:szCs w:val="32"/>
        </w:rPr>
      </w:pPr>
      <w:r>
        <w:rPr>
          <w:rStyle w:val="24"/>
          <w:rFonts w:ascii="仿宋_GB2312" w:eastAsia="仿宋_GB2312" w:hint="eastAsia"/>
          <w:color w:val="000000"/>
          <w:sz w:val="32"/>
          <w:szCs w:val="32"/>
        </w:rPr>
        <w:t>9.住房保障（类）221（款）02（项）01:</w:t>
      </w:r>
      <w:r>
        <w:rPr>
          <w:rStyle w:val="24"/>
          <w:rFonts w:ascii="仿宋_GB2312" w:eastAsia="仿宋_GB2312" w:hint="eastAsia"/>
          <w:b w:val="0"/>
          <w:color w:val="000000"/>
          <w:sz w:val="32"/>
          <w:szCs w:val="32"/>
        </w:rPr>
        <w:t>支出决算为</w:t>
      </w:r>
      <w:r>
        <w:rPr>
          <w:rStyle w:val="24"/>
          <w:rFonts w:ascii="仿宋_GB2312" w:eastAsia="仿宋_GB2312" w:hint="eastAsia"/>
          <w:b w:val="0"/>
          <w:color w:val="000000"/>
          <w:sz w:val="32"/>
          <w:szCs w:val="32"/>
          <w:lang w:val="en-US" w:eastAsia="zh-CN"/>
        </w:rPr>
        <w:t>11.47</w:t>
      </w:r>
      <w:r>
        <w:rPr>
          <w:rStyle w:val="24"/>
          <w:rFonts w:ascii="仿宋_GB2312" w:eastAsia="仿宋_GB2312" w:hint="eastAsia"/>
          <w:b w:val="0"/>
          <w:color w:val="000000"/>
          <w:sz w:val="32"/>
          <w:szCs w:val="32"/>
        </w:rPr>
        <w:t>万元，决算数比预算数</w:t>
      </w:r>
      <w:r>
        <w:rPr>
          <w:rStyle w:val="24"/>
          <w:rFonts w:ascii="仿宋_GB2312" w:eastAsia="仿宋_GB2312" w:hint="eastAsia"/>
          <w:b w:val="0"/>
          <w:color w:val="000000"/>
          <w:sz w:val="32"/>
          <w:szCs w:val="32"/>
          <w:lang w:eastAsia="zh-CN"/>
        </w:rPr>
        <w:t>减少</w:t>
      </w:r>
      <w:r>
        <w:rPr>
          <w:rStyle w:val="24"/>
          <w:rFonts w:ascii="仿宋_GB2312" w:eastAsia="仿宋_GB2312" w:hint="eastAsia"/>
          <w:b w:val="0"/>
          <w:color w:val="000000"/>
          <w:sz w:val="32"/>
          <w:szCs w:val="32"/>
          <w:lang w:val="en-US" w:eastAsia="zh-CN"/>
        </w:rPr>
        <w:t>11.08</w:t>
      </w:r>
      <w:r>
        <w:rPr>
          <w:rStyle w:val="24"/>
          <w:rFonts w:ascii="仿宋_GB2312" w:eastAsia="仿宋_GB2312" w:hint="eastAsia"/>
          <w:b w:val="0"/>
          <w:color w:val="000000"/>
          <w:sz w:val="32"/>
          <w:szCs w:val="32"/>
        </w:rPr>
        <w:t>万元，</w:t>
      </w:r>
      <w:r>
        <w:rPr>
          <w:rStyle w:val="24"/>
          <w:rFonts w:ascii="仿宋_GB2312" w:eastAsia="仿宋_GB2312" w:hint="eastAsia"/>
          <w:b w:val="0"/>
          <w:color w:val="000000"/>
          <w:sz w:val="32"/>
          <w:szCs w:val="32"/>
          <w:lang w:eastAsia="zh-CN"/>
        </w:rPr>
        <w:t>减少</w:t>
      </w:r>
      <w:r>
        <w:rPr>
          <w:rStyle w:val="24"/>
          <w:rFonts w:ascii="仿宋_GB2312" w:eastAsia="仿宋_GB2312" w:hint="eastAsia"/>
          <w:b w:val="0"/>
          <w:color w:val="000000"/>
          <w:sz w:val="32"/>
          <w:szCs w:val="32"/>
        </w:rPr>
        <w:t>原因为</w:t>
      </w:r>
      <w:r>
        <w:rPr>
          <w:rStyle w:val="24"/>
          <w:rFonts w:ascii="仿宋_GB2312" w:eastAsia="仿宋_GB2312" w:hint="eastAsia"/>
          <w:b w:val="0"/>
          <w:color w:val="000000"/>
          <w:sz w:val="32"/>
          <w:szCs w:val="32"/>
          <w:lang w:eastAsia="zh-CN"/>
        </w:rPr>
        <w:t>2022</w:t>
      </w:r>
      <w:r>
        <w:rPr>
          <w:rStyle w:val="24"/>
          <w:rFonts w:ascii="仿宋_GB2312" w:eastAsia="仿宋_GB2312" w:hint="eastAsia"/>
          <w:b w:val="0"/>
          <w:color w:val="000000"/>
          <w:sz w:val="32"/>
          <w:szCs w:val="32"/>
        </w:rPr>
        <w:t>年</w:t>
      </w:r>
      <w:r>
        <w:rPr>
          <w:rStyle w:val="24"/>
          <w:rFonts w:ascii="仿宋_GB2312" w:eastAsia="仿宋_GB2312" w:hint="eastAsia"/>
          <w:b w:val="0"/>
          <w:color w:val="000000"/>
          <w:sz w:val="32"/>
          <w:szCs w:val="32"/>
          <w:lang w:eastAsia="zh-CN"/>
        </w:rPr>
        <w:t>基数调整</w:t>
      </w:r>
      <w:r>
        <w:rPr>
          <w:rStyle w:val="24"/>
          <w:rFonts w:ascii="仿宋_GB2312" w:eastAsia="仿宋_GB2312" w:hint="eastAsia"/>
          <w:b w:val="0"/>
          <w:color w:val="000000"/>
          <w:sz w:val="32"/>
          <w:szCs w:val="32"/>
        </w:rPr>
        <w:t>。</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textAlignment w:val="auto"/>
        <w:outlineLvl w:val="1"/>
        <w:rPr>
          <w:rStyle w:val="2Char"/>
          <w:rFonts w:ascii="Times New Roman" w:cs="Times New Roman" w:hAnsi="Times New Roman"/>
        </w:rPr>
      </w:pPr>
      <w:r>
        <w:rPr>
          <w:rFonts w:ascii="Times New Roman" w:eastAsia="黑体" w:cs="Times New Roman" w:hAnsi="Times New Roman"/>
          <w:sz w:val="32"/>
          <w:szCs w:val="32"/>
        </w:rPr>
        <w:t>六</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般公共预算财政拨款基本支出决算情况说明</w:t>
      </w:r>
      <w:bookmarkEnd w:id="47"/>
      <w:bookmarkEnd w:id="48"/>
      <w:r>
        <w:rPr>
          <w:rStyle w:val="2Char"/>
          <w:rFonts w:ascii="Times New Roman" w:eastAsia="黑体" w:cs="Times New Roman" w:hAnsi="Times New Roman"/>
          <w:b w:val="0"/>
        </w:rPr>
        <w:tab/>
      </w:r>
      <w:bookmarkEnd w:id="49"/>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_GB2312" w:eastAsia="仿宋_GB2312" w:hint="eastAsia"/>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年度一般公共预算财政拨款基本支出</w:t>
      </w:r>
      <w:r>
        <w:rPr>
          <w:rFonts w:ascii="仿宋_GB2312" w:eastAsia="仿宋_GB2312" w:hint="eastAsia"/>
          <w:color w:val="000000"/>
          <w:sz w:val="32"/>
          <w:szCs w:val="32"/>
          <w:lang w:val="en-US" w:eastAsia="zh-CN"/>
        </w:rPr>
        <w:t>161.62</w:t>
      </w:r>
      <w:r>
        <w:rPr>
          <w:rFonts w:ascii="仿宋_GB2312" w:eastAsia="仿宋_GB2312" w:hint="eastAsia"/>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_GB2312" w:eastAsia="仿宋_GB2312" w:hint="eastAsia"/>
          <w:color w:val="000000"/>
          <w:sz w:val="32"/>
          <w:szCs w:val="32"/>
          <w:lang w:eastAsia="zh-CN"/>
        </w:rPr>
      </w:pPr>
      <w:r>
        <w:rPr>
          <w:rFonts w:ascii="仿宋_GB2312" w:eastAsia="仿宋_GB2312" w:hint="eastAsia"/>
          <w:color w:val="000000"/>
          <w:sz w:val="32"/>
          <w:szCs w:val="32"/>
        </w:rPr>
        <w:t>人员经费</w:t>
      </w:r>
      <w:r>
        <w:rPr>
          <w:rFonts w:ascii="仿宋_GB2312" w:eastAsia="仿宋_GB2312" w:hint="eastAsia"/>
          <w:color w:val="000000"/>
          <w:sz w:val="32"/>
          <w:szCs w:val="32"/>
          <w:lang w:val="en-US" w:eastAsia="zh-CN"/>
        </w:rPr>
        <w:t>153.41</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32.5</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39.01</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30.6</w:t>
      </w:r>
      <w:r>
        <w:rPr>
          <w:rFonts w:ascii="仿宋_GB2312" w:eastAsia="仿宋_GB2312" w:hint="eastAsia"/>
          <w:color w:val="000000"/>
          <w:sz w:val="32"/>
          <w:szCs w:val="32"/>
        </w:rPr>
        <w:t>万元、机关事业单位基本养老保险缴费</w:t>
      </w:r>
      <w:r>
        <w:rPr>
          <w:rFonts w:ascii="仿宋_GB2312" w:eastAsia="仿宋_GB2312" w:hint="eastAsia"/>
          <w:color w:val="000000"/>
          <w:sz w:val="32"/>
          <w:szCs w:val="32"/>
          <w:lang w:val="en-US" w:eastAsia="zh-CN"/>
        </w:rPr>
        <w:t>16.3</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8.2</w:t>
      </w:r>
      <w:r>
        <w:rPr>
          <w:rFonts w:ascii="仿宋_GB2312" w:eastAsia="仿宋_GB2312" w:hint="eastAsia"/>
          <w:color w:val="000000"/>
          <w:sz w:val="32"/>
          <w:szCs w:val="32"/>
        </w:rPr>
        <w:t>万元、职工基本医疗保险</w:t>
      </w:r>
      <w:r>
        <w:rPr>
          <w:rFonts w:ascii="仿宋_GB2312" w:eastAsia="仿宋_GB2312" w:hint="eastAsia"/>
          <w:color w:val="000000"/>
          <w:sz w:val="32"/>
          <w:szCs w:val="32"/>
          <w:lang w:val="en-US" w:eastAsia="zh-CN"/>
        </w:rPr>
        <w:t>7.92</w:t>
      </w:r>
      <w:r>
        <w:rPr>
          <w:rFonts w:ascii="仿宋_GB2312" w:eastAsia="仿宋_GB2312" w:hint="eastAsia"/>
          <w:color w:val="000000"/>
          <w:sz w:val="32"/>
          <w:szCs w:val="32"/>
        </w:rPr>
        <w:t>万元、其他社会保障缴费</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13.6</w:t>
      </w:r>
      <w:r>
        <w:rPr>
          <w:rFonts w:ascii="仿宋_GB2312" w:eastAsia="仿宋_GB2312" w:hint="eastAsia"/>
          <w:color w:val="000000"/>
          <w:sz w:val="32"/>
          <w:szCs w:val="32"/>
        </w:rPr>
        <w:t>万元、公务员医疗补助缴费</w:t>
      </w:r>
      <w:r>
        <w:rPr>
          <w:rFonts w:ascii="仿宋_GB2312" w:eastAsia="仿宋_GB2312" w:hint="eastAsia"/>
          <w:color w:val="000000"/>
          <w:sz w:val="32"/>
          <w:szCs w:val="32"/>
          <w:lang w:val="en-US" w:eastAsia="zh-CN"/>
        </w:rPr>
        <w:t>1.5</w:t>
      </w:r>
      <w:r>
        <w:rPr>
          <w:rFonts w:ascii="仿宋_GB2312" w:eastAsia="仿宋_GB2312" w:hint="eastAsia"/>
          <w:color w:val="000000"/>
          <w:sz w:val="32"/>
          <w:szCs w:val="32"/>
        </w:rPr>
        <w:t>等。</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_GB2312" w:eastAsia="仿宋_GB2312" w:hint="eastAsia"/>
          <w:color w:val="000000"/>
          <w:sz w:val="32"/>
          <w:szCs w:val="32"/>
        </w:rPr>
      </w:pPr>
      <w:r>
        <w:rPr>
          <w:rFonts w:ascii="仿宋_GB2312" w:eastAsia="仿宋_GB2312" w:hint="eastAsia"/>
          <w:color w:val="000000"/>
          <w:sz w:val="32"/>
          <w:szCs w:val="32"/>
        </w:rPr>
        <w:t>公用经费</w:t>
      </w:r>
      <w:r>
        <w:rPr>
          <w:rFonts w:ascii="仿宋_GB2312" w:eastAsia="仿宋_GB2312" w:hint="eastAsia"/>
          <w:color w:val="000000"/>
          <w:sz w:val="32"/>
          <w:szCs w:val="32"/>
          <w:lang w:val="en-US" w:eastAsia="zh-CN"/>
        </w:rPr>
        <w:t>8.21</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3.01</w:t>
      </w:r>
      <w:r>
        <w:rPr>
          <w:rFonts w:ascii="仿宋_GB2312" w:eastAsia="仿宋_GB2312" w:hint="eastAsia"/>
          <w:color w:val="000000"/>
          <w:sz w:val="32"/>
          <w:szCs w:val="32"/>
        </w:rPr>
        <w:t>万元、水费</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1.5</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2.7</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3.7</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劳务</w:t>
      </w:r>
      <w:r>
        <w:rPr>
          <w:rFonts w:ascii="仿宋_GB2312" w:eastAsia="仿宋_GB2312" w:hint="eastAsia"/>
          <w:color w:val="000000"/>
          <w:sz w:val="32"/>
          <w:szCs w:val="32"/>
        </w:rPr>
        <w:t>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_GB2312" w:eastAsia="仿宋_GB2312" w:hint="eastAsia"/>
          <w:color w:val="000000"/>
          <w:sz w:val="32"/>
          <w:szCs w:val="32"/>
          <w:lang w:val="en-US" w:eastAsia="zh-CN"/>
        </w:rPr>
      </w:pPr>
      <w:r>
        <w:rPr>
          <w:rFonts w:ascii="仿宋_GB2312" w:eastAsia="仿宋_GB2312" w:hint="eastAsia"/>
          <w:color w:val="000000"/>
          <w:sz w:val="32"/>
          <w:szCs w:val="32"/>
        </w:rPr>
        <w:t>项目经费0.188万元，主要</w:t>
      </w:r>
      <w:r>
        <w:rPr>
          <w:rFonts w:ascii="仿宋_GB2312" w:eastAsia="仿宋_GB2312" w:hint="eastAsia"/>
          <w:color w:val="000000"/>
          <w:sz w:val="32"/>
          <w:szCs w:val="32"/>
          <w:lang w:val="en-US" w:eastAsia="zh-CN"/>
        </w:rPr>
        <w:t>用于学法普法业务能力提升培训等。</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Style w:val="2Char"/>
          <w:rFonts w:ascii="Times New Roman" w:eastAsia="黑体" w:cs="Times New Roman" w:hAnsi="Times New Roman"/>
          <w:b w:val="0"/>
        </w:rPr>
      </w:pPr>
      <w:bookmarkStart w:id="50" w:name="_Toc15396609"/>
      <w:bookmarkStart w:id="51" w:name="_Toc26843618"/>
      <w:bookmarkStart w:id="52" w:name="_Toc15377215"/>
      <w:r>
        <w:rPr>
          <w:rFonts w:ascii="Times New Roman" w:eastAsia="黑体" w:cs="Times New Roman" w:hAnsi="Times New Roman"/>
          <w:sz w:val="32"/>
          <w:szCs w:val="32"/>
        </w:rPr>
        <w:t>七、</w:t>
      </w:r>
      <w:r>
        <w:rPr>
          <w:rStyle w:val="2Char"/>
          <w:rFonts w:ascii="Times New Roman" w:eastAsia="黑体" w:cs="Times New Roman" w:hAnsi="Times New Roman"/>
        </w:rPr>
        <w:t>“</w:t>
      </w:r>
      <w:r>
        <w:rPr>
          <w:rStyle w:val="2Char"/>
          <w:rFonts w:ascii="Times New Roman" w:eastAsia="黑体" w:cs="Times New Roman" w:hAnsi="Times New Roman"/>
          <w:b w:val="0"/>
        </w:rPr>
        <w:t>三公”经费财政拨款支出决算情况说明</w:t>
      </w:r>
      <w:bookmarkEnd w:id="50"/>
      <w:bookmarkEnd w:id="51"/>
      <w:bookmarkEnd w:id="52"/>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2"/>
        <w:rPr>
          <w:rFonts w:ascii="Times New Roman" w:eastAsia="仿宋" w:cs="Times New Roman" w:hAnsi="Times New Roman"/>
          <w:b/>
          <w:sz w:val="32"/>
          <w:szCs w:val="32"/>
        </w:rPr>
      </w:pPr>
      <w:bookmarkStart w:id="53" w:name="_Toc15377216"/>
      <w:r>
        <w:rPr>
          <w:rFonts w:ascii="Times New Roman" w:eastAsia="仿宋" w:cs="Times New Roman" w:hAnsi="Times New Roman"/>
          <w:b/>
          <w:sz w:val="32"/>
          <w:szCs w:val="32"/>
        </w:rPr>
        <w:t>（一）“三公”经费财政拨款支出决算总体情况说明</w:t>
      </w:r>
      <w:bookmarkEnd w:id="53"/>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eastAsia="仿宋_GB2312" w:cs="Times New Roman" w:hAnsi="Times New Roman" w:hint="eastAsia"/>
          <w:sz w:val="32"/>
          <w:szCs w:val="32"/>
          <w:lang w:eastAsia="zh-C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年“三公”经费财政拨款支出决算为</w:t>
      </w:r>
      <w:r>
        <w:rPr>
          <w:rFonts w:eastAsia="仿宋_GB2312" w:cs="Times New Roman" w:hint="eastAsia"/>
          <w:sz w:val="32"/>
          <w:szCs w:val="32"/>
          <w:lang w:val="en-US" w:eastAsia="zh-CN"/>
        </w:rPr>
        <w:t>3.7</w:t>
      </w:r>
      <w:r>
        <w:rPr>
          <w:rFonts w:ascii="Times New Roman" w:eastAsia="仿宋_GB2312" w:cs="Times New Roman" w:hAnsi="Times New Roman"/>
          <w:sz w:val="32"/>
          <w:szCs w:val="32"/>
        </w:rPr>
        <w:t>万元，完成预算</w:t>
      </w:r>
      <w:r>
        <w:rPr>
          <w:rFonts w:eastAsia="仿宋_GB2312" w:cs="Times New Roman" w:hint="eastAsia"/>
          <w:sz w:val="32"/>
          <w:szCs w:val="32"/>
          <w:lang w:val="en-US" w:eastAsia="zh-CN"/>
        </w:rPr>
        <w:t>100</w:t>
      </w:r>
      <w:r>
        <w:rPr>
          <w:rFonts w:ascii="Times New Roman" w:eastAsia="仿宋_GB2312" w:cs="Times New Roman" w:hAnsi="Times New Roman"/>
          <w:sz w:val="32"/>
          <w:szCs w:val="32"/>
        </w:rPr>
        <w:t>%</w:t>
      </w:r>
      <w:r>
        <w:rPr>
          <w:rFonts w:eastAsia="仿宋_GB2312" w:cs="Times New Roman" w:hint="eastAsia"/>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2"/>
        <w:rPr>
          <w:rFonts w:ascii="Times New Roman" w:eastAsia="仿宋" w:cs="Times New Roman" w:hAnsi="Times New Roman"/>
          <w:b/>
          <w:sz w:val="32"/>
          <w:szCs w:val="32"/>
        </w:rPr>
      </w:pPr>
      <w:bookmarkStart w:id="54" w:name="_Toc15377217"/>
      <w:r>
        <w:rPr>
          <w:rFonts w:ascii="Times New Roman" w:eastAsia="仿宋" w:cs="Times New Roman" w:hAnsi="Times New Roman"/>
          <w:b/>
          <w:sz w:val="32"/>
          <w:szCs w:val="32"/>
        </w:rPr>
        <w:t>（二）“三公”经费财政拨款支出决算具体情况说明</w:t>
      </w:r>
      <w:bookmarkEnd w:id="54"/>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eastAsia="仿宋" w:cs="Times New Roman" w:hAnsi="Times New Roman"/>
          <w:color w:val="auto"/>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年“三公”经费财政拨款支出决算中，因公出国（境）费支出决算0万元，占0%；公务用车购置及运行维护费支出决算</w:t>
      </w:r>
      <w:r>
        <w:rPr>
          <w:rFonts w:eastAsia="仿宋_GB2312" w:cs="Times New Roman" w:hint="eastAsia"/>
          <w:sz w:val="32"/>
          <w:szCs w:val="32"/>
          <w:lang w:val="en-US" w:eastAsia="zh-CN"/>
        </w:rPr>
        <w:t>3.7</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100</w:t>
      </w:r>
      <w:r>
        <w:rPr>
          <w:rFonts w:ascii="Times New Roman" w:eastAsia="仿宋_GB2312" w:cs="Times New Roman" w:hAnsi="Times New Roman"/>
          <w:sz w:val="32"/>
          <w:szCs w:val="32"/>
        </w:rPr>
        <w:t>%；公务接待费支出决算</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w:t>
      </w:r>
      <w:r>
        <w:rPr>
          <w:rFonts w:ascii="Times New Roman" w:eastAsia="仿宋" w:cs="Times New Roman" w:hAnsi="Times New Roman"/>
          <w:sz w:val="32"/>
          <w:szCs w:val="32"/>
        </w:rPr>
        <w:t>元，占0%。具体情况如下：</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b/>
          <w:sz w:val="32"/>
          <w:szCs w:val="32"/>
        </w:rPr>
      </w:pPr>
      <w:r>
        <w:rPr>
          <w:rFonts w:ascii="Times New Roman" w:eastAsia="仿宋_GB2312" w:cs="Times New Roman" w:hAnsi="Times New Roman"/>
          <w:b/>
          <w:sz w:val="32"/>
          <w:szCs w:val="32"/>
        </w:rPr>
        <w:t>1.</w:t>
      </w:r>
      <w:r>
        <w:rPr>
          <w:rFonts w:ascii="Times New Roman" w:eastAsia="仿宋_GB2312" w:cs="Times New Roman" w:hAnsi="Times New Roman"/>
          <w:b/>
          <w:bCs/>
          <w:sz w:val="32"/>
          <w:szCs w:val="32"/>
        </w:rPr>
        <w:t>因公出国（境）经费支出</w:t>
      </w:r>
      <w:r>
        <w:rPr>
          <w:rFonts w:ascii="Times New Roman" w:eastAsia="仿宋_GB2312" w:cs="Times New Roman" w:hAnsi="Times New Roman"/>
          <w:sz w:val="32"/>
          <w:szCs w:val="32"/>
        </w:rPr>
        <w:t>0万元，</w:t>
      </w:r>
      <w:r>
        <w:rPr>
          <w:rFonts w:ascii="Times New Roman" w:eastAsia="仿宋_GB2312" w:cs="Times New Roman" w:hAnsi="Times New Roman"/>
          <w:bCs/>
          <w:sz w:val="32"/>
          <w:szCs w:val="32"/>
        </w:rPr>
        <w:t>完成预算100%。</w:t>
      </w:r>
      <w:r>
        <w:rPr>
          <w:rFonts w:ascii="Times New Roman" w:eastAsia="仿宋_GB2312" w:cs="Times New Roman" w:hAnsi="Times New Roman"/>
          <w:sz w:val="32"/>
          <w:szCs w:val="32"/>
        </w:rPr>
        <w:t>全年安排因公出国（境）团组0次，出国（境）0人。因公出国（境）支出决算比202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年持平。</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eastAsia="仿宋_GB2312" w:cs="Times New Roman" w:hAnsi="Times New Roman"/>
          <w:b/>
          <w:sz w:val="32"/>
          <w:szCs w:val="32"/>
        </w:rPr>
      </w:pPr>
      <w:r>
        <w:rPr>
          <w:rFonts w:ascii="Times New Roman" w:eastAsia="仿宋_GB2312" w:cs="Times New Roman" w:hAnsi="Times New Roman"/>
          <w:b/>
          <w:sz w:val="32"/>
          <w:szCs w:val="32"/>
        </w:rPr>
        <w:t>2.公务用车购置及运行维护费支出</w:t>
      </w:r>
      <w:r>
        <w:rPr>
          <w:rFonts w:eastAsia="仿宋_GB2312" w:cs="Times New Roman" w:hint="eastAsia"/>
          <w:b/>
          <w:sz w:val="32"/>
          <w:szCs w:val="32"/>
          <w:lang w:val="en-US" w:eastAsia="zh-CN"/>
        </w:rPr>
        <w:t>3.7</w:t>
      </w:r>
      <w:r>
        <w:rPr>
          <w:rFonts w:ascii="Times New Roman" w:eastAsia="仿宋_GB2312" w:cs="Times New Roman" w:hAnsi="Times New Roman"/>
          <w:sz w:val="32"/>
          <w:szCs w:val="32"/>
        </w:rPr>
        <w:t>万元,</w:t>
      </w:r>
      <w:r>
        <w:rPr>
          <w:rStyle w:val="24"/>
          <w:rFonts w:ascii="Times New Roman" w:eastAsia="仿宋" w:cs="Times New Roman" w:hAnsi="Times New Roman"/>
          <w:b w:val="0"/>
          <w:bCs/>
          <w:sz w:val="32"/>
          <w:szCs w:val="32"/>
        </w:rPr>
        <w:t>完成预算</w:t>
      </w:r>
      <w:r>
        <w:rPr>
          <w:rStyle w:val="24"/>
          <w:rFonts w:eastAsia="仿宋" w:cs="Times New Roman" w:hint="eastAsia"/>
          <w:b w:val="0"/>
          <w:bCs/>
          <w:sz w:val="32"/>
          <w:szCs w:val="32"/>
          <w:lang w:val="en-US" w:eastAsia="zh-CN"/>
        </w:rPr>
        <w:t>100</w:t>
      </w:r>
      <w:r>
        <w:rPr>
          <w:rStyle w:val="24"/>
          <w:rFonts w:ascii="Times New Roman" w:eastAsia="仿宋" w:cs="Times New Roman" w:hAnsi="Times New Roman"/>
          <w:b w:val="0"/>
          <w:bCs/>
          <w:sz w:val="32"/>
          <w:szCs w:val="32"/>
        </w:rPr>
        <w:t>%。</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lang w:eastAsia="zh-CN"/>
        </w:rPr>
        <w:t>与</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cs="仿宋" w:hint="eastAsia"/>
          <w:color w:val="000000"/>
          <w:sz w:val="32"/>
          <w:szCs w:val="32"/>
          <w:lang w:val="en-US" w:eastAsia="zh-CN"/>
        </w:rPr>
        <w:t>持平。</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b/>
          <w:sz w:val="32"/>
          <w:szCs w:val="32"/>
        </w:rPr>
      </w:pPr>
      <w:r>
        <w:rPr>
          <w:rFonts w:ascii="Times New Roman" w:eastAsia="仿宋_GB2312" w:cs="Times New Roman" w:hAnsi="Times New Roman"/>
          <w:sz w:val="32"/>
          <w:szCs w:val="32"/>
        </w:rPr>
        <w:t>其中：</w:t>
      </w:r>
      <w:r>
        <w:rPr>
          <w:rFonts w:ascii="Times New Roman" w:eastAsia="仿宋_GB2312" w:cs="Times New Roman" w:hAnsi="Times New Roman"/>
          <w:b/>
          <w:sz w:val="32"/>
          <w:szCs w:val="32"/>
        </w:rPr>
        <w:t>公务用车购置支出</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万元。全年按规定更新购置公务用车</w:t>
      </w:r>
      <w:r>
        <w:rPr>
          <w:rFonts w:eastAsia="仿宋_GB2312" w:cs="Times New Roman" w:hint="eastAsia"/>
          <w:sz w:val="32"/>
          <w:szCs w:val="32"/>
          <w:lang w:val="en-US" w:eastAsia="zh-CN"/>
        </w:rPr>
        <w:t>0</w:t>
      </w:r>
      <w:r>
        <w:rPr>
          <w:rFonts w:ascii="Times New Roman" w:eastAsia="仿宋_GB2312" w:cs="Times New Roman" w:hAnsi="Times New Roman"/>
          <w:sz w:val="32"/>
          <w:szCs w:val="32"/>
        </w:rPr>
        <w:t>辆，</w:t>
      </w:r>
      <w:r>
        <w:rPr>
          <w:rFonts w:ascii="仿宋_GB2312" w:eastAsia="仿宋_GB2312" w:hint="eastAsia"/>
          <w:color w:val="000000"/>
          <w:sz w:val="32"/>
          <w:szCs w:val="32"/>
        </w:rPr>
        <w:t>截至</w:t>
      </w:r>
      <w:r>
        <w:rPr>
          <w:rFonts w:ascii="仿宋_GB2312" w:eastAsia="仿宋_GB2312" w:hint="eastAsia"/>
          <w:color w:val="000000"/>
          <w:sz w:val="32"/>
          <w:szCs w:val="32"/>
          <w:lang w:val="en-US"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w:t>
      </w:r>
      <w:r>
        <w:rPr>
          <w:rFonts w:ascii="Times New Roman" w:eastAsia="仿宋_GB2312" w:cs="Times New Roman" w:hAnsi="Times New Roman"/>
          <w:sz w:val="32"/>
          <w:szCs w:val="32"/>
        </w:rPr>
        <w:t>其中：越野车</w:t>
      </w:r>
      <w:r>
        <w:rPr>
          <w:rFonts w:eastAsia="仿宋_GB2312" w:cs="Times New Roman" w:hint="eastAsia"/>
          <w:sz w:val="32"/>
          <w:szCs w:val="32"/>
          <w:lang w:val="en-US" w:eastAsia="zh-CN"/>
        </w:rPr>
        <w:t>1</w:t>
      </w:r>
      <w:r>
        <w:rPr>
          <w:rFonts w:ascii="Times New Roman" w:eastAsia="仿宋_GB2312" w:cs="Times New Roman" w:hAnsi="Times New Roman"/>
          <w:sz w:val="32"/>
          <w:szCs w:val="32"/>
        </w:rPr>
        <w:t>辆。</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hint="eastAsia"/>
          <w:color w:val="000000"/>
          <w:sz w:val="32"/>
          <w:szCs w:val="32"/>
        </w:rPr>
      </w:pPr>
      <w:r>
        <w:rPr>
          <w:rFonts w:ascii="Times New Roman" w:eastAsia="仿宋_GB2312" w:cs="Times New Roman" w:hAnsi="Times New Roman"/>
          <w:b/>
          <w:bCs/>
          <w:sz w:val="32"/>
          <w:szCs w:val="32"/>
        </w:rPr>
        <w:t>公务用车运行维护费支出</w:t>
      </w:r>
      <w:r>
        <w:rPr>
          <w:rFonts w:eastAsia="仿宋_GB2312" w:cs="Times New Roman" w:hint="eastAsia"/>
          <w:b/>
          <w:bCs/>
          <w:sz w:val="32"/>
          <w:szCs w:val="32"/>
          <w:lang w:val="en-US" w:eastAsia="zh-CN"/>
        </w:rPr>
        <w:t>3.7</w:t>
      </w:r>
      <w:r>
        <w:rPr>
          <w:rFonts w:ascii="Times New Roman" w:eastAsia="仿宋_GB2312" w:cs="Times New Roman" w:hAnsi="Times New Roman"/>
          <w:sz w:val="32"/>
          <w:szCs w:val="32"/>
        </w:rPr>
        <w:t>万元。</w:t>
      </w:r>
      <w:r>
        <w:rPr>
          <w:rFonts w:ascii="仿宋_GB2312" w:eastAsia="仿宋_GB2312" w:hint="eastAsia"/>
          <w:color w:val="000000"/>
          <w:sz w:val="32"/>
          <w:szCs w:val="32"/>
        </w:rPr>
        <w:t>主要用</w:t>
      </w:r>
      <w:r>
        <w:rPr>
          <w:rFonts w:ascii="仿宋_GB2312" w:eastAsia="仿宋_GB2312" w:hint="eastAsia"/>
          <w:color w:val="000000"/>
          <w:sz w:val="32"/>
          <w:szCs w:val="32"/>
          <w:lang w:val="en-US" w:eastAsia="zh-CN"/>
        </w:rPr>
        <w:t>我乡</w:t>
      </w:r>
      <w:r>
        <w:rPr>
          <w:rFonts w:ascii="仿宋_GB2312" w:eastAsia="仿宋_GB2312" w:hint="eastAsia"/>
          <w:color w:val="000000"/>
          <w:sz w:val="32"/>
          <w:szCs w:val="32"/>
        </w:rPr>
        <w:t>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仿宋" w:hint="eastAsia"/>
          <w:color w:val="000000"/>
          <w:sz w:val="32"/>
          <w:szCs w:val="32"/>
          <w:lang w:val="en-US" w:eastAsia="zh-CN"/>
        </w:rPr>
      </w:pPr>
      <w:r>
        <w:rPr>
          <w:rFonts w:eastAsia="仿宋_GB2312" w:cs="Times New Roman" w:hint="eastAsia"/>
          <w:b/>
          <w:sz w:val="32"/>
          <w:szCs w:val="32"/>
          <w:lang w:val="en-US" w:eastAsia="zh-CN"/>
        </w:rPr>
        <w:t>3.</w:t>
      </w:r>
      <w:r>
        <w:rPr>
          <w:rFonts w:ascii="Times New Roman" w:eastAsia="仿宋_GB2312" w:cs="Times New Roman" w:hAnsi="Times New Roman"/>
          <w:b/>
          <w:sz w:val="32"/>
          <w:szCs w:val="32"/>
        </w:rPr>
        <w:t>公务接待费支出</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cs="仿宋" w:hint="eastAsia"/>
          <w:color w:val="000000"/>
          <w:sz w:val="32"/>
          <w:szCs w:val="32"/>
          <w:lang w:val="en-US" w:eastAsia="zh-CN"/>
        </w:rPr>
        <w:t>公务接待费</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eastAsia="仿宋_GB2312" w:cs="仿宋" w:hint="eastAsia"/>
          <w:color w:val="000000"/>
          <w:sz w:val="32"/>
          <w:szCs w:val="32"/>
          <w:lang w:val="en-US" w:eastAsia="zh-CN"/>
        </w:rPr>
      </w:pPr>
      <w:r>
        <w:rPr>
          <w:rFonts w:ascii="仿宋_GB2312" w:eastAsia="仿宋_GB2312" w:cs="仿宋" w:hint="eastAsia"/>
          <w:color w:val="000000"/>
          <w:sz w:val="32"/>
          <w:szCs w:val="32"/>
          <w:lang w:val="en-US" w:eastAsia="zh-CN"/>
        </w:rPr>
        <w:t>0万元，与上年持平。</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sz w:val="32"/>
          <w:szCs w:val="32"/>
        </w:rPr>
      </w:pPr>
      <w:r>
        <w:rPr>
          <w:rFonts w:ascii="Times New Roman" w:eastAsia="仿宋" w:cs="Times New Roman" w:hAnsi="Times New Roman"/>
          <w:b/>
          <w:sz w:val="32"/>
          <w:szCs w:val="32"/>
        </w:rPr>
        <w:t>外事接待支出</w:t>
      </w:r>
      <w:r>
        <w:rPr>
          <w:rFonts w:ascii="Times New Roman" w:eastAsia="仿宋" w:cs="Times New Roman" w:hAnsi="Times New Roman"/>
          <w:sz w:val="32"/>
          <w:szCs w:val="32"/>
        </w:rPr>
        <w:t>0</w:t>
      </w:r>
      <w:r>
        <w:rPr>
          <w:rFonts w:ascii="Times New Roman" w:eastAsia="仿宋_GB2312" w:cs="Times New Roman" w:hAnsi="Times New Roman"/>
          <w:sz w:val="32"/>
          <w:szCs w:val="32"/>
        </w:rPr>
        <w:t>万元，外事接待0批次，0人，共计支出0万元</w:t>
      </w:r>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rPr>
      </w:pPr>
      <w:bookmarkStart w:id="55" w:name="_Toc26843619"/>
      <w:bookmarkStart w:id="56" w:name="_Toc15396610"/>
      <w:bookmarkStart w:id="57" w:name="_Toc15377218"/>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55"/>
      <w:bookmarkEnd w:id="56"/>
      <w:bookmarkEnd w:id="57"/>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年政府性基金预算财政拨款支出0万元。</w:t>
      </w: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58" w:name="_Toc15377219"/>
      <w:bookmarkStart w:id="59" w:name="_Toc15396611"/>
      <w:bookmarkStart w:id="60" w:name="_Toc26843620"/>
      <w:r>
        <w:rPr>
          <w:rStyle w:val="2Char"/>
          <w:rFonts w:ascii="Times New Roman" w:eastAsia="黑体" w:cs="Times New Roman" w:hAnsi="Times New Roman"/>
          <w:b w:val="0"/>
        </w:rPr>
        <w:t>国有资本经营预算支出决算情况说明</w:t>
      </w:r>
      <w:bookmarkEnd w:id="58"/>
      <w:bookmarkEnd w:id="59"/>
      <w:bookmarkEnd w:id="60"/>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年国有资本经营预算财政拨款支出0万元。</w:t>
      </w:r>
    </w:p>
    <w:p>
      <w:pPr>
        <w:pageBreakBefore w:val="0"/>
        <w:widowControl w:val="0"/>
        <w:tabs>
          <w:tab w:val="left" w:pos="0"/>
        </w:tabs>
        <w:kinsoku/>
        <w:wordWrap/>
        <w:overflowPunct/>
        <w:topLinePunct w:val="0"/>
        <w:bidi w:val="0"/>
        <w:spacing w:line="576" w:lineRule="exact"/>
        <w:ind w:left="0" w:firstLineChars="200" w:firstLine="640"/>
        <w:outlineLvl w:val="1"/>
        <w:rPr>
          <w:rStyle w:val="2Char"/>
          <w:rFonts w:ascii="Times New Roman" w:eastAsia="黑体" w:cs="Times New Roman" w:hAnsi="Times New Roman"/>
          <w:b w:val="0"/>
        </w:rPr>
      </w:pPr>
      <w:bookmarkStart w:id="61" w:name="_Toc15377221"/>
      <w:bookmarkStart w:id="62" w:name="_Toc15396612"/>
      <w:bookmarkStart w:id="63" w:name="_Toc26843621"/>
      <w:r>
        <w:rPr>
          <w:rStyle w:val="2Char"/>
          <w:rFonts w:eastAsia="黑体" w:cs="Times New Roman" w:hint="eastAsia"/>
          <w:b w:val="0"/>
        </w:rPr>
        <w:t>十、</w:t>
      </w:r>
      <w:r>
        <w:rPr>
          <w:rStyle w:val="2Char"/>
          <w:rFonts w:ascii="Times New Roman" w:eastAsia="黑体" w:cs="Times New Roman" w:hAnsi="Times New Roman"/>
          <w:b w:val="0"/>
        </w:rPr>
        <w:t>其他重要事项的情况说明</w:t>
      </w:r>
      <w:bookmarkEnd w:id="61"/>
      <w:bookmarkEnd w:id="62"/>
      <w:bookmarkEnd w:id="63"/>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64" w:name="_Toc15377222"/>
      <w:r>
        <w:rPr>
          <w:rFonts w:ascii="Times New Roman" w:eastAsia="仿宋" w:cs="Times New Roman" w:hAnsi="Times New Roman"/>
          <w:b/>
          <w:sz w:val="32"/>
          <w:szCs w:val="32"/>
        </w:rPr>
        <w:t>（一）机关运行经费支出情况</w:t>
      </w:r>
      <w:bookmarkEnd w:id="64"/>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ascii="仿宋_GB2312" w:eastAsia="仿宋_GB2312" w:hint="eastAsia"/>
          <w:color w:val="000000"/>
          <w:sz w:val="32"/>
          <w:szCs w:val="32"/>
          <w:lang w:val="en-US" w:eastAsia="zh-CN"/>
          <w:highlight w:val="auto"/>
        </w:rPr>
        <w:t>我中心</w:t>
      </w:r>
      <w:r>
        <w:rPr>
          <w:rFonts w:ascii="仿宋_GB2312" w:eastAsia="仿宋_GB2312" w:hint="eastAsia"/>
          <w:color w:val="000000"/>
          <w:sz w:val="32"/>
          <w:szCs w:val="32"/>
          <w:highlight w:val="auto"/>
        </w:rPr>
        <w:t>运行经费支出</w:t>
      </w:r>
      <w:r>
        <w:rPr>
          <w:rFonts w:ascii="仿宋_GB2312" w:eastAsia="仿宋_GB2312" w:hint="eastAsia"/>
          <w:color w:val="000000"/>
          <w:sz w:val="32"/>
          <w:szCs w:val="32"/>
          <w:lang w:val="en-US" w:eastAsia="zh-CN"/>
          <w:highlight w:val="auto"/>
        </w:rPr>
        <w:t>8.21</w:t>
      </w:r>
      <w:r>
        <w:rPr>
          <w:rFonts w:ascii="仿宋_GB2312" w:eastAsia="仿宋_GB2312" w:hint="eastAsia"/>
          <w:color w:val="000000"/>
          <w:sz w:val="32"/>
          <w:szCs w:val="32"/>
          <w:highlight w:val="auto"/>
        </w:rPr>
        <w:t>万元</w:t>
      </w:r>
      <w:r>
        <w:rPr>
          <w:rFonts w:ascii="仿宋_GB2312" w:eastAsia="仿宋_GB2312" w:hint="eastAsia"/>
          <w:color w:val="000000"/>
          <w:sz w:val="32"/>
          <w:szCs w:val="32"/>
          <w:lang w:eastAsia="zh-CN"/>
          <w:highlight w:val="auto"/>
        </w:rPr>
        <w:t>与</w:t>
      </w:r>
      <w:r>
        <w:rPr>
          <w:rFonts w:ascii="仿宋_GB2312" w:eastAsia="仿宋_GB2312"/>
          <w:color w:val="000000"/>
          <w:sz w:val="32"/>
          <w:szCs w:val="32"/>
          <w:highlight w:val="auto"/>
        </w:rPr>
        <w:t>20</w:t>
      </w:r>
      <w:r>
        <w:rPr>
          <w:rFonts w:ascii="仿宋_GB2312" w:eastAsia="仿宋_GB2312" w:hint="eastAsia"/>
          <w:color w:val="000000"/>
          <w:sz w:val="32"/>
          <w:szCs w:val="32"/>
          <w:lang w:val="en-US" w:eastAsia="zh-CN"/>
          <w:highlight w:val="auto"/>
        </w:rPr>
        <w:t>21</w:t>
      </w:r>
      <w:r>
        <w:rPr>
          <w:rFonts w:ascii="仿宋_GB2312" w:eastAsia="仿宋_GB2312" w:hint="eastAsia"/>
          <w:color w:val="000000"/>
          <w:sz w:val="32"/>
          <w:szCs w:val="32"/>
          <w:highlight w:val="auto"/>
        </w:rPr>
        <w:t>年</w:t>
      </w:r>
      <w:r>
        <w:rPr>
          <w:rFonts w:ascii="仿宋_GB2312" w:eastAsia="仿宋_GB2312" w:hint="eastAsia"/>
          <w:color w:val="000000"/>
          <w:sz w:val="32"/>
          <w:szCs w:val="32"/>
          <w:lang w:val="en-US" w:eastAsia="zh-CN"/>
          <w:highlight w:val="auto"/>
        </w:rPr>
        <w:t>增加-15.49万元，增长-65.37%</w:t>
      </w:r>
      <w:r>
        <w:rPr>
          <w:rFonts w:ascii="仿宋_GB2312" w:eastAsia="仿宋_GB2312" w:hint="eastAsia"/>
          <w:color w:val="000000"/>
          <w:sz w:val="32"/>
          <w:szCs w:val="32"/>
          <w:lang w:eastAsia="zh-CN"/>
          <w:highlight w:val="auto"/>
        </w:rPr>
        <w:t>。</w:t>
      </w:r>
      <w:r>
        <w:rPr>
          <w:rFonts w:ascii="仿宋_GB2312" w:eastAsia="仿宋_GB2312" w:hint="eastAsia"/>
          <w:color w:val="000000"/>
          <w:sz w:val="32"/>
          <w:szCs w:val="32"/>
          <w:lang w:val="en-US" w:eastAsia="zh-CN"/>
          <w:highlight w:val="auto"/>
        </w:rPr>
        <w:t>主要原因人员减少。</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65" w:name="_Toc15377223"/>
      <w:r>
        <w:rPr>
          <w:rFonts w:ascii="Times New Roman" w:eastAsia="仿宋" w:cs="Times New Roman" w:hAnsi="Times New Roman"/>
          <w:b/>
          <w:sz w:val="32"/>
          <w:szCs w:val="32"/>
        </w:rPr>
        <w:t>（二）政府采购支出情况</w:t>
      </w:r>
      <w:bookmarkEnd w:id="65"/>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仿宋_GB2312" w:eastAsia="仿宋_GB2312" w:hint="eastAsia"/>
          <w:color w:val="auto"/>
          <w:sz w:val="32"/>
          <w:szCs w:val="32"/>
          <w:lang w:val="en-US" w:eastAsia="zh-CN"/>
        </w:rPr>
      </w:pPr>
      <w:bookmarkStart w:id="66" w:name="_Toc15377224"/>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auto"/>
          <w:sz w:val="32"/>
          <w:szCs w:val="32"/>
        </w:rPr>
        <w:t>主要用于</w:t>
      </w:r>
      <w:r>
        <w:rPr>
          <w:rFonts w:ascii="仿宋_GB2312" w:eastAsia="仿宋_GB2312" w:hint="eastAsia"/>
          <w:color w:val="auto"/>
          <w:sz w:val="32"/>
          <w:szCs w:val="32"/>
          <w:lang w:val="en-US" w:eastAsia="zh-CN"/>
        </w:rPr>
        <w:t>办公设备购置、口岸物流办可研报告编制服务费。</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（三）国有资产占有使用情况</w:t>
      </w:r>
      <w:bookmarkEnd w:id="66"/>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仿宋_GB2312" w:eastAsia="仿宋_GB2312" w:hint="eastAsia"/>
          <w:color w:val="000000"/>
          <w:sz w:val="32"/>
          <w:szCs w:val="32"/>
          <w:lang w:eastAsia="zh-CN"/>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为日常工作及</w:t>
      </w:r>
      <w:r>
        <w:rPr>
          <w:rFonts w:ascii="仿宋_GB2312" w:eastAsia="仿宋_GB2312" w:hint="eastAsia"/>
          <w:color w:val="000000"/>
          <w:sz w:val="32"/>
          <w:szCs w:val="32"/>
        </w:rPr>
        <w:t>应急保障用车</w:t>
      </w:r>
      <w:r>
        <w:rPr>
          <w:rFonts w:ascii="仿宋_GB2312" w:eastAsia="仿宋_GB2312" w:hint="eastAsia"/>
          <w:color w:val="000000"/>
          <w:sz w:val="32"/>
          <w:szCs w:val="32"/>
          <w:lang w:eastAsia="zh-CN"/>
        </w:rPr>
        <w:t>。</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（四）预算绩效管理情况</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根据预算绩效管理要求，本部门在202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年度预算编制阶段，组织对项目开展了预算事前绩效评估，编制了绩效目标，开展绩效监控，年终执行完毕后，对项目开展了绩效自评。同时，本部门对202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年部门整体开展绩效自评，《202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年州委办部门整体绩效评价报告》见附件（第四部分）。</w:t>
      </w: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pageBreakBefore w:val="0"/>
        <w:widowControl w:val="0"/>
        <w:numPr>
          <w:ilvl w:val="0"/>
          <w:numId w:val="3"/>
        </w:numPr>
        <w:kinsoku/>
        <w:wordWrap/>
        <w:overflowPunct/>
        <w:topLinePunct w:val="0"/>
        <w:bidi w:val="0"/>
        <w:spacing w:line="576" w:lineRule="exact"/>
        <w:ind w:left="0" w:firstLineChars="150" w:firstLine="660"/>
        <w:jc w:val="center"/>
        <w:outlineLvl w:val="0"/>
        <w:rPr>
          <w:rStyle w:val="1Char"/>
          <w:rFonts w:ascii="Times New Roman" w:eastAsia="黑体" w:cs="Times New Roman" w:hAnsi="Times New Roman"/>
          <w:b w:val="0"/>
        </w:rPr>
      </w:pPr>
      <w:bookmarkStart w:id="67" w:name="_Toc15377225"/>
      <w:bookmarkStart w:id="68" w:name="_Toc15396613"/>
      <w:bookmarkStart w:id="69" w:name="_Toc26843622"/>
      <w:r>
        <w:rPr>
          <w:rFonts w:ascii="Times New Roman" w:eastAsia="黑体" w:cs="Times New Roman" w:hAnsi="Times New Roman"/>
          <w:sz w:val="44"/>
          <w:szCs w:val="44"/>
        </w:rPr>
        <w:t>名</w:t>
      </w:r>
      <w:r>
        <w:rPr>
          <w:rStyle w:val="1Char"/>
          <w:rFonts w:ascii="Times New Roman" w:eastAsia="黑体" w:cs="Times New Roman" w:hAnsi="Times New Roman"/>
          <w:b w:val="0"/>
        </w:rPr>
        <w:t>词解释</w:t>
      </w:r>
      <w:bookmarkEnd w:id="67"/>
      <w:bookmarkEnd w:id="68"/>
      <w:bookmarkEnd w:id="69"/>
    </w:p>
    <w:p>
      <w:pPr>
        <w:pageBreakBefore w:val="0"/>
        <w:widowControl w:val="0"/>
        <w:kinsoku/>
        <w:wordWrap/>
        <w:overflowPunct/>
        <w:topLinePunct w:val="0"/>
        <w:bidi w:val="0"/>
        <w:spacing w:line="576" w:lineRule="exact"/>
        <w:jc w:val="left"/>
        <w:rPr>
          <w:rFonts w:ascii="Times New Roman" w:cs="Times New Roman" w:hAnsi="Times New Roman"/>
          <w:b/>
          <w:sz w:val="44"/>
          <w:szCs w:val="44"/>
        </w:rPr>
      </w:pPr>
    </w:p>
    <w:p>
      <w:pPr>
        <w:pStyle w:val="30"/>
        <w:pageBreakBefore w:val="0"/>
        <w:widowControl w:val="0"/>
        <w:kinsoku/>
        <w:wordWrap/>
        <w:overflowPunct/>
        <w:topLinePunct w:val="0"/>
        <w:autoSpaceDE w:val="0"/>
        <w:autoSpaceDN w:val="0"/>
        <w:bidi w:val="0"/>
        <w:spacing w:line="576" w:lineRule="exact"/>
        <w:ind w:firstLineChars="200" w:firstLine="640"/>
        <w:jc w:val="both"/>
        <w:rPr>
          <w:rFonts w:ascii="仿宋_GB2312" w:eastAsia="仿宋_GB2312" w:cs="仿宋_GB2312" w:hint="eastAsia"/>
          <w:color w:val="auto"/>
          <w:sz w:val="32"/>
          <w:szCs w:val="32"/>
        </w:rPr>
      </w:pPr>
      <w:r>
        <w:rPr>
          <w:rFonts w:ascii="仿宋_GB2312" w:eastAsia="仿宋_GB2312" w:cs="仿宋_GB2312" w:hint="eastAsia"/>
          <w:color w:val="auto"/>
          <w:sz w:val="32"/>
          <w:szCs w:val="32"/>
        </w:rPr>
        <w:t>1.财政拨款收入：指单位从同级财政部门取得的财政预算资金。</w:t>
      </w:r>
    </w:p>
    <w:p>
      <w:pPr>
        <w:pStyle w:val="30"/>
        <w:pageBreakBefore w:val="0"/>
        <w:widowControl w:val="0"/>
        <w:kinsoku/>
        <w:wordWrap/>
        <w:overflowPunct/>
        <w:topLinePunct w:val="0"/>
        <w:autoSpaceDE w:val="0"/>
        <w:autoSpaceDN w:val="0"/>
        <w:bidi w:val="0"/>
        <w:spacing w:line="576" w:lineRule="exact"/>
        <w:ind w:firstLineChars="200" w:firstLine="640"/>
        <w:jc w:val="both"/>
        <w:rPr>
          <w:rFonts w:ascii="仿宋_GB2312" w:eastAsia="仿宋_GB2312" w:cs="仿宋_GB2312" w:hint="eastAsia"/>
          <w:color w:val="auto"/>
          <w:sz w:val="32"/>
          <w:szCs w:val="32"/>
        </w:rPr>
      </w:pPr>
      <w:r>
        <w:rPr>
          <w:rFonts w:ascii="仿宋_GB2312" w:eastAsia="仿宋_GB2312" w:cs="仿宋_GB2312" w:hint="eastAsia"/>
          <w:color w:val="auto"/>
          <w:sz w:val="32"/>
          <w:szCs w:val="32"/>
        </w:rPr>
        <w:t>2.事业收入：指事业单位开展专业业务活动及辅助活动取得的收入。</w:t>
      </w:r>
    </w:p>
    <w:p>
      <w:pPr>
        <w:pStyle w:val="30"/>
        <w:pageBreakBefore w:val="0"/>
        <w:widowControl w:val="0"/>
        <w:kinsoku/>
        <w:wordWrap/>
        <w:overflowPunct/>
        <w:topLinePunct w:val="0"/>
        <w:autoSpaceDE w:val="0"/>
        <w:autoSpaceDN w:val="0"/>
        <w:bidi w:val="0"/>
        <w:spacing w:line="576" w:lineRule="exact"/>
        <w:ind w:firstLineChars="200" w:firstLine="640"/>
        <w:jc w:val="both"/>
        <w:rPr>
          <w:rFonts w:ascii="仿宋_GB2312" w:eastAsia="仿宋_GB2312" w:cs="仿宋_GB2312" w:hint="eastAsia"/>
          <w:color w:val="auto"/>
          <w:sz w:val="32"/>
          <w:szCs w:val="32"/>
        </w:rPr>
      </w:pPr>
      <w:r>
        <w:rPr>
          <w:rFonts w:ascii="仿宋_GB2312" w:eastAsia="仿宋_GB2312" w:cs="仿宋_GB2312" w:hint="eastAsia"/>
          <w:color w:val="auto"/>
          <w:sz w:val="32"/>
          <w:szCs w:val="32"/>
        </w:rPr>
        <w:t>3.经营收入：指事业单位在专业业务活动及其辅助活动之外开展非独立核算经营活动取得的收入</w:t>
      </w:r>
    </w:p>
    <w:p>
      <w:pPr>
        <w:pStyle w:val="30"/>
        <w:pageBreakBefore w:val="0"/>
        <w:widowControl w:val="0"/>
        <w:kinsoku/>
        <w:wordWrap/>
        <w:overflowPunct/>
        <w:topLinePunct w:val="0"/>
        <w:autoSpaceDE w:val="0"/>
        <w:autoSpaceDN w:val="0"/>
        <w:bidi w:val="0"/>
        <w:spacing w:line="576" w:lineRule="exact"/>
        <w:ind w:firstLineChars="200" w:firstLine="640"/>
        <w:jc w:val="both"/>
        <w:rPr>
          <w:rFonts w:ascii="仿宋_GB2312" w:eastAsia="仿宋_GB2312" w:cs="仿宋_GB2312" w:hint="eastAsia"/>
          <w:color w:val="auto"/>
          <w:sz w:val="32"/>
          <w:szCs w:val="32"/>
        </w:rPr>
      </w:pPr>
      <w:r>
        <w:rPr>
          <w:rFonts w:ascii="仿宋_GB2312" w:eastAsia="仿宋_GB2312" w:cs="仿宋_GB2312" w:hint="eastAsia"/>
          <w:color w:val="auto"/>
          <w:sz w:val="32"/>
          <w:szCs w:val="32"/>
        </w:rPr>
        <w:t xml:space="preserve">4.其他收入：指单位取得的除上述收入以外的各项收入。主要是利息收入等。 </w:t>
      </w:r>
    </w:p>
    <w:p>
      <w:pPr>
        <w:pStyle w:val="30"/>
        <w:pageBreakBefore w:val="0"/>
        <w:widowControl w:val="0"/>
        <w:kinsoku/>
        <w:wordWrap/>
        <w:overflowPunct/>
        <w:topLinePunct w:val="0"/>
        <w:autoSpaceDE w:val="0"/>
        <w:autoSpaceDN w:val="0"/>
        <w:bidi w:val="0"/>
        <w:spacing w:line="576" w:lineRule="exact"/>
        <w:ind w:firstLineChars="200" w:firstLine="640"/>
        <w:jc w:val="both"/>
        <w:rPr>
          <w:rFonts w:ascii="仿宋_GB2312" w:eastAsia="仿宋_GB2312" w:cs="仿宋_GB2312" w:hint="eastAsia"/>
          <w:color w:val="auto"/>
          <w:sz w:val="32"/>
          <w:szCs w:val="32"/>
        </w:rPr>
      </w:pPr>
      <w:r>
        <w:rPr>
          <w:rFonts w:ascii="仿宋_GB2312" w:eastAsia="仿宋_GB2312" w:cs="仿宋_GB2312" w:hint="eastAsia"/>
          <w:color w:val="auto"/>
          <w:sz w:val="32"/>
          <w:szCs w:val="32"/>
        </w:rPr>
        <w:t xml:space="preserve">5.使用非财政拨款结余：指事业单位使用以前年度积累的非财政拨款结余弥补当年收支差额的金额。 </w:t>
      </w:r>
    </w:p>
    <w:p>
      <w:pPr>
        <w:pStyle w:val="30"/>
        <w:pageBreakBefore w:val="0"/>
        <w:widowControl w:val="0"/>
        <w:kinsoku/>
        <w:wordWrap/>
        <w:overflowPunct/>
        <w:topLinePunct w:val="0"/>
        <w:autoSpaceDE w:val="0"/>
        <w:autoSpaceDN w:val="0"/>
        <w:bidi w:val="0"/>
        <w:spacing w:line="576" w:lineRule="exact"/>
        <w:ind w:firstLineChars="200" w:firstLine="640"/>
        <w:jc w:val="both"/>
        <w:rPr>
          <w:rFonts w:ascii="仿宋_GB2312" w:eastAsia="仿宋_GB2312" w:cs="仿宋_GB2312" w:hint="eastAsia"/>
          <w:color w:val="auto"/>
          <w:sz w:val="32"/>
          <w:szCs w:val="32"/>
        </w:rPr>
      </w:pPr>
      <w:r>
        <w:rPr>
          <w:rFonts w:ascii="仿宋_GB2312" w:eastAsia="仿宋_GB2312" w:cs="仿宋_GB2312" w:hint="eastAsia"/>
          <w:color w:val="auto"/>
          <w:sz w:val="32"/>
          <w:szCs w:val="32"/>
        </w:rPr>
        <w:t xml:space="preserve">6.年初结转和结余：指以前年度尚未完成、结转到本年按有关规定继续使用的资金。 </w:t>
      </w:r>
    </w:p>
    <w:p>
      <w:pPr>
        <w:pStyle w:val="30"/>
        <w:pageBreakBefore w:val="0"/>
        <w:widowControl w:val="0"/>
        <w:kinsoku/>
        <w:wordWrap/>
        <w:overflowPunct/>
        <w:topLinePunct w:val="0"/>
        <w:autoSpaceDE w:val="0"/>
        <w:autoSpaceDN w:val="0"/>
        <w:bidi w:val="0"/>
        <w:spacing w:line="576" w:lineRule="exact"/>
        <w:ind w:firstLineChars="200" w:firstLine="640"/>
        <w:jc w:val="both"/>
        <w:rPr>
          <w:rFonts w:ascii="仿宋_GB2312" w:eastAsia="仿宋_GB2312" w:cs="仿宋_GB2312" w:hint="eastAsia"/>
          <w:color w:val="auto"/>
          <w:sz w:val="32"/>
          <w:szCs w:val="32"/>
        </w:rPr>
      </w:pPr>
      <w:r>
        <w:rPr>
          <w:rFonts w:ascii="仿宋_GB2312" w:eastAsia="仿宋_GB2312" w:cs="仿宋_GB2312" w:hint="eastAsia"/>
          <w:color w:val="auto"/>
          <w:sz w:val="32"/>
          <w:szCs w:val="32"/>
        </w:rPr>
        <w:t>7.结余分配：指事业单位按照会计制度规定缴纳的所得税、提取的专用结余以及转入非财政拨款结余的金额等。</w:t>
      </w:r>
    </w:p>
    <w:p>
      <w:pPr>
        <w:pStyle w:val="30"/>
        <w:pageBreakBefore w:val="0"/>
        <w:widowControl w:val="0"/>
        <w:kinsoku/>
        <w:wordWrap/>
        <w:overflowPunct/>
        <w:topLinePunct w:val="0"/>
        <w:autoSpaceDE w:val="0"/>
        <w:autoSpaceDN w:val="0"/>
        <w:bidi w:val="0"/>
        <w:spacing w:line="576" w:lineRule="exact"/>
        <w:ind w:firstLineChars="200" w:firstLine="640"/>
        <w:jc w:val="both"/>
        <w:rPr>
          <w:rFonts w:ascii="仿宋_GB2312" w:eastAsia="仿宋_GB2312" w:cs="仿宋_GB2312" w:hint="eastAsia"/>
          <w:color w:val="auto"/>
          <w:sz w:val="32"/>
          <w:szCs w:val="32"/>
        </w:rPr>
      </w:pPr>
      <w:r>
        <w:rPr>
          <w:rFonts w:ascii="仿宋_GB2312" w:eastAsia="仿宋_GB2312" w:cs="仿宋_GB2312" w:hint="eastAsia"/>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9.</w:t>
      </w:r>
      <w:r>
        <w:rPr>
          <w:rFonts w:ascii="仿宋_GB2312" w:eastAsia="仿宋_GB2312" w:cs="仿宋_GB2312" w:hint="eastAsia"/>
          <w:bCs/>
          <w:kern w:val="0"/>
          <w:sz w:val="32"/>
          <w:szCs w:val="32"/>
        </w:rPr>
        <w:t>一般公共服务：行政运行</w:t>
      </w:r>
      <w:r>
        <w:rPr>
          <w:rFonts w:ascii="仿宋_GB2312" w:eastAsia="仿宋_GB2312" w:cs="仿宋_GB2312" w:hint="eastAsia"/>
          <w:bCs/>
          <w:kern w:val="0"/>
          <w:sz w:val="32"/>
          <w:szCs w:val="32"/>
          <w:lang w:eastAsia="zh-CN"/>
        </w:rPr>
        <w:t>，</w:t>
      </w:r>
      <w:r>
        <w:rPr>
          <w:rFonts w:ascii="仿宋_GB2312" w:eastAsia="仿宋_GB2312" w:cs="仿宋_GB2312" w:hint="eastAsia"/>
          <w:bCs/>
          <w:kern w:val="0"/>
          <w:sz w:val="32"/>
          <w:szCs w:val="32"/>
        </w:rPr>
        <w:t>反映党委办公厅（室）及相关机构的支出；一般行政管理事务</w:t>
      </w:r>
      <w:r>
        <w:rPr>
          <w:rFonts w:ascii="仿宋_GB2312" w:eastAsia="仿宋_GB2312" w:cs="仿宋_GB2312" w:hint="eastAsia"/>
          <w:bCs/>
          <w:kern w:val="0"/>
          <w:sz w:val="32"/>
          <w:szCs w:val="32"/>
          <w:lang w:eastAsia="zh-CN"/>
        </w:rPr>
        <w:t>，</w:t>
      </w:r>
      <w:r>
        <w:rPr>
          <w:rFonts w:ascii="仿宋_GB2312" w:eastAsia="仿宋_GB2312" w:cs="仿宋_GB2312" w:hint="eastAsia"/>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10.</w:t>
      </w:r>
      <w:r>
        <w:rPr>
          <w:rFonts w:ascii="仿宋_GB2312" w:eastAsia="仿宋_GB2312" w:cs="仿宋_GB2312" w:hint="eastAsia"/>
          <w:bCs/>
          <w:kern w:val="0"/>
          <w:sz w:val="32"/>
          <w:szCs w:val="32"/>
        </w:rPr>
        <w:t>社会保障和就业：反映政府在社会保障与就业方面的支出</w:t>
      </w:r>
      <w:r>
        <w:rPr>
          <w:rFonts w:ascii="仿宋_GB2312" w:eastAsia="仿宋_GB2312" w:cs="仿宋_GB2312" w:hint="eastAsia"/>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11.</w:t>
      </w:r>
      <w:r>
        <w:rPr>
          <w:rFonts w:ascii="仿宋_GB2312" w:eastAsia="仿宋_GB2312" w:cs="仿宋_GB2312" w:hint="eastAsia"/>
          <w:bCs/>
          <w:sz w:val="32"/>
          <w:szCs w:val="32"/>
        </w:rPr>
        <w:t>医疗卫生与计划生育：反映政府医疗卫生计划生育管理方面的支出</w:t>
      </w:r>
      <w:r>
        <w:rPr>
          <w:rFonts w:ascii="仿宋_GB2312" w:eastAsia="仿宋_GB2312" w:cs="仿宋_GB2312" w:hint="eastAsia"/>
          <w:bCs/>
          <w:sz w:val="32"/>
          <w:szCs w:val="32"/>
          <w:lang w:eastAsia="zh-CN"/>
        </w:rPr>
        <w:t>。</w:t>
      </w:r>
    </w:p>
    <w:p>
      <w:pPr>
        <w:pageBreakBefore w:val="0"/>
        <w:widowControl w:val="0"/>
        <w:kinsoku/>
        <w:wordWrap/>
        <w:overflowPunct/>
        <w:topLinePunct w:val="0"/>
        <w:bidi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14.项目支出：指在基本支出之外为完成特定行政任务和事业发展目标所发生的支出。</w:t>
      </w:r>
    </w:p>
    <w:p>
      <w:pPr>
        <w:pageBreakBefore w:val="0"/>
        <w:widowControl w:val="0"/>
        <w:kinsoku/>
        <w:wordWrap/>
        <w:overflowPunct/>
        <w:topLinePunct w:val="0"/>
        <w:bidi w:val="0"/>
        <w:spacing w:line="576"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15.经营支出：指事业单位在专业业务活动及其辅助活动之外开展非独立核算经营活动发生的支出。</w:t>
      </w:r>
    </w:p>
    <w:p>
      <w:pPr>
        <w:pStyle w:val="30"/>
        <w:pageBreakBefore w:val="0"/>
        <w:widowControl w:val="0"/>
        <w:kinsoku/>
        <w:wordWrap/>
        <w:overflowPunct/>
        <w:topLinePunct w:val="0"/>
        <w:autoSpaceDE w:val="0"/>
        <w:autoSpaceDN w:val="0"/>
        <w:bidi w:val="0"/>
        <w:spacing w:line="576" w:lineRule="exact"/>
        <w:ind w:firstLineChars="200" w:firstLine="640"/>
        <w:jc w:val="both"/>
        <w:rPr>
          <w:rFonts w:ascii="仿宋_GB2312" w:eastAsia="仿宋_GB2312" w:cs="仿宋_GB2312" w:hint="eastAsia"/>
          <w:color w:val="auto"/>
          <w:sz w:val="32"/>
          <w:szCs w:val="32"/>
        </w:rPr>
      </w:pPr>
      <w:r>
        <w:rPr>
          <w:rFonts w:ascii="仿宋_GB2312" w:eastAsia="仿宋_GB2312" w:cs="仿宋_GB2312" w:hint="eastAsia"/>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pageBreakBefore w:val="0"/>
        <w:widowControl w:val="0"/>
        <w:kinsoku/>
        <w:wordWrap/>
        <w:overflowPunct/>
        <w:topLinePunct w:val="0"/>
        <w:autoSpaceDE w:val="0"/>
        <w:autoSpaceDN w:val="0"/>
        <w:bidi w:val="0"/>
        <w:spacing w:line="576" w:lineRule="exact"/>
        <w:ind w:firstLineChars="200" w:firstLine="640"/>
        <w:jc w:val="both"/>
        <w:rPr>
          <w:rFonts w:ascii="仿宋_GB2312" w:eastAsia="仿宋_GB2312" w:cs="仿宋_GB2312" w:hint="eastAsia"/>
          <w:color w:val="auto"/>
          <w:sz w:val="32"/>
          <w:szCs w:val="32"/>
        </w:rPr>
      </w:pPr>
      <w:r>
        <w:rPr>
          <w:rFonts w:ascii="仿宋_GB2312" w:eastAsia="仿宋_GB2312" w:cs="仿宋_GB2312" w:hint="eastAsia"/>
          <w:color w:val="auto"/>
          <w:sz w:val="32"/>
          <w:szCs w:val="32"/>
        </w:rPr>
        <w:t>17</w:t>
      </w:r>
      <w:r>
        <w:rPr>
          <w:rFonts w:ascii="仿宋_GB2312" w:eastAsia="仿宋_GB2312" w:cs="仿宋_GB2312" w:hint="eastAsia"/>
          <w:color w:val="auto"/>
          <w:sz w:val="32"/>
          <w:szCs w:val="32"/>
          <w:lang w:eastAsia="zh-CN"/>
        </w:rPr>
        <w:t>.</w:t>
      </w:r>
      <w:r>
        <w:rPr>
          <w:rFonts w:ascii="仿宋_GB2312" w:eastAsia="仿宋_GB2312" w:cs="仿宋_GB2312" w:hint="eastAsia"/>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rPr>
      </w:pPr>
      <w:bookmarkStart w:id="70" w:name="_Toc15377226"/>
      <w:r>
        <w:rPr>
          <w:rFonts w:ascii="Times New Roman" w:cs="Times New Roman" w:hAnsi="Times New Roman"/>
          <w:b/>
          <w:sz w:val="44"/>
          <w:szCs w:val="44"/>
        </w:rPr>
        <w:br w:type="page"/>
      </w:r>
      <w:bookmarkStart w:id="71" w:name="_Toc15396614"/>
      <w:bookmarkStart w:id="72" w:name="_Toc26843623"/>
      <w:r>
        <w:rPr>
          <w:rFonts w:ascii="Times New Roman" w:eastAsia="黑体" w:cs="Times New Roman" w:hAnsi="Times New Roman"/>
          <w:sz w:val="44"/>
          <w:szCs w:val="44"/>
        </w:rPr>
        <w:t>第</w:t>
      </w:r>
      <w:r>
        <w:rPr>
          <w:rStyle w:val="1Char"/>
          <w:rFonts w:ascii="Times New Roman" w:eastAsia="黑体" w:cs="Times New Roman" w:hAnsi="Times New Roman"/>
          <w:b w:val="0"/>
        </w:rPr>
        <w:t>四部分</w:t>
      </w:r>
      <w:r>
        <w:rPr>
          <w:rStyle w:val="1Char"/>
          <w:rFonts w:eastAsia="黑体" w:cs="Times New Roman" w:hint="eastAsia"/>
          <w:b w:val="0"/>
          <w:lang w:val="en-US"/>
        </w:rPr>
        <w:t xml:space="preserve"> </w:t>
      </w:r>
      <w:r>
        <w:rPr>
          <w:rStyle w:val="1Char"/>
          <w:rFonts w:ascii="Times New Roman" w:eastAsia="黑体" w:cs="Times New Roman" w:hAnsi="Times New Roman"/>
          <w:b w:val="0"/>
        </w:rPr>
        <w:t xml:space="preserve"> 附件</w:t>
      </w:r>
      <w:bookmarkEnd w:id="71"/>
      <w:bookmarkEnd w:id="72"/>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73" w:name="_Toc26843624"/>
      <w:r>
        <w:rPr>
          <w:rFonts w:ascii="Times New Roman" w:eastAsia="黑体" w:cs="Times New Roman" w:hAnsi="Times New Roman"/>
          <w:sz w:val="32"/>
          <w:szCs w:val="32"/>
        </w:rPr>
        <w:t>附件</w:t>
      </w:r>
      <w:bookmarkEnd w:id="73"/>
    </w:p>
    <w:p>
      <w:pPr>
        <w:pageBreakBefore w:val="0"/>
        <w:widowControl w:val="0"/>
        <w:kinsoku/>
        <w:wordWrap/>
        <w:overflowPunct/>
        <w:topLinePunct w:val="0"/>
        <w:bidi w:val="0"/>
        <w:spacing w:line="576" w:lineRule="exact"/>
        <w:jc w:val="center"/>
        <w:rPr>
          <w:rFonts w:eastAsia="方正小标宋简体" w:cs="Times New Roman"/>
          <w:kern w:val="0"/>
          <w:sz w:val="40"/>
          <w:szCs w:val="44"/>
          <w:lang w:val="en-US" w:eastAsia="zh-CN"/>
        </w:rPr>
      </w:pPr>
      <w:r>
        <w:rPr>
          <w:rFonts w:eastAsia="方正小标宋简体" w:cs="Times New Roman" w:hint="eastAsia"/>
          <w:kern w:val="0"/>
          <w:sz w:val="40"/>
          <w:szCs w:val="44"/>
          <w:lang w:val="en-US" w:eastAsia="zh-CN"/>
        </w:rPr>
        <w:t>金川县世外梨园景区服务中心</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kern w:val="0"/>
          <w:sz w:val="40"/>
          <w:szCs w:val="44"/>
          <w:lang w:val="zh-CN"/>
        </w:rPr>
      </w:pPr>
      <w:r>
        <w:rPr>
          <w:rFonts w:ascii="Times New Roman" w:eastAsia="方正小标宋简体" w:cs="Times New Roman" w:hAnsi="Times New Roman"/>
          <w:kern w:val="0"/>
          <w:sz w:val="40"/>
          <w:szCs w:val="44"/>
        </w:rPr>
        <w:t>202</w:t>
      </w:r>
      <w:r>
        <w:rPr>
          <w:rFonts w:eastAsia="方正小标宋简体" w:cs="Times New Roman" w:hint="eastAsia"/>
          <w:kern w:val="0"/>
          <w:sz w:val="40"/>
          <w:szCs w:val="44"/>
          <w:lang w:val="en-US" w:eastAsia="zh-CN"/>
        </w:rPr>
        <w:t>2</w:t>
      </w:r>
      <w:r>
        <w:rPr>
          <w:rFonts w:ascii="Times New Roman" w:eastAsia="方正小标宋简体" w:cs="Times New Roman" w:hAnsi="Times New Roman"/>
          <w:kern w:val="0"/>
          <w:sz w:val="40"/>
          <w:szCs w:val="44"/>
        </w:rPr>
        <w:t>年部门整体绩效评价报告</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Chars="200" w:firstLine="640"/>
        <w:jc w:val="both"/>
        <w:textAlignment w:val="auto"/>
        <w:outlineLvl w:val="0"/>
        <w:rPr>
          <w:rFonts w:ascii="Mongolian Baiti" w:eastAsia="黑体" w:cs="Mongolian Baiti" w:hAnsi="Mongolian Baiti"/>
          <w:color w:val="auto"/>
          <w:kern w:val="2"/>
          <w:sz w:val="32"/>
          <w:szCs w:val="32"/>
          <w:u w:val="none"/>
          <w:vertAlign w:val="baseline"/>
          <w:lang w:val="en-US" w:eastAsia="zh-CN" w:bidi="ar-SA"/>
        </w:rPr>
      </w:pPr>
      <w:bookmarkStart w:id="74" w:name="_Toc12355"/>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60" w:lineRule="exact"/>
        <w:ind w:left="0" w:right="0" w:firstLineChars="200" w:firstLine="640"/>
        <w:jc w:val="both"/>
        <w:textAlignment w:val="auto"/>
        <w:outlineLvl w:val="0"/>
        <w:rPr>
          <w:rFonts w:ascii="Mongolian Baiti" w:eastAsia="黑体" w:cs="Mongolian Baiti" w:hAnsi="Mongolian Baiti"/>
          <w:b/>
          <w:bCs/>
          <w:snapToGrid/>
          <w:color w:val="000000"/>
          <w:spacing w:val="34"/>
          <w:w w:val="100"/>
          <w:kern w:val="2"/>
          <w:szCs w:val="32"/>
          <w:lang w:val="zh-CN"/>
        </w:rPr>
      </w:pPr>
      <w:r>
        <w:rPr>
          <w:rFonts w:ascii="Mongolian Baiti" w:eastAsia="黑体" w:cs="Mongolian Baiti" w:hAnsi="Mongolian Baiti"/>
          <w:color w:val="auto"/>
          <w:kern w:val="2"/>
          <w:sz w:val="32"/>
          <w:szCs w:val="32"/>
          <w:u w:val="none"/>
          <w:vertAlign w:val="baseline"/>
          <w:lang w:val="en-US" w:eastAsia="zh-CN" w:bidi="ar-SA"/>
        </w:rPr>
        <w:t>一、部门整体概况</w:t>
      </w:r>
      <w:bookmarkEnd w:id="74"/>
    </w:p>
    <w:p>
      <w:pPr>
        <w:keepNext w:val="0"/>
        <w:keepLines w:val="0"/>
        <w:pageBreakBefore w:val="0"/>
        <w:widowControl/>
        <w:kinsoku/>
        <w:wordWrap w:val="0"/>
        <w:overflowPunct/>
        <w:topLinePunct/>
        <w:autoSpaceDE/>
        <w:autoSpaceDN/>
        <w:bidi w:val="0"/>
        <w:adjustRightInd w:val="0"/>
        <w:snapToGrid w:val="0"/>
        <w:spacing w:line="560" w:lineRule="exact"/>
        <w:ind w:firstLineChars="200" w:firstLine="776"/>
        <w:jc w:val="left"/>
        <w:textAlignment w:val="auto"/>
        <w:rPr>
          <w:rFonts w:ascii="仿宋_GB2312" w:eastAsia="仿宋_GB2312" w:cs="仿宋_GB2312" w:hint="eastAsia"/>
          <w:b/>
          <w:bCs/>
          <w:snapToGrid/>
          <w:color w:val="000000"/>
          <w:spacing w:val="34"/>
          <w:w w:val="100"/>
          <w:kern w:val="2"/>
          <w:sz w:val="32"/>
          <w:szCs w:val="32"/>
          <w:lang w:val="zh-CN"/>
        </w:rPr>
      </w:pPr>
      <w:bookmarkStart w:id="75" w:name="_Toc13050"/>
      <w:r>
        <w:rPr>
          <w:rFonts w:ascii="仿宋_GB2312" w:eastAsia="仿宋_GB2312" w:cs="仿宋_GB2312" w:hint="eastAsia"/>
          <w:b/>
          <w:bCs/>
          <w:snapToGrid/>
          <w:color w:val="000000"/>
          <w:spacing w:val="34"/>
          <w:w w:val="100"/>
          <w:kern w:val="2"/>
          <w:sz w:val="32"/>
          <w:szCs w:val="32"/>
          <w:lang w:val="zh-CN"/>
        </w:rPr>
        <w:t>（一）机构组成</w:t>
      </w:r>
      <w:bookmarkEnd w:id="75"/>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eastAsia="zh-CN"/>
        </w:rPr>
      </w:pPr>
      <w:r>
        <w:rPr>
          <w:rFonts w:ascii="仿宋_GB2312" w:eastAsia="仿宋_GB2312" w:cs="Times New Roman" w:hint="eastAsia"/>
          <w:color w:val="000000"/>
          <w:spacing w:val="-2"/>
          <w:sz w:val="32"/>
          <w:szCs w:val="32"/>
          <w:lang w:val="en-US" w:eastAsia="zh-CN"/>
        </w:rPr>
        <w:t>金川县世外梨园景区服务中心</w:t>
      </w:r>
      <w:r>
        <w:rPr>
          <w:rFonts w:ascii="仿宋_GB2312" w:eastAsia="仿宋_GB2312" w:cs="Times New Roman" w:hint="eastAsia"/>
          <w:color w:val="000000"/>
          <w:spacing w:val="-2"/>
          <w:sz w:val="32"/>
          <w:szCs w:val="32"/>
          <w:lang w:eastAsia="zh-CN"/>
        </w:rPr>
        <w:t>统一社会信用代码为：12513226789114426X，机构地址：金川县庆宁乡庆宁村，负责人：王平。梨园景区共有机构数1个，其中全额预算单位1个，单位内设机构3个（办公室、业务股、财务股）。</w:t>
      </w:r>
    </w:p>
    <w:p>
      <w:pPr>
        <w:keepNext w:val="0"/>
        <w:keepLines w:val="0"/>
        <w:pageBreakBefore w:val="0"/>
        <w:widowControl/>
        <w:kinsoku/>
        <w:wordWrap w:val="0"/>
        <w:overflowPunct/>
        <w:topLinePunct/>
        <w:autoSpaceDE/>
        <w:autoSpaceDN/>
        <w:bidi w:val="0"/>
        <w:adjustRightInd w:val="0"/>
        <w:snapToGrid w:val="0"/>
        <w:spacing w:line="560" w:lineRule="exact"/>
        <w:ind w:firstLineChars="200" w:firstLine="776"/>
        <w:jc w:val="left"/>
        <w:textAlignment w:val="auto"/>
        <w:rPr>
          <w:rFonts w:ascii="仿宋_GB2312" w:eastAsia="仿宋_GB2312" w:cs="仿宋_GB2312" w:hint="eastAsia"/>
          <w:b/>
          <w:bCs/>
          <w:snapToGrid/>
          <w:color w:val="000000"/>
          <w:spacing w:val="34"/>
          <w:w w:val="100"/>
          <w:kern w:val="2"/>
          <w:sz w:val="32"/>
          <w:szCs w:val="32"/>
          <w:lang w:val="zh-CN"/>
        </w:rPr>
      </w:pPr>
      <w:r>
        <w:rPr>
          <w:rFonts w:ascii="仿宋_GB2312" w:eastAsia="仿宋_GB2312" w:cs="仿宋_GB2312" w:hint="eastAsia"/>
          <w:b/>
          <w:bCs/>
          <w:snapToGrid/>
          <w:color w:val="000000"/>
          <w:spacing w:val="34"/>
          <w:w w:val="100"/>
          <w:kern w:val="2"/>
          <w:sz w:val="32"/>
          <w:szCs w:val="32"/>
          <w:lang w:val="zh-CN"/>
        </w:rPr>
        <w:t>（二）机构职能</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bookmarkStart w:id="76" w:name="_Toc28385"/>
      <w:r>
        <w:rPr>
          <w:rFonts w:ascii="仿宋_GB2312" w:eastAsia="仿宋_GB2312" w:cs="Times New Roman" w:hint="eastAsia"/>
          <w:color w:val="000000"/>
          <w:spacing w:val="-2"/>
          <w:sz w:val="32"/>
          <w:szCs w:val="32"/>
          <w:lang w:val="en-US" w:eastAsia="zh-CN"/>
        </w:rPr>
        <w:t>1.贯彻国家有关旅游景区管理的法律、法规和方针政策,制定景区的各项管理制度,统一管理景区；</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2.负责对外联络和协调工作,及时反映职工意见,提供准确信息,做好上传下达工作；</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3.负责文秘、文书档案,政务信息,保密等工作；</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4.负责会议的准备、组织、总务、后勤管理工作；</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5.负责中心支部日常工作,党风廉政建设、纪检工作；</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6.工会工作；负责财务工作,负责组织、人事和社会保障,档案管理工作；</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7.负责机密文电、信件的传递工作；</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8.负责受理和接待群众的来信来访,转办和协调来访案件;</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9.负责社会治安综合治理及精神文明建设日常工作;</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10.维护景区和社会稳定工作;</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11.负责游客关于景区情况的咨询介绍工作；</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12.负责协调或处理在景区内发生的旅游投诉事宜。</w:t>
      </w:r>
    </w:p>
    <w:p>
      <w:pPr>
        <w:keepNext w:val="0"/>
        <w:keepLines w:val="0"/>
        <w:pageBreakBefore w:val="0"/>
        <w:widowControl/>
        <w:kinsoku/>
        <w:wordWrap w:val="0"/>
        <w:overflowPunct/>
        <w:topLinePunct/>
        <w:autoSpaceDE/>
        <w:autoSpaceDN/>
        <w:bidi w:val="0"/>
        <w:adjustRightInd w:val="0"/>
        <w:snapToGrid w:val="0"/>
        <w:spacing w:line="560" w:lineRule="exact"/>
        <w:ind w:firstLineChars="200" w:firstLine="776"/>
        <w:jc w:val="left"/>
        <w:textAlignment w:val="auto"/>
        <w:rPr>
          <w:rFonts w:ascii="仿宋_GB2312" w:eastAsia="仿宋_GB2312" w:cs="仿宋_GB2312" w:hint="eastAsia"/>
          <w:b/>
          <w:bCs/>
          <w:snapToGrid/>
          <w:color w:val="000000"/>
          <w:spacing w:val="34"/>
          <w:w w:val="100"/>
          <w:kern w:val="2"/>
          <w:sz w:val="32"/>
          <w:szCs w:val="32"/>
          <w:lang w:val="zh-CN"/>
        </w:rPr>
      </w:pPr>
      <w:r>
        <w:rPr>
          <w:rFonts w:ascii="仿宋_GB2312" w:eastAsia="仿宋_GB2312" w:cs="仿宋_GB2312" w:hint="eastAsia"/>
          <w:b/>
          <w:bCs/>
          <w:snapToGrid/>
          <w:color w:val="000000"/>
          <w:spacing w:val="34"/>
          <w:w w:val="100"/>
          <w:kern w:val="2"/>
          <w:sz w:val="32"/>
          <w:szCs w:val="32"/>
          <w:lang w:val="zh-CN"/>
        </w:rPr>
        <w:t>（三）人员概况</w:t>
      </w:r>
      <w:bookmarkEnd w:id="76"/>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eastAsia="zh-CN"/>
        </w:rPr>
      </w:pPr>
      <w:r>
        <w:rPr>
          <w:rFonts w:ascii="仿宋_GB2312" w:eastAsia="仿宋_GB2312" w:cs="Times New Roman" w:hint="eastAsia"/>
          <w:color w:val="000000"/>
          <w:spacing w:val="-2"/>
          <w:sz w:val="32"/>
          <w:szCs w:val="32"/>
          <w:lang w:eastAsia="zh-CN"/>
        </w:rPr>
        <w:t>202</w:t>
      </w:r>
      <w:r>
        <w:rPr>
          <w:rFonts w:ascii="仿宋_GB2312" w:eastAsia="仿宋_GB2312" w:cs="Times New Roman" w:hint="eastAsia"/>
          <w:color w:val="000000"/>
          <w:spacing w:val="-2"/>
          <w:sz w:val="32"/>
          <w:szCs w:val="32"/>
          <w:lang w:val="en-US" w:eastAsia="zh-CN"/>
        </w:rPr>
        <w:t>2</w:t>
      </w:r>
      <w:r>
        <w:rPr>
          <w:rFonts w:ascii="仿宋_GB2312" w:eastAsia="仿宋_GB2312" w:cs="Times New Roman" w:hint="eastAsia"/>
          <w:color w:val="000000"/>
          <w:spacing w:val="-2"/>
          <w:sz w:val="32"/>
          <w:szCs w:val="32"/>
          <w:lang w:eastAsia="zh-CN"/>
        </w:rPr>
        <w:t>年年初在职</w:t>
      </w:r>
      <w:r>
        <w:rPr>
          <w:rFonts w:ascii="仿宋_GB2312" w:eastAsia="仿宋_GB2312" w:cs="Times New Roman" w:hint="eastAsia"/>
          <w:color w:val="000000"/>
          <w:spacing w:val="-2"/>
          <w:sz w:val="32"/>
          <w:szCs w:val="32"/>
          <w:lang w:val="en-US" w:eastAsia="zh-CN"/>
        </w:rPr>
        <w:t>8</w:t>
      </w:r>
      <w:r>
        <w:rPr>
          <w:rFonts w:ascii="仿宋_GB2312" w:eastAsia="仿宋_GB2312" w:cs="Times New Roman" w:hint="eastAsia"/>
          <w:color w:val="000000"/>
          <w:spacing w:val="-2"/>
          <w:sz w:val="32"/>
          <w:szCs w:val="32"/>
          <w:lang w:eastAsia="zh-CN"/>
        </w:rPr>
        <w:t>人（参公人员</w:t>
      </w:r>
      <w:r>
        <w:rPr>
          <w:rFonts w:ascii="仿宋_GB2312" w:eastAsia="仿宋_GB2312" w:cs="Times New Roman" w:hint="eastAsia"/>
          <w:color w:val="000000"/>
          <w:spacing w:val="-2"/>
          <w:sz w:val="32"/>
          <w:szCs w:val="32"/>
          <w:lang w:val="en-US" w:eastAsia="zh-CN"/>
        </w:rPr>
        <w:t>8</w:t>
      </w:r>
      <w:r>
        <w:rPr>
          <w:rFonts w:ascii="仿宋_GB2312" w:eastAsia="仿宋_GB2312" w:cs="Times New Roman" w:hint="eastAsia"/>
          <w:color w:val="000000"/>
          <w:spacing w:val="-2"/>
          <w:sz w:val="32"/>
          <w:szCs w:val="32"/>
          <w:lang w:eastAsia="zh-CN"/>
        </w:rPr>
        <w:t>名）。</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eastAsia="zh-CN"/>
        </w:rPr>
        <w:t>202</w:t>
      </w:r>
      <w:r>
        <w:rPr>
          <w:rFonts w:ascii="仿宋_GB2312" w:eastAsia="仿宋_GB2312" w:cs="Times New Roman" w:hint="eastAsia"/>
          <w:color w:val="000000"/>
          <w:spacing w:val="-2"/>
          <w:sz w:val="32"/>
          <w:szCs w:val="32"/>
          <w:lang w:val="en-US" w:eastAsia="zh-CN"/>
        </w:rPr>
        <w:t>2</w:t>
      </w:r>
      <w:r>
        <w:rPr>
          <w:rFonts w:ascii="仿宋_GB2312" w:eastAsia="仿宋_GB2312" w:cs="Times New Roman" w:hint="eastAsia"/>
          <w:color w:val="000000"/>
          <w:spacing w:val="-2"/>
          <w:sz w:val="32"/>
          <w:szCs w:val="32"/>
          <w:lang w:eastAsia="zh-CN"/>
        </w:rPr>
        <w:t>年年末在职</w:t>
      </w:r>
      <w:r>
        <w:rPr>
          <w:rFonts w:ascii="仿宋_GB2312" w:eastAsia="仿宋_GB2312" w:cs="Times New Roman" w:hint="eastAsia"/>
          <w:color w:val="000000"/>
          <w:spacing w:val="-2"/>
          <w:sz w:val="32"/>
          <w:szCs w:val="32"/>
          <w:lang w:val="en-US" w:eastAsia="zh-CN"/>
        </w:rPr>
        <w:t>8</w:t>
      </w:r>
      <w:r>
        <w:rPr>
          <w:rFonts w:ascii="仿宋_GB2312" w:eastAsia="仿宋_GB2312" w:cs="Times New Roman" w:hint="eastAsia"/>
          <w:color w:val="000000"/>
          <w:spacing w:val="-2"/>
          <w:sz w:val="32"/>
          <w:szCs w:val="32"/>
          <w:lang w:eastAsia="zh-CN"/>
        </w:rPr>
        <w:t>人（参公人员</w:t>
      </w:r>
      <w:r>
        <w:rPr>
          <w:rFonts w:ascii="仿宋_GB2312" w:eastAsia="仿宋_GB2312" w:cs="Times New Roman" w:hint="eastAsia"/>
          <w:color w:val="000000"/>
          <w:spacing w:val="-2"/>
          <w:sz w:val="32"/>
          <w:szCs w:val="32"/>
          <w:lang w:val="en-US" w:eastAsia="zh-CN"/>
        </w:rPr>
        <w:t>8</w:t>
      </w:r>
      <w:r>
        <w:rPr>
          <w:rFonts w:ascii="仿宋_GB2312" w:eastAsia="仿宋_GB2312" w:cs="Times New Roman" w:hint="eastAsia"/>
          <w:color w:val="000000"/>
          <w:spacing w:val="-2"/>
          <w:sz w:val="32"/>
          <w:szCs w:val="32"/>
          <w:lang w:eastAsia="zh-CN"/>
        </w:rPr>
        <w:t>人）</w:t>
      </w:r>
    </w:p>
    <w:p>
      <w:pPr>
        <w:keepNext w:val="0"/>
        <w:keepLines w:val="0"/>
        <w:pageBreakBefore w:val="0"/>
        <w:widowControl w:val="0"/>
        <w:numPr>
          <w:ilvl w:val="0"/>
          <w:numId w:val="4"/>
        </w:numPr>
        <w:suppressLineNumbers w:val="0"/>
        <w:suppressAutoHyphens w:val="0"/>
        <w:kinsoku/>
        <w:wordWrap/>
        <w:overflowPunct/>
        <w:topLinePunct w:val="0"/>
        <w:autoSpaceDE/>
        <w:autoSpaceDN w:val="0"/>
        <w:bidi w:val="0"/>
        <w:adjustRightInd/>
        <w:snapToGrid/>
        <w:spacing w:before="0" w:beforeAutospacing="0" w:after="0" w:afterAutospacing="0" w:line="560" w:lineRule="exact"/>
        <w:ind w:left="0" w:right="0" w:firstLineChars="200" w:firstLine="640"/>
        <w:jc w:val="both"/>
        <w:textAlignment w:val="auto"/>
        <w:outlineLvl w:val="0"/>
        <w:rPr>
          <w:rFonts w:ascii="Mongolian Baiti" w:eastAsia="黑体" w:cs="Mongolian Baiti" w:hAnsi="Mongolian Baiti" w:hint="eastAsia"/>
          <w:color w:val="auto"/>
          <w:kern w:val="2"/>
          <w:sz w:val="32"/>
          <w:szCs w:val="32"/>
          <w:u w:val="none"/>
          <w:vertAlign w:val="baseline"/>
          <w:lang w:val="en-US" w:eastAsia="zh-CN" w:bidi="ar-SA"/>
        </w:rPr>
      </w:pPr>
      <w:r>
        <w:rPr>
          <w:rFonts w:ascii="Mongolian Baiti" w:eastAsia="黑体" w:cs="Mongolian Baiti" w:hAnsi="Mongolian Baiti" w:hint="eastAsia"/>
          <w:color w:val="auto"/>
          <w:kern w:val="2"/>
          <w:sz w:val="32"/>
          <w:szCs w:val="32"/>
          <w:u w:val="none"/>
          <w:vertAlign w:val="baseline"/>
          <w:lang w:val="en-US" w:eastAsia="zh-CN" w:bidi="ar-SA"/>
        </w:rPr>
        <w:t>部门财政资金收支情况</w:t>
      </w:r>
    </w:p>
    <w:p>
      <w:pPr>
        <w:keepNext w:val="0"/>
        <w:keepLines w:val="0"/>
        <w:pageBreakBefore w:val="0"/>
        <w:widowControl/>
        <w:numPr>
          <w:ilvl w:val="0"/>
          <w:numId w:val="5"/>
        </w:numPr>
        <w:kinsoku/>
        <w:wordWrap w:val="0"/>
        <w:overflowPunct/>
        <w:topLinePunct/>
        <w:autoSpaceDE/>
        <w:autoSpaceDN/>
        <w:bidi w:val="0"/>
        <w:adjustRightInd w:val="0"/>
        <w:snapToGrid w:val="0"/>
        <w:spacing w:line="560" w:lineRule="exact"/>
        <w:ind w:left="0" w:firstLineChars="200" w:firstLine="776"/>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部分财政资金收入情况</w:t>
      </w:r>
    </w:p>
    <w:p>
      <w:pPr>
        <w:keepNext w:val="0"/>
        <w:keepLines w:val="0"/>
        <w:pageBreakBefore w:val="0"/>
        <w:widowControl/>
        <w:kinsoku/>
        <w:wordWrap w:val="0"/>
        <w:overflowPunct/>
        <w:topLinePunct/>
        <w:autoSpaceDE/>
        <w:bidi w:val="0"/>
        <w:adjustRightInd w:val="0"/>
        <w:snapToGrid w:val="0"/>
        <w:spacing w:line="560" w:lineRule="exact"/>
        <w:ind w:firstLineChars="200" w:firstLine="640"/>
        <w:jc w:val="left"/>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年预算收入合计</w:t>
      </w:r>
      <w:r>
        <w:rPr>
          <w:rFonts w:ascii="仿宋_GB2312" w:eastAsia="仿宋_GB2312" w:cs="仿宋_GB2312" w:hint="eastAsia"/>
          <w:color w:val="000000"/>
          <w:sz w:val="32"/>
          <w:szCs w:val="32"/>
          <w:lang w:val="en-US" w:eastAsia="zh-CN"/>
        </w:rPr>
        <w:t>111.57</w:t>
      </w:r>
      <w:r>
        <w:rPr>
          <w:rFonts w:ascii="仿宋_GB2312" w:eastAsia="仿宋_GB2312" w:cs="仿宋_GB2312" w:hint="eastAsia"/>
          <w:color w:val="000000"/>
          <w:sz w:val="32"/>
          <w:szCs w:val="32"/>
        </w:rPr>
        <w:t>万元（其中，本年一般公共预算拨款收入</w:t>
      </w:r>
      <w:r>
        <w:rPr>
          <w:rFonts w:ascii="仿宋_GB2312" w:eastAsia="仿宋_GB2312" w:cs="仿宋_GB2312" w:hint="eastAsia"/>
          <w:color w:val="000000"/>
          <w:sz w:val="32"/>
          <w:szCs w:val="32"/>
          <w:lang w:val="en-US" w:eastAsia="zh-CN"/>
        </w:rPr>
        <w:t>111.57</w:t>
      </w:r>
      <w:r>
        <w:rPr>
          <w:rFonts w:ascii="仿宋_GB2312" w:eastAsia="仿宋_GB2312" w:cs="仿宋_GB2312" w:hint="eastAsia"/>
          <w:color w:val="000000"/>
          <w:sz w:val="32"/>
          <w:szCs w:val="32"/>
        </w:rPr>
        <w:t>万元，上年结转一般公共预算拨款收入0.00万元）。</w:t>
      </w:r>
    </w:p>
    <w:p>
      <w:pPr>
        <w:keepNext w:val="0"/>
        <w:keepLines w:val="0"/>
        <w:pageBreakBefore w:val="0"/>
        <w:widowControl/>
        <w:kinsoku/>
        <w:wordWrap w:val="0"/>
        <w:overflowPunct/>
        <w:topLinePunct/>
        <w:autoSpaceDE/>
        <w:bidi w:val="0"/>
        <w:adjustRightInd w:val="0"/>
        <w:snapToGrid w:val="0"/>
        <w:spacing w:line="560" w:lineRule="exact"/>
        <w:ind w:firstLineChars="200" w:firstLine="640"/>
        <w:jc w:val="left"/>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决算收入总计</w:t>
      </w:r>
      <w:r>
        <w:rPr>
          <w:rFonts w:ascii="仿宋_GB2312" w:eastAsia="仿宋_GB2312" w:cs="仿宋_GB2312" w:hint="eastAsia"/>
          <w:color w:val="000000"/>
          <w:sz w:val="32"/>
          <w:szCs w:val="32"/>
          <w:lang w:val="en-US" w:eastAsia="zh-CN"/>
        </w:rPr>
        <w:t>165.6</w:t>
      </w:r>
      <w:r>
        <w:rPr>
          <w:rFonts w:ascii="仿宋_GB2312" w:eastAsia="仿宋_GB2312" w:cs="仿宋_GB2312" w:hint="eastAsia"/>
          <w:color w:val="000000"/>
          <w:sz w:val="32"/>
          <w:szCs w:val="32"/>
        </w:rPr>
        <w:t>万元，其中本年收入合计</w:t>
      </w:r>
      <w:r>
        <w:rPr>
          <w:rFonts w:ascii="仿宋_GB2312" w:eastAsia="仿宋_GB2312" w:cs="仿宋_GB2312" w:hint="eastAsia"/>
          <w:color w:val="000000"/>
          <w:sz w:val="32"/>
          <w:szCs w:val="32"/>
          <w:lang w:val="en-US" w:eastAsia="zh-CN"/>
        </w:rPr>
        <w:t>165.6</w:t>
      </w:r>
      <w:r>
        <w:rPr>
          <w:rFonts w:ascii="仿宋_GB2312" w:eastAsia="仿宋_GB2312" w:cs="仿宋_GB2312" w:hint="eastAsia"/>
          <w:color w:val="000000"/>
          <w:sz w:val="32"/>
          <w:szCs w:val="32"/>
        </w:rPr>
        <w:t>万元（本年收入中：一般预算拨款收入</w:t>
      </w:r>
      <w:r>
        <w:rPr>
          <w:rFonts w:ascii="仿宋_GB2312" w:eastAsia="仿宋_GB2312" w:cs="仿宋_GB2312" w:hint="eastAsia"/>
          <w:color w:val="000000"/>
          <w:sz w:val="32"/>
          <w:szCs w:val="32"/>
          <w:lang w:val="en-US" w:eastAsia="zh-CN"/>
        </w:rPr>
        <w:t>165.62</w:t>
      </w:r>
      <w:r>
        <w:rPr>
          <w:rFonts w:ascii="仿宋_GB2312" w:eastAsia="仿宋_GB2312" w:cs="仿宋_GB2312" w:hint="eastAsia"/>
          <w:color w:val="000000"/>
          <w:sz w:val="32"/>
          <w:szCs w:val="32"/>
        </w:rPr>
        <w:t>万元，政府性基金预算财政拨款收入0.00万元）。调整职业年金基数、年中调整住房公积金等缴费基数，所以决算数比预算数高</w:t>
      </w:r>
    </w:p>
    <w:p>
      <w:pPr>
        <w:keepNext w:val="0"/>
        <w:keepLines w:val="0"/>
        <w:pageBreakBefore w:val="0"/>
        <w:widowControl/>
        <w:numPr>
          <w:ilvl w:val="0"/>
          <w:numId w:val="5"/>
        </w:numPr>
        <w:kinsoku/>
        <w:wordWrap w:val="0"/>
        <w:overflowPunct/>
        <w:topLinePunct/>
        <w:autoSpaceDE/>
        <w:autoSpaceDN/>
        <w:bidi w:val="0"/>
        <w:adjustRightInd w:val="0"/>
        <w:snapToGrid w:val="0"/>
        <w:spacing w:line="560" w:lineRule="exact"/>
        <w:ind w:left="0" w:firstLineChars="200" w:firstLine="776"/>
        <w:jc w:val="left"/>
        <w:textAlignment w:val="auto"/>
        <w:rPr>
          <w:rFonts w:ascii="仿宋_GB2312" w:eastAsia="仿宋_GB2312" w:cs="仿宋_GB2312" w:hint="eastAsia"/>
          <w:b/>
          <w:bCs/>
          <w:snapToGrid/>
          <w:color w:val="000000"/>
          <w:spacing w:val="34"/>
          <w:w w:val="100"/>
          <w:kern w:val="2"/>
          <w:sz w:val="32"/>
          <w:szCs w:val="32"/>
          <w:lang w:val="zh-CN" w:eastAsia="zh-CN"/>
        </w:rPr>
      </w:pPr>
      <w:r>
        <w:rPr>
          <w:rFonts w:ascii="仿宋_GB2312" w:eastAsia="仿宋_GB2312" w:cs="仿宋_GB2312" w:hint="eastAsia"/>
          <w:b/>
          <w:bCs/>
          <w:snapToGrid/>
          <w:color w:val="000000"/>
          <w:spacing w:val="34"/>
          <w:w w:val="100"/>
          <w:kern w:val="2"/>
          <w:sz w:val="32"/>
          <w:szCs w:val="32"/>
          <w:lang w:val="en-US" w:eastAsia="zh-CN"/>
        </w:rPr>
        <w:t>部门财政资金</w:t>
      </w:r>
      <w:r>
        <w:rPr>
          <w:rFonts w:ascii="仿宋_GB2312" w:eastAsia="仿宋_GB2312" w:cs="仿宋_GB2312" w:hint="eastAsia"/>
          <w:b/>
          <w:bCs/>
          <w:snapToGrid/>
          <w:color w:val="000000"/>
          <w:spacing w:val="34"/>
          <w:w w:val="100"/>
          <w:kern w:val="2"/>
          <w:sz w:val="32"/>
          <w:szCs w:val="32"/>
          <w:lang w:val="zh-CN" w:eastAsia="zh-CN"/>
        </w:rPr>
        <w:t>支出情况</w:t>
      </w:r>
    </w:p>
    <w:p>
      <w:pPr>
        <w:keepNext w:val="0"/>
        <w:keepLines w:val="0"/>
        <w:pageBreakBefore w:val="0"/>
        <w:widowControl/>
        <w:kinsoku/>
        <w:wordWrap w:val="0"/>
        <w:overflowPunct/>
        <w:topLinePunct/>
        <w:autoSpaceDE/>
        <w:bidi w:val="0"/>
        <w:adjustRightInd w:val="0"/>
        <w:snapToGrid w:val="0"/>
        <w:spacing w:line="560" w:lineRule="exact"/>
        <w:ind w:firstLineChars="200" w:firstLine="640"/>
        <w:jc w:val="left"/>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年决算支出合计</w:t>
      </w:r>
      <w:r>
        <w:rPr>
          <w:rFonts w:ascii="仿宋_GB2312" w:eastAsia="仿宋_GB2312" w:cs="仿宋_GB2312" w:hint="eastAsia"/>
          <w:color w:val="000000"/>
          <w:sz w:val="32"/>
          <w:szCs w:val="32"/>
          <w:lang w:val="en-US" w:eastAsia="zh-CN"/>
        </w:rPr>
        <w:t>165.6</w:t>
      </w:r>
      <w:r>
        <w:rPr>
          <w:rFonts w:ascii="仿宋_GB2312" w:eastAsia="仿宋_GB2312" w:cs="仿宋_GB2312" w:hint="eastAsia"/>
          <w:color w:val="000000"/>
          <w:sz w:val="32"/>
          <w:szCs w:val="32"/>
        </w:rPr>
        <w:t>万元，其中基本支出</w:t>
      </w:r>
      <w:r>
        <w:rPr>
          <w:rFonts w:ascii="仿宋_GB2312" w:eastAsia="仿宋_GB2312" w:cs="仿宋_GB2312" w:hint="eastAsia"/>
          <w:color w:val="000000"/>
          <w:sz w:val="32"/>
          <w:szCs w:val="32"/>
          <w:lang w:val="en-US" w:eastAsia="zh-CN"/>
        </w:rPr>
        <w:t>165.6</w:t>
      </w:r>
      <w:r>
        <w:rPr>
          <w:rFonts w:ascii="仿宋_GB2312" w:eastAsia="仿宋_GB2312" w:cs="仿宋_GB2312" w:hint="eastAsia"/>
          <w:color w:val="000000"/>
          <w:sz w:val="32"/>
          <w:szCs w:val="32"/>
        </w:rPr>
        <w:t>万元。</w:t>
      </w:r>
    </w:p>
    <w:p>
      <w:pPr>
        <w:keepNext w:val="0"/>
        <w:keepLines w:val="0"/>
        <w:pageBreakBefore w:val="0"/>
        <w:widowControl w:val="0"/>
        <w:numPr>
          <w:ilvl w:val="0"/>
          <w:numId w:val="4"/>
        </w:numPr>
        <w:suppressLineNumbers w:val="0"/>
        <w:suppressAutoHyphens w:val="0"/>
        <w:kinsoku/>
        <w:wordWrap/>
        <w:overflowPunct/>
        <w:topLinePunct w:val="0"/>
        <w:autoSpaceDE/>
        <w:autoSpaceDN w:val="0"/>
        <w:bidi w:val="0"/>
        <w:adjustRightInd/>
        <w:snapToGrid/>
        <w:spacing w:before="0" w:beforeAutospacing="0" w:after="0" w:afterAutospacing="0" w:line="560" w:lineRule="exact"/>
        <w:ind w:left="0" w:right="0" w:firstLineChars="200" w:firstLine="640"/>
        <w:jc w:val="both"/>
        <w:textAlignment w:val="auto"/>
        <w:outlineLvl w:val="0"/>
        <w:rPr>
          <w:rFonts w:ascii="Mongolian Baiti" w:eastAsia="黑体" w:cs="Mongolian Baiti" w:hAnsi="Mongolian Baiti"/>
          <w:color w:val="auto"/>
          <w:kern w:val="2"/>
          <w:sz w:val="32"/>
          <w:szCs w:val="32"/>
          <w:u w:val="none"/>
          <w:vertAlign w:val="baseline"/>
          <w:lang w:val="en-US" w:eastAsia="zh-CN" w:bidi="ar-SA"/>
        </w:rPr>
      </w:pPr>
      <w:r>
        <w:rPr>
          <w:rFonts w:ascii="Mongolian Baiti" w:eastAsia="黑体" w:cs="Mongolian Baiti" w:hAnsi="Mongolian Baiti" w:hint="eastAsia"/>
          <w:color w:val="auto"/>
          <w:kern w:val="2"/>
          <w:sz w:val="32"/>
          <w:szCs w:val="32"/>
          <w:u w:val="none"/>
          <w:vertAlign w:val="baseline"/>
          <w:lang w:val="en-US" w:eastAsia="zh-CN" w:bidi="ar-SA"/>
        </w:rPr>
        <w:t>部门整体预算绩效管理情况</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zh-CN" w:eastAsia="zh-CN"/>
        </w:rPr>
      </w:pPr>
      <w:r>
        <w:rPr>
          <w:rFonts w:ascii="楷体_GB2312" w:eastAsia="楷体_GB2312" w:cs="楷体_GB2312" w:hint="eastAsia"/>
          <w:b/>
          <w:bCs/>
          <w:color w:val="000000"/>
          <w:spacing w:val="-2"/>
          <w:sz w:val="32"/>
          <w:szCs w:val="32"/>
          <w:lang w:val="zh-CN" w:eastAsia="zh-CN"/>
        </w:rPr>
        <w:t>（一）预算编制情况</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严格按照县级部门预算编制通知和有关要求，按时完成基础库、项目库报送工作，按时完成2022年预算编制工作，并按时提交部门预算草案。按规定编制政府采购预算，预算编制全面、科学。按时完成基础库、项目库报送工作；预算编制准确，预工委审查后提出未提出修改的问题；部门整体绩效目标能完整、合理反映部门年度职责履行情况；对于州级转移支付资金及时下达分解，并按项目进度支付资金。</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zh-CN" w:eastAsia="zh-CN"/>
        </w:rPr>
      </w:pPr>
      <w:r>
        <w:rPr>
          <w:rFonts w:ascii="楷体_GB2312" w:eastAsia="楷体_GB2312" w:cs="楷体_GB2312" w:hint="eastAsia"/>
          <w:b/>
          <w:bCs/>
          <w:color w:val="000000"/>
          <w:spacing w:val="-2"/>
          <w:sz w:val="32"/>
          <w:szCs w:val="32"/>
          <w:lang w:val="zh-CN" w:eastAsia="zh-CN"/>
        </w:rPr>
        <w:t>（二）执行管理情况</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我中心</w:t>
      </w:r>
      <w:r>
        <w:rPr>
          <w:rFonts w:ascii="仿宋_GB2312" w:eastAsia="仿宋_GB2312" w:cs="Times New Roman" w:hint="eastAsia"/>
          <w:color w:val="000000"/>
          <w:spacing w:val="-2"/>
          <w:sz w:val="32"/>
          <w:szCs w:val="32"/>
          <w:lang w:val="en-US" w:eastAsia="zh-CN"/>
        </w:rPr>
        <w:t>2022年</w:t>
      </w:r>
      <w:r>
        <w:rPr>
          <w:rFonts w:ascii="仿宋_GB2312" w:eastAsia="仿宋_GB2312" w:cs="Times New Roman" w:hint="eastAsia"/>
          <w:color w:val="000000"/>
          <w:spacing w:val="-2"/>
          <w:sz w:val="32"/>
          <w:szCs w:val="32"/>
          <w:lang w:val="zh-CN" w:eastAsia="zh-CN"/>
        </w:rPr>
        <w:t>按要求严格预算执行管理，按规定及时分配财力专项预算，按规定在一个月内分配上级专款，严格执行“三公经费”预算，</w:t>
      </w:r>
      <w:r>
        <w:rPr>
          <w:rFonts w:ascii="仿宋_GB2312" w:eastAsia="仿宋_GB2312" w:cs="Times New Roman" w:hint="eastAsia"/>
          <w:color w:val="000000"/>
          <w:spacing w:val="-2"/>
          <w:sz w:val="32"/>
          <w:szCs w:val="32"/>
          <w:lang w:val="en-US" w:eastAsia="zh-CN"/>
        </w:rPr>
        <w:t>，2022年共计3.7万元公务用车运行维护费。主要用于车胎更换，旅游环境资源普查、景区统计加油及下乡出差加油</w:t>
      </w:r>
      <w:r>
        <w:rPr>
          <w:rFonts w:ascii="仿宋_GB2312" w:eastAsia="仿宋_GB2312" w:cs="Times New Roman" w:hint="eastAsia"/>
          <w:color w:val="000000"/>
          <w:spacing w:val="-2"/>
          <w:sz w:val="32"/>
          <w:szCs w:val="32"/>
          <w:lang w:val="zh-CN" w:eastAsia="zh-CN"/>
        </w:rPr>
        <w:t>无超预算支出，</w:t>
      </w:r>
      <w:r>
        <w:rPr>
          <w:rFonts w:ascii="仿宋_GB2312" w:eastAsia="仿宋_GB2312" w:cs="Times New Roman" w:hint="eastAsia"/>
          <w:color w:val="000000"/>
          <w:spacing w:val="-2"/>
          <w:sz w:val="32"/>
          <w:szCs w:val="32"/>
          <w:lang w:val="en-US" w:eastAsia="zh-CN"/>
        </w:rPr>
        <w:t>无公务接待费支出。</w:t>
      </w:r>
    </w:p>
    <w:p>
      <w:pPr>
        <w:keepNext w:val="0"/>
        <w:keepLines w:val="0"/>
        <w:pageBreakBefore w:val="0"/>
        <w:widowControl w:val="0"/>
        <w:kinsoku/>
        <w:overflowPunct/>
        <w:autoSpaceDE/>
        <w:bidi w:val="0"/>
        <w:spacing w:line="560" w:lineRule="exact"/>
        <w:ind w:firstLineChars="200" w:firstLine="632"/>
        <w:textAlignment w:val="auto"/>
        <w:outlineLvl w:val="1"/>
        <w:rPr>
          <w:rFonts w:ascii="楷体_GB2312" w:eastAsia="楷体_GB2312" w:cs="楷体_GB2312" w:hint="eastAsia"/>
          <w:b/>
          <w:bCs/>
          <w:color w:val="000000"/>
          <w:spacing w:val="-2"/>
          <w:sz w:val="32"/>
          <w:szCs w:val="32"/>
          <w:lang w:val="zh-CN" w:eastAsia="zh-CN"/>
        </w:rPr>
      </w:pPr>
      <w:r>
        <w:rPr>
          <w:rFonts w:ascii="楷体_GB2312" w:eastAsia="楷体_GB2312" w:cs="楷体_GB2312" w:hint="eastAsia"/>
          <w:b/>
          <w:bCs/>
          <w:color w:val="000000"/>
          <w:spacing w:val="-2"/>
          <w:sz w:val="32"/>
          <w:szCs w:val="32"/>
          <w:lang w:val="zh-CN" w:eastAsia="zh-CN"/>
        </w:rPr>
        <w:t>（三）综合管理情况</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202</w:t>
      </w:r>
      <w:r>
        <w:rPr>
          <w:rFonts w:ascii="仿宋_GB2312" w:eastAsia="仿宋_GB2312" w:cs="Times New Roman" w:hint="eastAsia"/>
          <w:color w:val="000000"/>
          <w:spacing w:val="-2"/>
          <w:sz w:val="32"/>
          <w:szCs w:val="32"/>
          <w:lang w:val="en-US" w:eastAsia="zh-CN"/>
        </w:rPr>
        <w:t>2</w:t>
      </w:r>
      <w:r>
        <w:rPr>
          <w:rFonts w:ascii="仿宋_GB2312" w:eastAsia="仿宋_GB2312" w:cs="Times New Roman" w:hint="eastAsia"/>
          <w:color w:val="000000"/>
          <w:spacing w:val="-2"/>
          <w:sz w:val="32"/>
          <w:szCs w:val="32"/>
          <w:lang w:val="zh-CN" w:eastAsia="zh-CN"/>
        </w:rPr>
        <w:t>年我</w:t>
      </w:r>
      <w:r>
        <w:rPr>
          <w:rFonts w:ascii="仿宋_GB2312" w:eastAsia="仿宋_GB2312" w:cs="Times New Roman" w:hint="eastAsia"/>
          <w:color w:val="000000"/>
          <w:spacing w:val="-2"/>
          <w:sz w:val="32"/>
          <w:szCs w:val="32"/>
          <w:lang w:val="en-US" w:eastAsia="zh-CN"/>
        </w:rPr>
        <w:t>单位</w:t>
      </w:r>
      <w:r>
        <w:rPr>
          <w:rFonts w:ascii="仿宋_GB2312" w:eastAsia="仿宋_GB2312" w:cs="Times New Roman" w:hint="eastAsia"/>
          <w:color w:val="000000"/>
          <w:spacing w:val="-2"/>
          <w:sz w:val="32"/>
          <w:szCs w:val="32"/>
          <w:lang w:val="zh-CN" w:eastAsia="zh-CN"/>
        </w:rPr>
        <w:t>建立健全了内部控制制度，并严格执行；严格按照县财政通知要求公开预算、决算、部门整体绩效；严格按照县财政局要求对部门整体全面进行绩效评价，并及时上报财政，对绩效评价发现问题制定整改措施，并整改落实到位；严格按照县财政局文件要求及时进行自查，并上报材料，未发现违纪违规问题。202</w:t>
      </w:r>
      <w:r>
        <w:rPr>
          <w:rFonts w:ascii="仿宋_GB2312" w:eastAsia="仿宋_GB2312" w:cs="Times New Roman" w:hint="eastAsia"/>
          <w:color w:val="000000"/>
          <w:spacing w:val="-2"/>
          <w:sz w:val="32"/>
          <w:szCs w:val="32"/>
          <w:lang w:val="en-US" w:eastAsia="zh-CN"/>
        </w:rPr>
        <w:t>2</w:t>
      </w:r>
      <w:r>
        <w:rPr>
          <w:rFonts w:ascii="仿宋_GB2312" w:eastAsia="仿宋_GB2312" w:cs="Times New Roman" w:hint="eastAsia"/>
          <w:color w:val="000000"/>
          <w:spacing w:val="-2"/>
          <w:sz w:val="32"/>
          <w:szCs w:val="32"/>
          <w:lang w:val="zh-CN" w:eastAsia="zh-CN"/>
        </w:rPr>
        <w:t>年我中心根据部门职能职责，认真完成县委县政府安排的各项专项工作任务及其他年度重点工作任务。</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（四）整体绩效。2022年我中心全面完成各项绩效目标，具体如下：</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贯彻国家、省、州有关旅游业的法律法规规章政策，制定旅游发展政策规划，并组织实施；研究拟订旅游市场开发战略，培育完善旅游开发市场；组织全县旅游行业整体形象宣传；组织全县的旅游资源的普查，规划指导协调旅游资源开发保护，负责全县旅游统计工作；监督旅游市场秩序和服务质量，负责重大旅游安全事故的救援与处理，协同有关部门协调交通运输；规划指导全县的旅游教育培训工作，贯彻实施旅游从业人员的职业资格制度和等级制度等。</w:t>
      </w:r>
    </w:p>
    <w:p>
      <w:pPr>
        <w:keepNext w:val="0"/>
        <w:keepLines w:val="0"/>
        <w:pageBreakBefore w:val="0"/>
        <w:widowControl w:val="0"/>
        <w:kinsoku/>
        <w:overflowPunct/>
        <w:autoSpaceDE/>
        <w:bidi w:val="0"/>
        <w:spacing w:line="560" w:lineRule="exact"/>
        <w:ind w:firstLineChars="200" w:firstLine="632"/>
        <w:textAlignment w:val="auto"/>
        <w:outlineLvl w:val="1"/>
        <w:rPr>
          <w:rFonts w:ascii="黑体" w:eastAsia="黑体" w:cs="黑体" w:hint="eastAsia"/>
          <w:color w:val="000000"/>
          <w:spacing w:val="-2"/>
          <w:sz w:val="32"/>
          <w:szCs w:val="32"/>
          <w:lang w:val="zh-CN" w:eastAsia="zh-CN"/>
        </w:rPr>
      </w:pPr>
      <w:r>
        <w:rPr>
          <w:rFonts w:ascii="黑体" w:eastAsia="黑体" w:cs="黑体" w:hint="eastAsia"/>
          <w:color w:val="000000"/>
          <w:spacing w:val="-2"/>
          <w:sz w:val="32"/>
          <w:szCs w:val="32"/>
          <w:lang w:val="zh-CN" w:eastAsia="zh-CN"/>
        </w:rPr>
        <w:t>四、评价结论及建议</w:t>
      </w:r>
    </w:p>
    <w:p>
      <w:pPr>
        <w:keepNext w:val="0"/>
        <w:keepLines w:val="0"/>
        <w:pageBreakBefore w:val="0"/>
        <w:widowControl w:val="0"/>
        <w:kinsoku/>
        <w:overflowPunct/>
        <w:autoSpaceDE/>
        <w:bidi w:val="0"/>
        <w:spacing w:line="560" w:lineRule="exact"/>
        <w:ind w:firstLineChars="200" w:firstLine="632"/>
        <w:textAlignment w:val="auto"/>
        <w:outlineLvl w:val="1"/>
        <w:rPr>
          <w:rFonts w:ascii="楷体_GB2312" w:eastAsia="楷体_GB2312" w:cs="楷体_GB2312" w:hint="eastAsia"/>
          <w:b/>
          <w:bCs/>
          <w:color w:val="000000"/>
          <w:spacing w:val="-2"/>
          <w:sz w:val="32"/>
          <w:szCs w:val="32"/>
          <w:lang w:val="en-US" w:eastAsia="zh-CN"/>
        </w:rPr>
      </w:pPr>
      <w:r>
        <w:rPr>
          <w:rFonts w:ascii="楷体_GB2312" w:eastAsia="楷体_GB2312" w:cs="楷体_GB2312" w:hint="eastAsia"/>
          <w:b/>
          <w:bCs/>
          <w:color w:val="000000"/>
          <w:spacing w:val="-2"/>
          <w:sz w:val="32"/>
          <w:szCs w:val="32"/>
          <w:lang w:val="zh-CN" w:eastAsia="zh-CN"/>
        </w:rPr>
        <w:t>一、</w:t>
      </w:r>
      <w:r>
        <w:rPr>
          <w:rFonts w:ascii="楷体_GB2312" w:eastAsia="楷体_GB2312" w:cs="楷体_GB2312" w:hint="eastAsia"/>
          <w:b/>
          <w:bCs/>
          <w:color w:val="000000"/>
          <w:spacing w:val="-2"/>
          <w:sz w:val="32"/>
          <w:szCs w:val="32"/>
          <w:lang w:val="en-US" w:eastAsia="zh-CN"/>
        </w:rPr>
        <w:t>评价结论</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我单位严格执行支出绩效评价，自评打分96分，部门整体绩效运行良好。</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b/>
          <w:bCs/>
          <w:color w:val="000000"/>
          <w:spacing w:val="-2"/>
          <w:sz w:val="32"/>
          <w:szCs w:val="32"/>
          <w:lang w:val="en-US" w:eastAsia="zh-CN"/>
        </w:rPr>
      </w:pPr>
      <w:r>
        <w:rPr>
          <w:rFonts w:ascii="仿宋_GB2312" w:eastAsia="仿宋_GB2312" w:cs="Times New Roman" w:hint="eastAsia"/>
          <w:b/>
          <w:bCs/>
          <w:color w:val="000000"/>
          <w:spacing w:val="-2"/>
          <w:sz w:val="32"/>
          <w:szCs w:val="32"/>
          <w:lang w:val="en-US" w:eastAsia="zh-CN"/>
        </w:rPr>
        <w:t>存在问题：</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color w:val="000000"/>
          <w:spacing w:val="-2"/>
          <w:sz w:val="32"/>
          <w:szCs w:val="32"/>
          <w:lang w:val="en-US" w:eastAsia="zh-CN"/>
        </w:rPr>
      </w:pPr>
      <w:r>
        <w:rPr>
          <w:rFonts w:ascii="仿宋_GB2312" w:eastAsia="仿宋_GB2312" w:cs="Times New Roman" w:hint="eastAsia"/>
          <w:color w:val="000000"/>
          <w:spacing w:val="-2"/>
          <w:sz w:val="32"/>
          <w:szCs w:val="32"/>
          <w:lang w:val="zh-CN" w:eastAsia="zh-CN"/>
        </w:rPr>
        <w:t>整体绩效目标不够完整，数量指标不易准确量化年初编制的整体绩效目标编制要素不够完善，缺少成本控制等指标，目标编制不够科学合理；数量指标不易准确量化且偏少。</w:t>
      </w:r>
    </w:p>
    <w:p>
      <w:pPr>
        <w:keepNext w:val="0"/>
        <w:keepLines w:val="0"/>
        <w:pageBreakBefore w:val="0"/>
        <w:widowControl w:val="0"/>
        <w:kinsoku/>
        <w:overflowPunct/>
        <w:autoSpaceDE/>
        <w:bidi w:val="0"/>
        <w:spacing w:line="560" w:lineRule="exact"/>
        <w:ind w:firstLineChars="200" w:firstLine="632"/>
        <w:textAlignment w:val="auto"/>
        <w:outlineLvl w:val="1"/>
        <w:rPr>
          <w:rFonts w:ascii="黑体" w:eastAsia="黑体" w:cs="黑体" w:hint="eastAsia"/>
          <w:color w:val="000000"/>
          <w:spacing w:val="-2"/>
          <w:sz w:val="32"/>
          <w:szCs w:val="32"/>
          <w:lang w:val="en-US" w:eastAsia="zh-CN"/>
        </w:rPr>
      </w:pPr>
      <w:r>
        <w:rPr>
          <w:rFonts w:ascii="黑体" w:eastAsia="黑体" w:cs="黑体" w:hint="eastAsia"/>
          <w:color w:val="000000"/>
          <w:spacing w:val="-2"/>
          <w:sz w:val="32"/>
          <w:szCs w:val="32"/>
          <w:lang w:val="en-US" w:eastAsia="zh-CN"/>
        </w:rPr>
        <w:t>三、改进建议</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zh-CN" w:eastAsia="zh-CN"/>
        </w:rPr>
        <w:t>预算编制还需进一步细化，针对我中心预算存在的问题，提出以下建议：</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1、要提高决算人员的业务水平，各地要将业务骨干充实到决算工作队伍来，加强学习、培训，提高业务水平；二是在人力、财力、物力等方面给予充分保障，为完成决算工作提供坚强有力的组织保障；三是要提升单位财务人员的业务素质，财政部门要开展多渠道，多形式的业务知识培训，使单位编制决算的财务人员熟练掌握编报方法和内容，为做好决算工作打下扎实基础。</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zh-CN" w:eastAsia="zh-CN"/>
        </w:rPr>
      </w:pPr>
      <w:r>
        <w:rPr>
          <w:rFonts w:ascii="仿宋_GB2312" w:eastAsia="仿宋_GB2312" w:cs="Times New Roman" w:hint="eastAsia"/>
          <w:color w:val="000000"/>
          <w:spacing w:val="-2"/>
          <w:sz w:val="32"/>
          <w:szCs w:val="32"/>
          <w:lang w:val="en-US" w:eastAsia="zh-CN"/>
        </w:rPr>
        <w:t>2</w:t>
      </w:r>
      <w:r>
        <w:rPr>
          <w:rFonts w:ascii="仿宋_GB2312" w:eastAsia="仿宋_GB2312" w:cs="Times New Roman" w:hint="eastAsia"/>
          <w:color w:val="000000"/>
          <w:spacing w:val="-2"/>
          <w:sz w:val="32"/>
          <w:szCs w:val="32"/>
          <w:lang w:val="zh-CN" w:eastAsia="zh-CN"/>
        </w:rPr>
        <w:t>、遵循先有预算、后有支出的原则，加强财务管理和内部控制监督制度。严禁超预算和无预算安排支出，严格开支范围和标准，严格支出报销审核，不报销任何超范围、超标准的费用。</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en-US" w:eastAsia="zh-CN"/>
        </w:rPr>
      </w:pPr>
      <w:r>
        <w:rPr>
          <w:rFonts w:ascii="仿宋_GB2312" w:eastAsia="仿宋_GB2312" w:cs="Times New Roman" w:hint="eastAsia"/>
          <w:color w:val="000000"/>
          <w:spacing w:val="-2"/>
          <w:sz w:val="32"/>
          <w:szCs w:val="32"/>
          <w:lang w:val="en-US" w:eastAsia="zh-CN"/>
        </w:rPr>
        <w:t>3</w:t>
      </w:r>
      <w:r>
        <w:rPr>
          <w:rFonts w:ascii="仿宋_GB2312" w:eastAsia="仿宋_GB2312" w:cs="Times New Roman" w:hint="eastAsia"/>
          <w:color w:val="000000"/>
          <w:spacing w:val="-2"/>
          <w:sz w:val="32"/>
          <w:szCs w:val="32"/>
          <w:lang w:val="zh-CN" w:eastAsia="zh-CN"/>
        </w:rPr>
        <w:t>、严格控制“三公”经费。认真贯彻落实中央、省委省政府和县委县政府相关规定，严格“三公”经费支出的审核和审批，合理压缩“三公”经费支出。</w:t>
      </w:r>
    </w:p>
    <w:p>
      <w:pPr>
        <w:keepNext w:val="0"/>
        <w:keepLines w:val="0"/>
        <w:pageBreakBefore w:val="0"/>
        <w:widowControl w:val="0"/>
        <w:kinsoku/>
        <w:overflowPunct/>
        <w:autoSpaceDE/>
        <w:bidi w:val="0"/>
        <w:spacing w:line="560" w:lineRule="exact"/>
        <w:ind w:firstLineChars="200" w:firstLine="632"/>
        <w:textAlignment w:val="auto"/>
        <w:outlineLvl w:val="1"/>
        <w:rPr>
          <w:rFonts w:ascii="仿宋_GB2312" w:eastAsia="仿宋_GB2312" w:cs="Times New Roman" w:hint="eastAsia"/>
          <w:color w:val="000000"/>
          <w:spacing w:val="-2"/>
          <w:sz w:val="32"/>
          <w:szCs w:val="32"/>
          <w:lang w:val="zh-CN" w:eastAsia="zh-CN"/>
        </w:rPr>
      </w:pPr>
    </w:p>
    <w:p>
      <w:pPr>
        <w:spacing w:line="600" w:lineRule="exact"/>
        <w:ind w:firstLineChars="200" w:firstLine="632"/>
        <w:outlineLvl w:val="1"/>
        <w:rPr>
          <w:rFonts w:ascii="仿宋_GB2312" w:eastAsia="仿宋_GB2312" w:cs="Times New Roman" w:hint="eastAsia"/>
          <w:color w:val="000000"/>
          <w:spacing w:val="-2"/>
          <w:sz w:val="32"/>
          <w:szCs w:val="32"/>
          <w:lang w:val="zh-CN" w:eastAsia="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bookmarkStart w:id="77" w:name="_Toc26843625"/>
      <w:bookmarkStart w:id="78" w:name="_Toc15396618"/>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ageBreakBefore w:val="0"/>
        <w:widowControl w:val="0"/>
        <w:kinsoku/>
        <w:wordWrap/>
        <w:overflowPunct/>
        <w:topLinePunct w:val="0"/>
        <w:bidi w:val="0"/>
        <w:spacing w:line="576" w:lineRule="exact"/>
        <w:ind w:firstLineChars="600" w:firstLine="2640"/>
        <w:jc w:val="both"/>
        <w:outlineLvl w:val="0"/>
        <w:rPr>
          <w:rFonts w:ascii="Times New Roman" w:eastAsia="黑体" w:cs="Times New Roman" w:hAnsi="Times New Roman"/>
          <w:sz w:val="44"/>
          <w:szCs w:val="44"/>
        </w:rPr>
      </w:pPr>
    </w:p>
    <w:p>
      <w:pPr>
        <w:pStyle w:val="15"/>
        <w:rPr>
          <w:rFonts w:ascii="Times New Roman" w:eastAsia="黑体" w:cs="Times New Roman" w:hAnsi="Times New Roman"/>
          <w:sz w:val="44"/>
          <w:szCs w:val="44"/>
        </w:rPr>
      </w:pPr>
    </w:p>
    <w:p>
      <w:pPr>
        <w:rPr>
          <w:rFonts w:ascii="Times New Roman" w:eastAsia="黑体" w:cs="Times New Roman" w:hAnsi="Times New Roman"/>
          <w:sz w:val="44"/>
          <w:szCs w:val="44"/>
        </w:rPr>
      </w:pPr>
    </w:p>
    <w:p>
      <w:pPr>
        <w:pStyle w:val="15"/>
        <w:rPr>
          <w:rFonts w:ascii="Times New Roman" w:eastAsia="黑体" w:cs="Times New Roman" w:hAnsi="Times New Roman"/>
          <w:sz w:val="44"/>
          <w:szCs w:val="44"/>
        </w:rPr>
      </w:pPr>
    </w:p>
    <w:p>
      <w:pPr>
        <w:rPr>
          <w:rFonts w:ascii="Times New Roman" w:eastAsia="黑体" w:cs="Times New Roman" w:hAnsi="Times New Roman"/>
          <w:sz w:val="44"/>
          <w:szCs w:val="44"/>
        </w:rPr>
      </w:pPr>
    </w:p>
    <w:p>
      <w:pPr>
        <w:pStyle w:val="15"/>
      </w:pPr>
    </w:p>
    <w:p>
      <w:pPr>
        <w:pageBreakBefore w:val="0"/>
        <w:widowControl w:val="0"/>
        <w:kinsoku/>
        <w:wordWrap/>
        <w:overflowPunct/>
        <w:topLinePunct w:val="0"/>
        <w:bidi w:val="0"/>
        <w:spacing w:line="576" w:lineRule="exact"/>
        <w:ind w:firstLineChars="600" w:firstLine="2640"/>
        <w:jc w:val="both"/>
        <w:outlineLvl w:val="0"/>
        <w:rPr>
          <w:rFonts w:ascii="Times New Roman" w:eastAsia="仿宋" w:cs="Times New Roman" w:hAnsi="Times New Roman"/>
        </w:rPr>
      </w:pPr>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79" w:name="_Toc15396619"/>
      <w:bookmarkEnd w:id="70"/>
      <w:bookmarkEnd w:id="77"/>
      <w:bookmarkEnd w:id="7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0"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79"/>
      <w:bookmarkEnd w:id="8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1" w:name="_Toc26843627"/>
      <w:bookmarkStart w:id="82" w:name="_Toc1539662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81"/>
      <w:bookmarkEnd w:id="8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3" w:name="_Toc15396621"/>
      <w:bookmarkStart w:id="84" w:name="_Toc26843628"/>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83"/>
      <w:bookmarkEnd w:id="8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85" w:name="_Toc26843629"/>
      <w:bookmarkStart w:id="86" w:name="_Toc15396622"/>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85"/>
      <w:bookmarkEnd w:id="86"/>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87" w:name="_Toc26843630"/>
      <w:bookmarkStart w:id="88" w:name="_Toc15396623"/>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89" w:name="_Toc15396624"/>
      <w:bookmarkEnd w:id="87"/>
      <w:bookmarkEnd w:id="8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0"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89"/>
      <w:bookmarkEnd w:id="9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1" w:name="_Toc26843632"/>
      <w:bookmarkStart w:id="92" w:name="_Toc15396625"/>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91"/>
      <w:bookmarkEnd w:id="9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3" w:name="_Toc15396626"/>
      <w:bookmarkStart w:id="94" w:name="_Toc26843633"/>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93"/>
      <w:bookmarkEnd w:id="9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5" w:name="_Toc26843634"/>
      <w:bookmarkStart w:id="96" w:name="_Toc15396627"/>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95"/>
      <w:bookmarkEnd w:id="96"/>
    </w:p>
    <w:p>
      <w:pPr>
        <w:pStyle w:val="2"/>
        <w:keepNext/>
        <w:keepLines/>
        <w:pageBreakBefore w:val="0"/>
        <w:widowControl w:val="0"/>
        <w:kinsoku/>
        <w:wordWrap/>
        <w:overflowPunct/>
        <w:topLinePunct w:val="0"/>
        <w:bidi w:val="0"/>
        <w:spacing w:line="576" w:lineRule="exact"/>
        <w:rPr>
          <w:rFonts w:ascii="Times New Roman" w:eastAsia="仿宋" w:hAnsi="Times New Roman"/>
        </w:rPr>
      </w:pPr>
      <w:bookmarkStart w:id="97" w:name="_Toc26843635"/>
      <w:bookmarkStart w:id="98" w:name="_Toc15396628"/>
      <w:r>
        <w:rPr>
          <w:rStyle w:val="2Char"/>
          <w:rFonts w:ascii="Times New Roman" w:eastAsia="仿宋" w:cs="Times New Roman" w:hAnsi="Times New Roman"/>
          <w:b w:val="0"/>
          <w:bCs w:val="0"/>
        </w:rPr>
        <w:t>十、</w:t>
      </w:r>
      <w:bookmarkStart w:id="99" w:name="_Toc26843636"/>
      <w:bookmarkStart w:id="100" w:name="_Toc15396629"/>
      <w:bookmarkEnd w:id="97"/>
      <w:bookmarkEnd w:id="98"/>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r>
        <w:rPr>
          <w:rStyle w:val="2Char"/>
          <w:rFonts w:ascii="Times New Roman" w:eastAsia="仿宋" w:cs="Times New Roman" w:hAnsi="Times New Roman"/>
          <w:b w:val="0"/>
          <w:bCs w:val="0"/>
        </w:rPr>
        <w:t>十一、</w:t>
      </w:r>
      <w:bookmarkStart w:id="101" w:name="_Toc26843637"/>
      <w:bookmarkStart w:id="102" w:name="_Toc15396630"/>
      <w:bookmarkEnd w:id="99"/>
      <w:bookmarkEnd w:id="100"/>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r>
        <w:rPr>
          <w:rStyle w:val="2Char"/>
          <w:rFonts w:ascii="Times New Roman" w:eastAsia="仿宋" w:cs="Times New Roman" w:hAnsi="Times New Roman"/>
          <w:b w:val="0"/>
          <w:bCs w:val="0"/>
        </w:rPr>
        <w:t>十二、</w:t>
      </w:r>
      <w:bookmarkStart w:id="103" w:name="_Toc15396631"/>
      <w:bookmarkStart w:id="104" w:name="_Toc26843638"/>
      <w:bookmarkEnd w:id="101"/>
      <w:bookmarkEnd w:id="102"/>
      <w:r>
        <w:rPr>
          <w:rStyle w:val="2Char"/>
          <w:rFonts w:ascii="Times New Roman" w:eastAsia="仿宋" w:cs="Times New Roman" w:hAnsi="Times New Roman"/>
          <w:b w:val="0"/>
          <w:bCs w:val="0"/>
        </w:rPr>
        <w:t>国有资本经营预算财政拨款支出决算</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r>
        <w:rPr>
          <w:rStyle w:val="2Char"/>
          <w:rFonts w:ascii="Times New Roman" w:eastAsia="仿宋" w:cs="Times New Roman" w:hAnsi="Times New Roman"/>
          <w:b w:val="0"/>
          <w:bCs w:val="0"/>
        </w:rPr>
        <w:t>十三、</w:t>
      </w:r>
      <w:bookmarkStart w:id="105" w:name="_Toc26843639"/>
      <w:bookmarkEnd w:id="103"/>
      <w:bookmarkEnd w:id="104"/>
      <w:bookmarkEnd w:id="105"/>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般公共预算财政拨款“三公”经费支出决算表</w:t>
      </w:r>
    </w:p>
    <w:p>
      <w:pPr>
        <w:pageBreakBefore w:val="0"/>
        <w:widowControl w:val="0"/>
        <w:kinsoku/>
        <w:wordWrap/>
        <w:overflowPunct/>
        <w:topLinePunct w:val="0"/>
        <w:bidi w:val="0"/>
        <w:spacing w:line="576" w:lineRule="exact"/>
        <w:rPr>
          <w:rFonts w:ascii="Times New Roman" w:eastAsia="仿宋" w:cs="Times New Roman" w:hAnsi="Times New Roma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50"/>
    <w:family w:val="auto"/>
    <w:pitch w:val="variable"/>
    <w:sig w:usb0="00000203" w:usb1="288F0000" w:usb2="00000006" w:usb3="00000000" w:csb0="00040001" w:csb1="00000000"/>
  </w:font>
  <w:font w:name="Times New Roman">
    <w:panose1 w:val="02020603050405020304"/>
    <w:charset w:val="01"/>
    <w:family w:val="auto"/>
    <w:pitch w:val="variable"/>
    <w:sig w:usb0="E0002EFF" w:usb1="C000785B" w:usb2="00000009" w:usb3="00000000" w:csb0="400001FF" w:csb1="FFFF0000"/>
  </w:font>
  <w:font w:name="方正小标宋简体">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方正黑体_GBK">
    <w:altName w:val="微软雅黑"/>
    <w:panose1 w:val="03000509000000000000"/>
    <w:charset w:val="86"/>
    <w:family w:val="auto"/>
    <w:pitch w:val="variable"/>
    <w:sig w:usb0="00000000" w:usb1="00000000" w:usb2="00000000" w:usb3="00000000" w:csb0="00040000" w:csb1="00000000"/>
  </w:font>
  <w:font w:name="Mongolian Baiti">
    <w:panose1 w:val="03000500000000000000"/>
    <w:charset w:val="00"/>
    <w:family w:val="auto"/>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2000019F" w:csb1="00000000"/>
  </w:font>
  <w:font w:name="Calibri">
    <w:panose1 w:val="020F0502020204030204"/>
    <w:charset w:val="00"/>
    <w:family w:val="swiss"/>
    <w:pitch w:val="variable"/>
    <w:sig w:usb0="E4002EFF" w:usb1="C200247B" w:usb2="00000009" w:usb3="00000000" w:csb0="200001FF" w:csb1="00000000"/>
  </w:font>
  <w:font w:name="Arial">
    <w:panose1 w:val="020B0604020202020204"/>
    <w:charset w:val="01"/>
    <w:family w:val="swiss"/>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jc w:val="center"/>
    </w:pPr>
    <w:r>
      <w:rPr>
        <w:sz w:val="18"/>
      </w:rPr>
      <mc:AlternateContent>
        <mc:Choice Requires="wps">
          <w:drawing>
            <wp:anchor distT="0" distB="0" distL="114298" distR="114298" simplePos="0" relativeHeight="19" behindDoc="0" locked="0" layoutInCell="1" hidden="0" allowOverlap="1">
              <wp:simplePos x="0" y="0"/>
              <wp:positionH relativeFrom="margin">
                <wp:align>center</wp:align>
              </wp:positionH>
              <wp:positionV relativeFrom="paragraph">
                <wp:posOffset>0</wp:posOffset>
              </wp:positionV>
              <wp:extent cx="711199" cy="230251"/>
              <wp:effectExtent l="0" t="0" r="0" b="0"/>
              <wp:wrapNone/>
              <wp:docPr id="1" name="文本框 1"/>
              <wp:cNvGraphicFramePr>
                <a:graphicFrameLocks noChangeAspect="0"/>
              </wp:cNvGraphicFramePr>
              <a:graphic>
                <a:graphicData uri="http://schemas.microsoft.com/office/word/2010/wordprocessingShape">
                  <wps:wsp>
                    <wps:cNvSpPr/>
                    <wps:spPr>
                      <a:xfrm rot="0">
                        <a:off x="0" y="0"/>
                        <a:ext cx="711199" cy="230251"/>
                      </a:xfrm>
                      <a:prstGeom prst="rect"/>
                      <a:noFill/>
                      <a:ln w="6350" cmpd="sng" cap="flat">
                        <a:noFill/>
                        <a:prstDash val="solid"/>
                        <a:round/>
                      </a:ln>
                    </wps:spPr>
                    <wps:txbx id="2">
                      <w:txbxContent>
                        <w:p>
                          <w:pPr>
                            <w:pStyle w:val="19"/>
                            <w:tabs>
                              <w:tab w:val="center" w:pos="4153"/>
                              <w:tab w:val="right" w:pos="8306"/>
                            </w:tabs>
                            <w:rPr>
                              <w:rFonts w:ascii="宋体" w:eastAsia="宋体" w:cs="宋体" w:hint="eastAsia"/>
                              <w:sz w:val="28"/>
                              <w:szCs w:val="28"/>
                            </w:rPr>
                          </w:pPr>
                          <w:r>
                            <w:rPr>
                              <w:rFonts w:ascii="宋体" w:eastAsia="宋体" w:cs="宋体" w:hint="eastAsia"/>
                              <w:sz w:val="28"/>
                              <w:szCs w:val="28"/>
                            </w:rPr>
                            <w:t xml:space="preserve">— </w:t>
                          </w: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2</w:t>
                          </w:r>
                          <w:r>
                            <w:rPr>
                              <w:rFonts w:ascii="宋体" w:eastAsia="宋体" w:cs="宋体" w:hint="eastAsia"/>
                              <w:sz w:val="28"/>
                              <w:szCs w:val="28"/>
                            </w:rPr>
                            <w:fldChar w:fldCharType="end"/>
                          </w:r>
                          <w:r>
                            <w:rPr>
                              <w:rFonts w:ascii="宋体" w:eastAsia="宋体" w:cs="宋体" w:hint="eastAsia"/>
                              <w:sz w:val="28"/>
                              <w:szCs w:val="28"/>
                            </w:rPr>
                            <w:t xml:space="preserve"> —</w:t>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55.999985pt;height:18.130003pt;z-index:19;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9"/>
                      <w:tabs>
                        <w:tab w:val="center" w:pos="4153"/>
                        <w:tab w:val="right" w:pos="8306"/>
                      </w:tabs>
                      <w:rPr>
                        <w:rFonts w:ascii="宋体" w:eastAsia="宋体" w:cs="宋体" w:hint="eastAsia"/>
                        <w:sz w:val="28"/>
                        <w:szCs w:val="28"/>
                      </w:rPr>
                    </w:pPr>
                    <w:r>
                      <w:rPr>
                        <w:rFonts w:ascii="宋体" w:eastAsia="宋体" w:cs="宋体" w:hint="eastAsia"/>
                        <w:sz w:val="28"/>
                        <w:szCs w:val="28"/>
                      </w:rPr>
                      <w:t xml:space="preserve">— </w:t>
                    </w:r>
                    <w:r>
                      <w:rPr>
                        <w:rFonts w:ascii="宋体" w:eastAsia="宋体" w:cs="宋体" w:hint="eastAsia"/>
                        <w:sz w:val="28"/>
                        <w:szCs w:val="28"/>
                      </w:rPr>
                      <w:fldChar w:fldCharType="begin"/>
                    </w:r>
                    <w:r>
                      <w:rPr>
                        <w:rFonts w:ascii="宋体" w:eastAsia="宋体" w:cs="宋体" w:hint="eastAsia"/>
                        <w:sz w:val="28"/>
                        <w:szCs w:val="28"/>
                      </w:rPr>
                      <w:instrText xml:space="preserve"> PAGE  \* MERGEFORMAT </w:instrText>
                    </w:r>
                    <w:r>
                      <w:rPr>
                        <w:rFonts w:ascii="宋体" w:eastAsia="宋体" w:cs="宋体" w:hint="eastAsia"/>
                        <w:sz w:val="28"/>
                        <w:szCs w:val="28"/>
                      </w:rPr>
                      <w:fldChar w:fldCharType="separate"/>
                    </w:r>
                    <w:r>
                      <w:rPr>
                        <w:rFonts w:ascii="宋体" w:eastAsia="宋体" w:cs="宋体" w:hint="eastAsia"/>
                        <w:sz w:val="28"/>
                        <w:szCs w:val="28"/>
                      </w:rPr>
                      <w:t>2</w:t>
                    </w:r>
                    <w:r>
                      <w:rPr>
                        <w:rFonts w:ascii="宋体" w:eastAsia="宋体" w:cs="宋体" w:hint="eastAsia"/>
                        <w:sz w:val="28"/>
                        <w:szCs w:val="28"/>
                      </w:rPr>
                      <w:fldChar w:fldCharType="end"/>
                    </w:r>
                    <w:r>
                      <w:rPr>
                        <w:rFonts w:ascii="宋体" w:eastAsia="宋体" w:cs="宋体" w:hint="eastAsia"/>
                        <w:sz w:val="28"/>
                        <w:szCs w:val="28"/>
                      </w:rPr>
                      <w:t xml:space="preserve"> —</w:t>
                    </w:r>
                  </w:p>
                </w:txbxContent>
              </v:textbox>
            </v:shape>
          </w:pict>
        </mc:Fallback>
      </mc:AlternateContent>
    </w:r>
  </w:p>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95800A3"/>
    <w:multiLevelType w:val="singleLevel"/>
    <w:tmpl w:val="B95800A3"/>
    <w:lvl w:ilvl="0">
      <w:start w:val="2"/>
      <w:numFmt w:val="decimal"/>
      <w:lvlRestart w:val="0"/>
      <w:suff w:val="nothing"/>
      <w:lvlText w:val="%1、"/>
      <w:lvlJc w:val="left"/>
      <w:pPr>
        <w:ind w:left="0" w:hanging="0"/>
      </w:p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3">
    <w:nsid w:val="02CAF503"/>
    <w:multiLevelType w:val="singleLevel"/>
    <w:tmpl w:val="02CAF503"/>
    <w:lvl w:ilvl="0">
      <w:start w:val="2"/>
      <w:numFmt w:val="chineseCounting"/>
      <w:lvlRestart w:val="0"/>
      <w:suff w:val="nothing"/>
      <w:lvlText w:val="%1、"/>
      <w:lvlJc w:val="left"/>
      <w:pPr>
        <w:ind w:left="0" w:hanging="0"/>
      </w:pPr>
      <w:rPr>
        <w:rFonts w:hint="eastAsia"/>
      </w:rPr>
    </w:lvl>
  </w:abstractNum>
  <w:abstractNum w:abstractNumId="4">
    <w:nsid w:val="8BD8C466"/>
    <w:multiLevelType w:val="singleLevel"/>
    <w:tmpl w:val="8BD8C466"/>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OTU0Y2VjMWJjMmYzNDc3ODMzMzg4YTZlY2VjY2VjZDk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spacing w:beforeAutospacing="1" w:afterAutospacing="1"/>
      <w:jc w:val="left"/>
    </w:pPr>
    <w:rPr>
      <w:kern w:val="0"/>
      <w:sz w:val="24"/>
    </w:rPr>
  </w:style>
  <w:style w:type="character" w:styleId="24">
    <w:name w:val="Strong"/>
    <w:basedOn w:val="10"/>
    <w:rPr>
      <w:b/>
    </w:rPr>
  </w:style>
  <w:style w:type="character" w:styleId="25">
    <w:name w:val="Hyperlink"/>
    <w:basedOn w:val="10"/>
    <w:rPr>
      <w:color w:val="0000FF"/>
      <w:u w:val="single"/>
    </w:rPr>
  </w:style>
  <w:style w:type="paragraph" w:customStyle="1" w:styleId="26">
    <w:name w:val="table of figures1"/>
    <w:basedOn w:val="0"/>
    <w:next w:val="0"/>
    <w:pPr>
      <w:spacing w:before="100" w:beforeAutospacing="1" w:after="100" w:afterAutospacing="1"/>
      <w:ind w:leftChars="200" w:left="400" w:hangingChars="200" w:hanging="200"/>
    </w:p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 w:type="character" w:customStyle="1" w:styleId="35">
    <w:name w:val="NormalCharacter"/>
    <w:rPr>
      <w:rFonts w:ascii="Calibri" w:eastAsia="宋体" w:cs="Times New Roman"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image" Target="media/6.png"/><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image" Target="media/6.png"/><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explosion val="0"/>
            <c:spPr>
              <a:solidFill>
                <a:srgbClr val="4F81BD"/>
              </a:solidFill>
              <a:ln>
                <a:noFill/>
              </a:ln>
            </c:spPr>
          </c:dPt>
          <c:dPt>
            <c:idx val="1"/>
            <c:bubble3D val="0"/>
            <c:spPr>
              <a:solidFill>
                <a:srgbClr val="C0504D"/>
              </a:solidFill>
              <a:ln>
                <a:noFill/>
              </a:ln>
            </c:spPr>
          </c:dPt>
          <c:dLbls>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numFmt formatCode="General" sourceLinked="1"/>
            <c:dLblPos val="inEnd"/>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165.6</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财政拨款收、支决算总计变动情况</a:t>
            </a:r>
          </a:p>
        </c:rich>
      </c:tx>
      <c:layout/>
      <c:overlay val="0"/>
      <c:spPr>
        <a:noFill/>
        <a:ln>
          <a:noFill/>
        </a:ln>
      </c:spPr>
    </c:title>
    <c:autoTitleDeleted val="1"/>
    <c:plotArea>
      <c:layout>
        <c:manualLayout>
          <c:layoutTarget val="inner"/>
          <c:xMode val="edge"/>
          <c:yMode val="edge"/>
          <c:x val="0.12553091"/>
          <c:y val="0.048777137"/>
          <c:w val="0.86427146"/>
          <c:h val="0.6187702"/>
        </c:manualLayout>
      </c:layout>
      <c:barChart>
        <c:barDir val="col"/>
        <c:grouping val="clustered"/>
        <c:varyColors val="0"/>
        <c:ser>
          <c:idx val="0"/>
          <c:order val="0"/>
          <c:tx>
            <c:strRef>
              <c:f>'Sheet1 (4)'!$A$2</c:f>
              <c:strCache>
                <c:ptCount val="1"/>
                <c:pt idx="0">
                  <c:v/>
                </c:pt>
              </c:strCache>
            </c:strRef>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dLblPos val="outEnd"/>
              <c:tx>
                <c:rich>
                  <a:bodyPr vert="horz"/>
                  <a:lstStyle/>
                  <a:p>
                    <a:pPr>
                      <a:defRPr sz="1000" b="0" i="0" u="none" strike="noStrike" baseline="0">
                        <a:solidFill>
                          <a:srgbClr val="000000"/>
                        </a:solidFill>
                        <a:latin typeface="AR PL UKai CN"/>
                        <a:ea typeface="AR PL UKai CN"/>
                        <a:cs typeface="Arial"/>
                      </a:defRPr>
                    </a:pPr>
                    <a:r>
                      <a:rPr lang="zh-CN"/>
                      <a:t>165.6</a:t>
                    </a:r>
                  </a:p>
                </c:rich>
              </c:tx>
              <c:showLegendKey val="0"/>
              <c:showVal val="1"/>
              <c:showCatName val="0"/>
              <c:showSerName val="0"/>
              <c:showPercent val="0"/>
              <c:showBubbleSize val="0"/>
            </c:dLbl>
            <c:dLbl>
              <c:idx val="1"/>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dLblPos val="outEnd"/>
              <c:tx>
                <c:rich>
                  <a:bodyPr vert="horz"/>
                  <a:lstStyle/>
                  <a:p>
                    <a:pPr>
                      <a:defRPr sz="1000" b="0" i="0" u="none" strike="noStrike" baseline="0">
                        <a:solidFill>
                          <a:srgbClr val="000000"/>
                        </a:solidFill>
                        <a:latin typeface="AR PL UKai CN"/>
                        <a:ea typeface="AR PL UKai CN"/>
                        <a:cs typeface="Arial"/>
                      </a:defRPr>
                    </a:pPr>
                    <a:r>
                      <a:rPr lang="zh-CN"/>
                      <a:t>165.6</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'Sheet1 (4)'!$B$2:$C$2</c:f>
              <c:numCache>
                <c:formatCode>General</c:formatCode>
                <c:ptCount val="2"/>
                <c:pt idx="0">
                  <c:v>165.6</c:v>
                </c:pt>
                <c:pt idx="1">
                  <c:v>165.6</c:v>
                </c:pt>
              </c:numCache>
            </c:numRef>
          </c:val>
        </c:ser>
        <c:ser>
          <c:idx val="1"/>
          <c:order val="1"/>
          <c:tx>
            <c:strRef>
              <c:f>'Sheet1 (4)'!$A$3</c:f>
              <c:strCache>
                <c:ptCount val="1"/>
                <c:pt idx="0">
                  <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'Sheet1 (4)'!$B$3:$C$3</c:f>
              <c:numCache>
                <c:formatCode>General</c:formatCode>
                <c:ptCount val="2"/>
              </c:numCache>
            </c:numRef>
          </c:val>
        </c:ser>
        <c:overlap val="-27"/>
        <c:gapWidth val="219"/>
        <c:axId val="0"/>
        <c:axId val="1"/>
      </c:barChart>
      <c:dateAx>
        <c:axId val="0"/>
        <c:scaling>
          <c:orientation val="minMax"/>
        </c:scaling>
        <c:delete val="0"/>
        <c:axPos val="b"/>
        <c:numFmt formatCode="General" sourceLinked="0"/>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0"/>
        <c:lblOffset val="100"/>
        <c:baseTimeUnit val="days"/>
        <c:crossAx val="1"/>
      </c:dateAx>
      <c:valAx>
        <c:axId val="1"/>
        <c:scaling>
          <c:orientation val="minMax"/>
          <c:min val="0.0"/>
          <c:max val="1400.0"/>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Arial"/>
              </a:defRPr>
            </a:pPr>
            <a:endParaRPr lang="zh-CN"/>
          </a:p>
        </c:txPr>
        <c:crosses val="autoZero"/>
        <c:crossBetween val="between"/>
        <c:crossAx val="0"/>
      </c:valAx>
      <c:spPr>
        <a:noFill/>
        <a:ln>
          <a:noFill/>
        </a:ln>
      </c:spPr>
    </c:plotArea>
    <c:legend>
      <c:legendPos val="b"/>
      <c:layout>
        <c:manualLayout>
          <c:xMode val="edge"/>
          <c:yMode val="edge"/>
          <c:x val="0.45681927"/>
          <c:y val="0.9027205"/>
        </c:manualLayout>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939393"/>
                </a:solidFill>
                <a:latin typeface="Times New Roman"/>
                <a:ea typeface="宋体"/>
                <a:cs typeface="Arial"/>
              </a:defRPr>
            </a:pPr>
            <a:r>
              <a:rPr lang="zh-CN"/>
              <a:t>收入支出</a:t>
            </a:r>
          </a:p>
        </c:rich>
      </c:tx>
      <c:layout/>
      <c:overlay val="0"/>
      <c:spPr>
        <a:ln>
          <a:noFill/>
        </a:ln>
      </c:spPr>
    </c:title>
    <c:autoTitleDeleted val="1"/>
    <c:plotArea>
      <c:layout>
        <c:manualLayout>
          <c:layoutTarget val="inner"/>
          <c:xMode val="edge"/>
          <c:yMode val="edge"/>
          <c:x val="0.14027777"/>
          <c:y val="0.17870371"/>
          <c:w val="0.83055556"/>
          <c:h val="0.45069444"/>
        </c:manualLayout>
      </c:layout>
      <c:barChart>
        <c:barDir val="col"/>
        <c:grouping val="clustered"/>
        <c:varyColors val="0"/>
        <c:ser>
          <c:idx val="1"/>
          <c:order val="0"/>
          <c:tx>
            <c:v>2022</c:v>
          </c:tx>
          <c:spPr>
            <a:solidFill>
              <a:srgbClr val="ED7D31"/>
            </a:solidFill>
            <a:ln>
              <a:noFill/>
            </a:ln>
          </c:spPr>
          <c:invertIfNegative val="0"/>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收入</c:v>
              </c:pt>
              <c:pt idx="1">
                <c:v>支出</c:v>
              </c:pt>
            </c:strLit>
          </c:cat>
          <c:val>
            <c:numRef>
              <c:f/>
              <c:numCache>
                <c:formatCode>General</c:formatCode>
                <c:ptCount val="2"/>
                <c:pt idx="0">
                  <c:v>165.6</c:v>
                </c:pt>
                <c:pt idx="1">
                  <c:v>165.6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F9F9F9"/>
            </a:solidFill>
            <a:prstDash val="solid"/>
          </a:ln>
        </c:spPr>
        <c:txPr>
          <a:bodyPr/>
          <a:lstStyle/>
          <a:p>
            <a:pPr>
              <a:defRPr sz="900" b="0" i="0" u="none" strike="noStrike" baseline="0">
                <a:solidFill>
                  <a:srgbClr val="939393"/>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9F9F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939393"/>
                </a:solidFill>
                <a:latin typeface="Times New Roman"/>
                <a:ea typeface="宋体"/>
                <a:cs typeface="Arial"/>
              </a:defRPr>
            </a:pPr>
            <a:endParaRPr lang="zh-CN"/>
          </a:p>
        </c:txPr>
        <c:crossesAt val="1.0"/>
        <c:crossBetween val="between"/>
        <c:crossAx val="0"/>
      </c:valAx>
      <c:dTable>
        <c:showHorzBorder val="1"/>
        <c:showVertBorder val="1"/>
        <c:showOutline val="1"/>
        <c:showKeys val="1"/>
        <c:txPr>
          <a:bodyPr/>
          <a:lstStyle/>
          <a:p>
            <a:pPr rtl="0">
              <a:defRPr sz="1000" b="0" i="0" u="none" strike="noStrike" baseline="0">
                <a:solidFill>
                  <a:srgbClr val="000000"/>
                </a:solidFill>
                <a:latin typeface="Times New Roman"/>
                <a:ea typeface="宋体"/>
                <a:cs typeface="Arial"/>
              </a:defRPr>
            </a:pPr>
            <a:endParaRPr lang="zh-CN"/>
          </a:p>
        </c:txPr>
      </c:dTable>
      <c:spPr>
        <a:noFill/>
        <a:ln>
          <a:noFill/>
        </a:ln>
      </c:spPr>
    </c:plotArea>
    <c:legend>
      <c:legendPos val="b"/>
      <c:layout/>
      <c:overlay val="0"/>
      <c:spPr>
        <a:noFill/>
        <a:ln>
          <a:noFill/>
        </a:ln>
      </c:spPr>
      <c:txPr>
        <a:bodyPr/>
        <a:lstStyle/>
        <a:p>
          <a:pPr>
            <a:defRPr sz="900" b="0" i="0" u="none" strike="noStrike" baseline="0">
              <a:solidFill>
                <a:srgbClr val="939393"/>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10</TotalTime>
  <Application>Yozo_Office27021597764231179</Application>
  <Pages>21</Pages>
  <Words>6639</Words>
  <Characters>7223</Characters>
  <Lines>416</Lines>
  <Paragraphs>183</Paragraphs>
  <CharactersWithSpaces>7286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Administrator</cp:lastModifiedBy>
  <cp:revision>33</cp:revision>
  <cp:lastPrinted>2023-08-29T01:15:00Z</cp:lastPrinted>
  <dcterms:created xsi:type="dcterms:W3CDTF">2020-08-05T01:49:00Z</dcterms:created>
  <dcterms:modified xsi:type="dcterms:W3CDTF">2023-08-30T08:06:58Z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3E0A3B2E92904F17B59B937251BB4485_13</vt:lpwstr>
  </property>
</Properties>
</file>