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pStyle w:val="15"/>
      </w:pPr>
    </w:p>
    <w:p/>
    <w:p>
      <w:pPr>
        <w:pStyle w:val="15"/>
      </w:pPr>
    </w:p>
    <w:p/>
    <w:p/>
    <w:p>
      <w:pPr>
        <w:adjustRightInd w:val="0"/>
        <w:snapToGrid w:val="0"/>
        <w:spacing w:line="360" w:lineRule="auto"/>
        <w:jc w:val="center"/>
        <w:outlineLvl w:val="0"/>
        <w:rPr>
          <w:rFonts w:ascii="黑体" w:eastAsia="黑体" w:hint="eastAsia"/>
          <w:color w:val="000000"/>
          <w:sz w:val="64"/>
          <w:szCs w:val="72"/>
        </w:rPr>
      </w:pPr>
      <w:bookmarkStart w:id="1" w:name="_Toc15396597"/>
      <w:bookmarkStart w:id="2" w:name="_Toc12796"/>
      <w:bookmarkStart w:id="3" w:name="_Toc15377425"/>
      <w:bookmarkStart w:id="4" w:name="_Toc15378441"/>
      <w:bookmarkStart w:id="5" w:name="_Toc15396475"/>
      <w:bookmarkStart w:id="6" w:name="_Toc15377193"/>
      <w:r>
        <w:rPr>
          <w:rFonts w:ascii="黑体" w:eastAsia="黑体"/>
          <w:color w:val="000000"/>
          <w:sz w:val="64"/>
          <w:szCs w:val="72"/>
        </w:rPr>
        <w:t>202</w:t>
      </w:r>
      <w:r>
        <w:rPr>
          <w:rFonts w:ascii="黑体" w:eastAsia="黑体" w:hint="eastAsia"/>
          <w:color w:val="000000"/>
          <w:sz w:val="64"/>
          <w:szCs w:val="72"/>
        </w:rPr>
        <w:t>1</w:t>
      </w:r>
      <w:bookmarkEnd w:id="1"/>
      <w:bookmarkEnd w:id="2"/>
      <w:bookmarkEnd w:id="3"/>
      <w:bookmarkEnd w:id="4"/>
      <w:bookmarkEnd w:id="5"/>
      <w:bookmarkEnd w:id="6"/>
      <w:r>
        <w:rPr>
          <w:rFonts w:ascii="黑体" w:eastAsia="黑体" w:hint="eastAsia"/>
          <w:color w:val="000000"/>
          <w:sz w:val="64"/>
          <w:szCs w:val="72"/>
        </w:rPr>
        <w:t>年金川县世外梨园景区</w:t>
      </w:r>
    </w:p>
    <w:p>
      <w:pPr>
        <w:pStyle w:val="27"/>
        <w:rPr>
          <w:rFonts w:hint="eastAsia"/>
        </w:rPr>
      </w:pPr>
    </w:p>
    <w:p>
      <w:pPr>
        <w:adjustRightInd w:val="0"/>
        <w:snapToGrid w:val="0"/>
        <w:spacing w:line="360" w:lineRule="auto"/>
        <w:jc w:val="center"/>
        <w:outlineLvl w:val="0"/>
        <w:rPr>
          <w:rFonts w:ascii="方正小标宋简体" w:eastAsia="黑体" w:hAnsi="方正小标宋简体"/>
          <w:color w:val="000000"/>
          <w:sz w:val="64"/>
          <w:szCs w:val="72"/>
        </w:rPr>
      </w:pPr>
      <w:r>
        <w:rPr>
          <w:rFonts w:ascii="黑体" w:eastAsia="黑体" w:hint="eastAsia"/>
          <w:color w:val="000000"/>
          <w:sz w:val="64"/>
          <w:szCs w:val="72"/>
        </w:rPr>
        <w:t>服务中心决算</w:t>
      </w:r>
      <w:r>
        <w:rPr>
          <w:rFonts w:ascii="黑体" w:eastAsia="黑体"/>
          <w:color w:val="000000"/>
          <w:sz w:val="64"/>
          <w:szCs w:val="72"/>
        </w:rPr>
        <w:t>分析</w:t>
      </w:r>
      <w:r>
        <w:rPr>
          <w:rFonts w:ascii="黑体" w:eastAsia="黑体" w:hint="eastAsia"/>
          <w:color w:val="000000"/>
          <w:sz w:val="64"/>
          <w:szCs w:val="72"/>
        </w:rPr>
        <w:t>报告</w:t>
      </w:r>
    </w:p>
    <w:p>
      <w:pPr>
        <w:adjustRightInd w:val="0"/>
        <w:snapToGrid w:val="0"/>
        <w:spacing w:line="360" w:lineRule="auto"/>
        <w:outlineLvl w:val="0"/>
        <w:rPr>
          <w:rFonts w:ascii="方正小标宋简体" w:eastAsia="方正小标宋简体"/>
          <w:color w:val="000000"/>
          <w:sz w:val="72"/>
          <w:szCs w:val="72"/>
        </w:rPr>
      </w:pPr>
      <w:bookmarkEnd w:id="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pPr>
      <w:r>
        <w:rPr>
          <w:rFonts w:ascii="方正小标宋简体" w:eastAsia="方正小标宋简体"/>
          <w:color w:val="000000"/>
          <w:sz w:val="36"/>
          <w:szCs w:val="36"/>
        </w:rPr>
        <w:br w:type="page"/>
      </w:r>
      <w:bookmarkStart w:id="7" w:name="_Toc15377196"/>
      <w:r>
        <w:rPr>
          <w:rFonts w:ascii="黑体" w:eastAsia="黑体" w:hint="eastAsia"/>
          <w:color w:val="000000"/>
          <w:sz w:val="48"/>
          <w:szCs w:val="48"/>
        </w:rPr>
        <w:t>目   录</w:t>
      </w:r>
    </w:p>
    <w:p>
      <w:pPr>
        <w:pStyle w:val="15"/>
        <w:jc w:val="center"/>
        <w:rPr>
          <w:rFonts w:ascii="仿宋" w:eastAsia="仿宋" w:cs="仿宋" w:hint="eastAsia"/>
          <w:sz w:val="28"/>
          <w:szCs w:val="28"/>
          <w:lang w:val="en-US" w:eastAsia="zh-CN"/>
        </w:rPr>
      </w:pPr>
      <w:r>
        <w:rPr>
          <w:rFonts w:ascii="仿宋" w:eastAsia="仿宋" w:cs="仿宋" w:hint="eastAsia"/>
          <w:color w:val="000000"/>
          <w:sz w:val="28"/>
          <w:szCs w:val="28"/>
          <w:lang w:val="en-US" w:eastAsia="zh-CN"/>
        </w:rPr>
        <w:t>公开时间：2021年8月16日</w:t>
      </w:r>
    </w:p>
    <w:p>
      <w:pPr>
        <w:widowControl/>
        <w:jc w:val="left"/>
        <w:rPr>
          <w:rFonts w:ascii="仿宋" w:eastAsia="仿宋" w:cs="仿宋" w:hint="eastAsia"/>
          <w:sz w:val="28"/>
          <w:szCs w:val="28"/>
        </w:rPr>
      </w:pPr>
      <w:r>
        <w:rPr>
          <w:rFonts w:ascii="仿宋" w:eastAsia="仿宋" w:cs="仿宋" w:hint="eastAsia"/>
          <w:color w:val="000000"/>
          <w:sz w:val="28"/>
          <w:szCs w:val="28"/>
        </w:rPr>
        <w:fldChar w:fldCharType="begin"/>
      </w:r>
      <w:r>
        <w:rPr>
          <w:rFonts w:ascii="仿宋" w:eastAsia="仿宋" w:cs="仿宋" w:hint="eastAsia"/>
          <w:color w:val="000000"/>
          <w:sz w:val="28"/>
          <w:szCs w:val="28"/>
        </w:rPr>
        <w:instrText xml:space="preserve"> TOC \o "1-2" \h \z \u </w:instrText>
      </w:r>
      <w:r>
        <w:rPr>
          <w:rFonts w:ascii="仿宋" w:eastAsia="仿宋" w:cs="仿宋" w:hint="eastAsia"/>
          <w:color w:val="000000"/>
          <w:sz w:val="28"/>
          <w:szCs w:val="28"/>
        </w:rPr>
        <w:fldChar w:fldCharType="separate"/>
      </w:r>
    </w:p>
    <w:p>
      <w:pPr>
        <w:pStyle w:val="22"/>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"_Toc15396599" </w:instrText>
      </w:r>
      <w:r>
        <w:rPr>
          <w:rFonts w:ascii="仿宋" w:eastAsia="仿宋" w:cs="仿宋" w:hint="eastAsia"/>
          <w:sz w:val="28"/>
          <w:szCs w:val="28"/>
        </w:rPr>
        <w:fldChar w:fldCharType="separate"/>
      </w:r>
      <w:r>
        <w:rPr>
          <w:rFonts w:ascii="仿宋" w:eastAsia="仿宋" w:cs="仿宋" w:hint="eastAsia"/>
          <w:sz w:val="28"/>
          <w:szCs w:val="28"/>
        </w:rPr>
        <w:t>第一部分 部门概况</w:t>
        <w:tab/>
      </w:r>
      <w:r>
        <w:rPr>
          <w:rFonts w:ascii="仿宋" w:eastAsia="仿宋" w:cs="仿宋" w:hint="eastAsia"/>
          <w:sz w:val="28"/>
          <w:szCs w:val="28"/>
        </w:rPr>
        <w:fldChar w:fldCharType="end"/>
      </w:r>
      <w:r>
        <w:rPr>
          <w:rFonts w:ascii="仿宋" w:eastAsia="仿宋" w:cs="仿宋" w:hint="eastAsia"/>
          <w:sz w:val="28"/>
          <w:szCs w:val="28"/>
          <w:lang w:val="en-US" w:eastAsia="zh-CN"/>
        </w:rPr>
        <w:t>5</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"_Toc15396600" </w:instrText>
      </w:r>
      <w:r>
        <w:rPr>
          <w:rFonts w:ascii="仿宋" w:eastAsia="仿宋" w:cs="仿宋" w:hint="eastAsia"/>
          <w:sz w:val="28"/>
          <w:szCs w:val="28"/>
        </w:rPr>
        <w:fldChar w:fldCharType="separate"/>
      </w:r>
      <w:r>
        <w:rPr>
          <w:rFonts w:ascii="仿宋" w:eastAsia="仿宋" w:cs="仿宋" w:hint="eastAsia"/>
          <w:b w:val="0"/>
          <w:bCs w:val="0"/>
          <w:sz w:val="28"/>
          <w:szCs w:val="28"/>
        </w:rPr>
        <w:t>一、基本职能及主要工作</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b w:val="0"/>
          <w:bCs w:val="0"/>
          <w:sz w:val="28"/>
          <w:szCs w:val="28"/>
          <w:lang w:val="en-US" w:eastAsia="zh-CN"/>
        </w:rPr>
        <w:t>5</w:t>
      </w:r>
    </w:p>
    <w:p>
      <w:pPr>
        <w:pStyle w:val="23"/>
        <w:tabs>
          <w:tab w:val="right" w:leader="dot" w:pos="8296"/>
        </w:tabs>
        <w:ind w:leftChars="0" w:left="0" w:firstLineChars="200" w:firstLine="560"/>
        <w:jc w:val="left"/>
        <w:rPr>
          <w:rFonts w:ascii="仿宋" w:eastAsia="仿宋" w:cs="仿宋" w:hint="eastAsia"/>
          <w:sz w:val="28"/>
          <w:szCs w:val="28"/>
          <w:lang w:val="en-US" w:eastAsia="zh-CN"/>
        </w:rPr>
      </w:pPr>
      <w:r>
        <w:rPr>
          <w:rFonts w:ascii="仿宋" w:eastAsia="仿宋" w:cs="仿宋" w:hint="eastAsia"/>
          <w:sz w:val="28"/>
          <w:szCs w:val="28"/>
          <w:lang w:val="en-US" w:eastAsia="zh-CN"/>
        </w:rPr>
        <w:t>（一）</w:t>
      </w:r>
      <w:r>
        <w:rPr>
          <w:rFonts w:ascii="仿宋" w:eastAsia="仿宋" w:cs="仿宋" w:hint="eastAsia"/>
          <w:sz w:val="28"/>
          <w:szCs w:val="28"/>
        </w:rPr>
        <w:t>金川县世外梨园景区服务中心职能简介</w:t>
      </w:r>
      <w:r>
        <w:rPr>
          <w:rFonts w:ascii="仿宋" w:eastAsia="仿宋" w:cs="仿宋" w:hint="eastAsia"/>
          <w:sz w:val="28"/>
          <w:szCs w:val="28"/>
          <w:lang w:val="en-US" w:eastAsia="zh-CN"/>
        </w:rPr>
        <w:t>...............5</w:t>
      </w:r>
    </w:p>
    <w:p>
      <w:pPr>
        <w:ind w:firstLineChars="200" w:firstLine="560"/>
        <w:rPr>
          <w:rFonts w:ascii="仿宋" w:eastAsia="仿宋" w:cs="仿宋" w:hint="eastAsia"/>
          <w:sz w:val="28"/>
          <w:szCs w:val="28"/>
          <w:lang w:val="en-US" w:eastAsia="zh-CN"/>
        </w:rPr>
      </w:pPr>
      <w:r>
        <w:rPr>
          <w:rFonts w:ascii="仿宋" w:eastAsia="仿宋" w:cs="仿宋" w:hint="eastAsia"/>
          <w:sz w:val="28"/>
          <w:szCs w:val="28"/>
          <w:lang w:val="en-US" w:eastAsia="zh-CN"/>
        </w:rPr>
        <w:t>（二）</w:t>
      </w:r>
      <w:r>
        <w:rPr>
          <w:rFonts w:ascii="仿宋" w:eastAsia="仿宋" w:cs="仿宋" w:hint="eastAsia"/>
          <w:bCs/>
          <w:color w:val="000000"/>
          <w:sz w:val="28"/>
          <w:szCs w:val="28"/>
        </w:rPr>
        <w:t>2021年重点工作完成情况</w:t>
      </w:r>
      <w:r>
        <w:rPr>
          <w:rFonts w:ascii="仿宋" w:eastAsia="仿宋" w:cs="仿宋" w:hint="eastAsia"/>
          <w:bCs/>
          <w:color w:val="000000"/>
          <w:sz w:val="28"/>
          <w:szCs w:val="28"/>
          <w:lang w:val="en-US" w:eastAsia="zh-CN"/>
        </w:rPr>
        <w:t>..........................6</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b w:val="0"/>
          <w:bCs w:val="0"/>
          <w:sz w:val="28"/>
          <w:szCs w:val="28"/>
        </w:rPr>
        <w:t>二、机构设置.....</w:t>
      </w:r>
      <w:r>
        <w:rPr>
          <w:rFonts w:ascii="仿宋" w:eastAsia="仿宋" w:cs="仿宋" w:hint="eastAsia"/>
          <w:sz w:val="28"/>
          <w:szCs w:val="28"/>
        </w:rPr>
        <w:t>.......................................</w:t>
      </w:r>
      <w:r>
        <w:rPr>
          <w:rFonts w:ascii="仿宋" w:eastAsia="仿宋" w:cs="仿宋" w:hint="eastAsia"/>
          <w:sz w:val="28"/>
          <w:szCs w:val="28"/>
          <w:lang w:val="en-US" w:eastAsia="zh-CN"/>
        </w:rPr>
        <w:t>6</w:t>
      </w:r>
    </w:p>
    <w:p>
      <w:pPr>
        <w:pStyle w:val="22"/>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"_Toc15396602" </w:instrText>
      </w:r>
      <w:r>
        <w:rPr>
          <w:rFonts w:ascii="仿宋" w:eastAsia="仿宋" w:cs="仿宋" w:hint="eastAsia"/>
          <w:sz w:val="28"/>
          <w:szCs w:val="28"/>
        </w:rPr>
        <w:fldChar w:fldCharType="separate"/>
      </w:r>
      <w:r>
        <w:rPr>
          <w:rFonts w:ascii="仿宋" w:eastAsia="仿宋" w:cs="仿宋" w:hint="eastAsia"/>
          <w:sz w:val="28"/>
          <w:szCs w:val="28"/>
        </w:rPr>
        <w:t xml:space="preserve">第二部分 </w:t>
      </w:r>
      <w:r>
        <w:rPr>
          <w:rFonts w:ascii="仿宋" w:eastAsia="仿宋" w:cs="仿宋" w:hint="eastAsia"/>
          <w:sz w:val="28"/>
          <w:szCs w:val="28"/>
          <w:lang w:val="en-US" w:eastAsia="zh-CN"/>
        </w:rPr>
        <w:t>2021年度</w:t>
      </w:r>
      <w:r>
        <w:rPr>
          <w:rFonts w:ascii="仿宋" w:eastAsia="仿宋" w:cs="仿宋" w:hint="eastAsia"/>
          <w:sz w:val="28"/>
          <w:szCs w:val="28"/>
        </w:rPr>
        <w:t>部门决算情况说明</w:t>
        <w:tab/>
      </w:r>
      <w:r>
        <w:rPr>
          <w:rFonts w:ascii="仿宋" w:eastAsia="仿宋" w:cs="仿宋" w:hint="eastAsia"/>
          <w:sz w:val="28"/>
          <w:szCs w:val="28"/>
        </w:rPr>
        <w:fldChar w:fldCharType="end"/>
      </w:r>
      <w:r>
        <w:rPr>
          <w:rFonts w:ascii="仿宋" w:eastAsia="仿宋" w:cs="仿宋" w:hint="eastAsia"/>
          <w:sz w:val="28"/>
          <w:szCs w:val="28"/>
          <w:lang w:val="en-US" w:eastAsia="zh-CN"/>
        </w:rPr>
        <w:t>7</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"_Toc15396603" </w:instrText>
      </w:r>
      <w:r>
        <w:rPr>
          <w:rFonts w:ascii="仿宋" w:eastAsia="仿宋" w:cs="仿宋" w:hint="eastAsia"/>
          <w:sz w:val="28"/>
          <w:szCs w:val="28"/>
        </w:rPr>
        <w:fldChar w:fldCharType="separate"/>
      </w:r>
      <w:r>
        <w:rPr>
          <w:rFonts w:ascii="仿宋" w:eastAsia="仿宋" w:cs="仿宋" w:hint="eastAsia"/>
          <w:bCs/>
          <w:sz w:val="28"/>
          <w:szCs w:val="28"/>
        </w:rPr>
        <w:t>一、</w:t>
      </w:r>
      <w:r>
        <w:rPr>
          <w:rFonts w:ascii="仿宋" w:eastAsia="仿宋" w:cs="仿宋" w:hint="eastAsia"/>
          <w:sz w:val="28"/>
          <w:szCs w:val="28"/>
        </w:rPr>
        <w:t>收</w:t>
      </w:r>
      <w:r>
        <w:rPr>
          <w:rFonts w:ascii="仿宋" w:eastAsia="仿宋" w:cs="仿宋" w:hint="eastAsia"/>
          <w:bCs/>
          <w:sz w:val="28"/>
          <w:szCs w:val="28"/>
        </w:rPr>
        <w:t>入支出决算总体情况说明</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sz w:val="28"/>
          <w:szCs w:val="28"/>
          <w:lang w:val="en-US" w:eastAsia="zh-CN"/>
        </w:rPr>
        <w:t>7</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t>二、收入决算情况说明....................................</w:t>
      </w:r>
      <w:r>
        <w:rPr>
          <w:rFonts w:ascii="仿宋" w:eastAsia="仿宋" w:cs="仿宋" w:hint="eastAsia"/>
          <w:sz w:val="28"/>
          <w:szCs w:val="28"/>
          <w:lang w:val="en-US" w:eastAsia="zh-CN"/>
        </w:rPr>
        <w:t>7</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"_Toc15396605" </w:instrText>
      </w:r>
      <w:r>
        <w:rPr>
          <w:rFonts w:ascii="仿宋" w:eastAsia="仿宋" w:cs="仿宋" w:hint="eastAsia"/>
          <w:sz w:val="28"/>
          <w:szCs w:val="28"/>
        </w:rPr>
        <w:fldChar w:fldCharType="separate"/>
      </w:r>
      <w:r>
        <w:rPr>
          <w:rFonts w:ascii="仿宋" w:eastAsia="仿宋" w:cs="仿宋" w:hint="eastAsia"/>
          <w:bCs/>
          <w:sz w:val="28"/>
          <w:szCs w:val="28"/>
        </w:rPr>
        <w:t>三、</w:t>
      </w:r>
      <w:r>
        <w:rPr>
          <w:rFonts w:ascii="仿宋" w:eastAsia="仿宋" w:cs="仿宋" w:hint="eastAsia"/>
          <w:sz w:val="28"/>
          <w:szCs w:val="28"/>
        </w:rPr>
        <w:t>支</w:t>
      </w:r>
      <w:r>
        <w:rPr>
          <w:rFonts w:ascii="仿宋" w:eastAsia="仿宋" w:cs="仿宋" w:hint="eastAsia"/>
          <w:bCs/>
          <w:sz w:val="28"/>
          <w:szCs w:val="28"/>
        </w:rPr>
        <w:t>出决算情况说明</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sz w:val="28"/>
          <w:szCs w:val="28"/>
          <w:lang w:val="en-US" w:eastAsia="zh-CN"/>
        </w:rPr>
        <w:t>8</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"_Toc15396606" </w:instrText>
      </w:r>
      <w:r>
        <w:rPr>
          <w:rFonts w:ascii="仿宋" w:eastAsia="仿宋" w:cs="仿宋" w:hint="eastAsia"/>
          <w:sz w:val="28"/>
          <w:szCs w:val="28"/>
        </w:rPr>
        <w:fldChar w:fldCharType="separate"/>
      </w:r>
      <w:r>
        <w:rPr>
          <w:rFonts w:ascii="仿宋" w:eastAsia="仿宋" w:cs="仿宋" w:hint="eastAsia"/>
          <w:sz w:val="28"/>
          <w:szCs w:val="28"/>
        </w:rPr>
        <w:t>四、财</w:t>
      </w:r>
      <w:r>
        <w:rPr>
          <w:rFonts w:ascii="仿宋" w:eastAsia="仿宋" w:cs="仿宋" w:hint="eastAsia"/>
          <w:bCs/>
          <w:sz w:val="28"/>
          <w:szCs w:val="28"/>
        </w:rPr>
        <w:t>政拨款收入支出决算总体情况说明</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sz w:val="28"/>
          <w:szCs w:val="28"/>
          <w:lang w:val="en-US" w:eastAsia="zh-CN"/>
        </w:rPr>
        <w:t>8</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"_Toc15396607" </w:instrText>
      </w:r>
      <w:r>
        <w:rPr>
          <w:rFonts w:ascii="仿宋" w:eastAsia="仿宋" w:cs="仿宋" w:hint="eastAsia"/>
          <w:sz w:val="28"/>
          <w:szCs w:val="28"/>
        </w:rPr>
        <w:fldChar w:fldCharType="separate"/>
      </w:r>
      <w:r>
        <w:rPr>
          <w:rFonts w:ascii="仿宋" w:eastAsia="仿宋" w:cs="仿宋" w:hint="eastAsia"/>
          <w:sz w:val="28"/>
          <w:szCs w:val="28"/>
        </w:rPr>
        <w:t>五、一</w:t>
      </w:r>
      <w:r>
        <w:rPr>
          <w:rFonts w:ascii="仿宋" w:eastAsia="仿宋" w:cs="仿宋" w:hint="eastAsia"/>
          <w:bCs/>
          <w:sz w:val="28"/>
          <w:szCs w:val="28"/>
        </w:rPr>
        <w:t>般公共预算财政拨款支出决算情况说明</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sz w:val="28"/>
          <w:szCs w:val="28"/>
          <w:lang w:val="en-US" w:eastAsia="zh-CN"/>
        </w:rPr>
        <w:t>9</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t>六、一</w:t>
      </w:r>
      <w:r>
        <w:rPr>
          <w:rFonts w:ascii="仿宋" w:eastAsia="仿宋" w:cs="仿宋" w:hint="eastAsia"/>
          <w:bCs/>
          <w:sz w:val="28"/>
          <w:szCs w:val="28"/>
        </w:rPr>
        <w:t>般公共预算财政拨款基本支出决算情况说明..........</w:t>
      </w:r>
      <w:r>
        <w:rPr>
          <w:rFonts w:ascii="仿宋" w:eastAsia="仿宋" w:cs="仿宋" w:hint="eastAsia"/>
          <w:bCs/>
          <w:sz w:val="28"/>
          <w:szCs w:val="28"/>
          <w:lang w:val="en-US" w:eastAsia="zh-CN"/>
        </w:rPr>
        <w:t>.11</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t>七、“</w:t>
      </w:r>
      <w:r>
        <w:rPr>
          <w:rFonts w:ascii="仿宋" w:eastAsia="仿宋" w:cs="仿宋" w:hint="eastAsia"/>
          <w:bCs/>
          <w:sz w:val="28"/>
          <w:szCs w:val="28"/>
        </w:rPr>
        <w:t>三公”经费财政拨款支出决算情况说明................</w:t>
      </w:r>
      <w:r>
        <w:rPr>
          <w:rFonts w:ascii="仿宋" w:eastAsia="仿宋" w:cs="仿宋" w:hint="eastAsia"/>
          <w:bCs/>
          <w:sz w:val="28"/>
          <w:szCs w:val="28"/>
          <w:lang w:val="en-US" w:eastAsia="zh-CN"/>
        </w:rPr>
        <w:t>11</w:t>
      </w:r>
      <w:r>
        <w:rPr>
          <w:rFonts w:ascii="仿宋" w:eastAsia="仿宋" w:cs="仿宋" w:hint="eastAsia"/>
          <w:sz w:val="28"/>
          <w:szCs w:val="28"/>
        </w:rPr>
        <w:fldChar w:fldCharType="begin"/>
      </w:r>
      <w:r>
        <w:rPr>
          <w:rFonts w:ascii="仿宋" w:eastAsia="仿宋" w:cs="仿宋" w:hint="eastAsia"/>
          <w:sz w:val="28"/>
          <w:szCs w:val="28"/>
        </w:rPr>
        <w:instrText xml:space="preserve"> HYPERLINK \l "_Toc15396610" </w:instrText>
      </w:r>
      <w:r>
        <w:rPr>
          <w:rFonts w:ascii="仿宋" w:eastAsia="仿宋" w:cs="仿宋" w:hint="eastAsia"/>
          <w:sz w:val="28"/>
          <w:szCs w:val="28"/>
        </w:rPr>
        <w:fldChar w:fldCharType="separate"/>
      </w:r>
      <w:r>
        <w:rPr>
          <w:rFonts w:ascii="仿宋" w:eastAsia="仿宋" w:cs="仿宋" w:hint="eastAsia"/>
          <w:sz w:val="28"/>
          <w:szCs w:val="28"/>
        </w:rPr>
        <w:t>八、</w:t>
      </w:r>
      <w:r>
        <w:rPr>
          <w:rFonts w:ascii="仿宋" w:eastAsia="仿宋" w:cs="仿宋" w:hint="eastAsia"/>
          <w:bCs/>
          <w:sz w:val="28"/>
          <w:szCs w:val="28"/>
        </w:rPr>
        <w:t>政府性基金预算支出决算情况说明</w:t>
      </w:r>
      <w:r>
        <w:rPr>
          <w:rFonts w:ascii="仿宋" w:eastAsia="仿宋" w:cs="仿宋" w:hint="eastAsia"/>
          <w:sz w:val="28"/>
          <w:szCs w:val="28"/>
        </w:rPr>
        <w:tab/>
        <w:t>1</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"_Toc15396611" </w:instrText>
      </w:r>
      <w:r>
        <w:rPr>
          <w:rFonts w:ascii="仿宋" w:eastAsia="仿宋" w:cs="仿宋" w:hint="eastAsia"/>
          <w:sz w:val="28"/>
          <w:szCs w:val="28"/>
        </w:rPr>
        <w:fldChar w:fldCharType="separate"/>
      </w:r>
      <w:r>
        <w:rPr>
          <w:rFonts w:ascii="仿宋" w:eastAsia="仿宋" w:cs="仿宋" w:hint="eastAsia"/>
          <w:bCs/>
          <w:sz w:val="28"/>
          <w:szCs w:val="28"/>
        </w:rPr>
        <w:t>九、</w:t>
      </w:r>
      <w:r>
        <w:rPr>
          <w:rFonts w:ascii="仿宋" w:eastAsia="仿宋" w:cs="仿宋" w:hint="eastAsia"/>
          <w:sz w:val="28"/>
          <w:szCs w:val="28"/>
        </w:rPr>
        <w:t xml:space="preserve"> 国</w:t>
      </w:r>
      <w:r>
        <w:rPr>
          <w:rFonts w:ascii="仿宋" w:eastAsia="仿宋" w:cs="仿宋" w:hint="eastAsia"/>
          <w:bCs/>
          <w:sz w:val="28"/>
          <w:szCs w:val="28"/>
        </w:rPr>
        <w:t>有资本经营预算支出决算情况说明</w:t>
      </w:r>
      <w:r>
        <w:rPr>
          <w:rFonts w:ascii="仿宋" w:eastAsia="仿宋" w:cs="仿宋" w:hint="eastAsia"/>
          <w:sz w:val="28"/>
          <w:szCs w:val="28"/>
        </w:rPr>
        <w:tab/>
        <w:t>1</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3"/>
        <w:tabs>
          <w:tab w:val="right" w:leader="dot" w:pos="8296"/>
        </w:tabs>
        <w:jc w:val="left"/>
        <w:rPr>
          <w:rStyle w:val="26"/>
          <w:rFonts w:ascii="仿宋" w:eastAsia="仿宋" w:cs="仿宋" w:hint="eastAsia"/>
          <w:bCs/>
          <w:sz w:val="28"/>
          <w:szCs w:val="28"/>
          <w:lang w:val="en-US" w:eastAsia="zh-CN"/>
        </w:rPr>
      </w:pPr>
      <w:r>
        <w:rPr>
          <w:rStyle w:val="26"/>
          <w:rFonts w:ascii="仿宋" w:eastAsia="仿宋" w:cs="仿宋" w:hint="eastAsia"/>
          <w:bCs/>
          <w:sz w:val="28"/>
          <w:szCs w:val="28"/>
        </w:rPr>
        <w:t>十、预算绩效情况说明...................................1</w:t>
      </w:r>
      <w:r>
        <w:rPr>
          <w:rStyle w:val="26"/>
          <w:rFonts w:ascii="仿宋" w:eastAsia="仿宋" w:cs="仿宋" w:hint="eastAsia"/>
          <w:bCs/>
          <w:sz w:val="28"/>
          <w:szCs w:val="28"/>
          <w:lang w:val="en-US" w:eastAsia="zh-CN"/>
        </w:rPr>
        <w:t>3</w:t>
      </w:r>
    </w:p>
    <w:p>
      <w:pPr>
        <w:pStyle w:val="23"/>
        <w:tabs>
          <w:tab w:val="right" w:leader="dot" w:pos="8296"/>
        </w:tabs>
        <w:jc w:val="left"/>
        <w:rPr>
          <w:rFonts w:ascii="仿宋" w:eastAsia="仿宋" w:cs="仿宋" w:hint="eastAsia"/>
          <w:sz w:val="28"/>
          <w:szCs w:val="28"/>
          <w:lang w:val="en-US" w:eastAsia="zh-CN"/>
        </w:rPr>
      </w:pPr>
      <w:r>
        <w:rPr>
          <w:rFonts w:ascii="仿宋" w:eastAsia="仿宋" w:cs="仿宋" w:hint="eastAsia"/>
          <w:sz w:val="28"/>
          <w:szCs w:val="28"/>
        </w:rPr>
        <w:t>十</w:t>
      </w:r>
      <w:r>
        <w:rPr>
          <w:rFonts w:ascii="仿宋" w:eastAsia="仿宋" w:cs="仿宋" w:hint="eastAsia"/>
          <w:bCs/>
          <w:sz w:val="28"/>
          <w:szCs w:val="28"/>
        </w:rPr>
        <w:t>一、其他重要事项的情况说明...........................1</w:t>
      </w:r>
      <w:r>
        <w:rPr>
          <w:rFonts w:ascii="仿宋" w:eastAsia="仿宋" w:cs="仿宋" w:hint="eastAsia"/>
          <w:bCs/>
          <w:sz w:val="28"/>
          <w:szCs w:val="28"/>
          <w:lang w:val="en-US" w:eastAsia="zh-CN"/>
        </w:rPr>
        <w:t>4</w:t>
      </w:r>
    </w:p>
    <w:p>
      <w:pPr>
        <w:pStyle w:val="22"/>
        <w:tabs>
          <w:tab w:val="right" w:leader="dot" w:pos="8296"/>
        </w:tabs>
        <w:jc w:val="left"/>
        <w:rPr>
          <w:color w:val="000000"/>
          <w:sz w:val="24"/>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"_Toc15396613" </w:instrText>
      </w:r>
      <w:r>
        <w:rPr>
          <w:rFonts w:ascii="仿宋" w:eastAsia="仿宋" w:cs="仿宋" w:hint="eastAsia"/>
          <w:sz w:val="28"/>
          <w:szCs w:val="28"/>
        </w:rPr>
        <w:fldChar w:fldCharType="separate"/>
      </w:r>
      <w:r>
        <w:rPr>
          <w:rFonts w:ascii="仿宋" w:eastAsia="仿宋" w:cs="仿宋" w:hint="eastAsia"/>
          <w:bCs/>
          <w:kern w:val="44"/>
          <w:sz w:val="28"/>
          <w:szCs w:val="28"/>
        </w:rPr>
        <w:t>第三部分</w:t>
      </w:r>
      <w:r>
        <w:rPr>
          <w:rFonts w:ascii="仿宋" w:eastAsia="仿宋" w:cs="仿宋" w:hint="eastAsia"/>
          <w:sz w:val="28"/>
          <w:szCs w:val="28"/>
        </w:rPr>
        <w:t xml:space="preserve"> 名</w:t>
      </w:r>
      <w:r>
        <w:rPr>
          <w:rFonts w:ascii="仿宋" w:eastAsia="仿宋" w:cs="仿宋" w:hint="eastAsia"/>
          <w:bCs/>
          <w:kern w:val="44"/>
          <w:sz w:val="28"/>
          <w:szCs w:val="28"/>
        </w:rPr>
        <w:t>词解释</w:t>
      </w:r>
      <w:r>
        <w:rPr>
          <w:rFonts w:ascii="仿宋" w:eastAsia="仿宋" w:cs="仿宋" w:hint="eastAsia"/>
          <w:bCs/>
          <w:kern w:val="44"/>
          <w:sz w:val="28"/>
          <w:szCs w:val="28"/>
          <w:lang w:val="en-US" w:eastAsia="zh-CN"/>
        </w:rPr>
        <w:t>........................................14</w:t>
      </w:r>
      <w:r>
        <w:rPr>
          <w:rFonts w:ascii="仿宋" w:eastAsia="仿宋" w:cs="仿宋" w:hint="eastAsia"/>
          <w:sz w:val="28"/>
          <w:szCs w:val="28"/>
        </w:rPr>
        <w:fldChar w:fldCharType="end"/>
      </w:r>
      <w:r>
        <w:rPr>
          <w:rFonts w:ascii="仿宋" w:eastAsia="仿宋" w:cs="仿宋" w:hint="eastAsia"/>
          <w:color w:val="000000"/>
          <w:sz w:val="28"/>
          <w:szCs w:val="28"/>
        </w:rPr>
        <w:fldChar w:fldCharType="end"/>
      </w:r>
    </w:p>
    <w:p>
      <w:pPr>
        <w:pStyle w:val="22"/>
        <w:tabs>
          <w:tab w:val="right" w:leader="dot" w:pos="8296"/>
        </w:tabs>
        <w:jc w:val="left"/>
        <w:rPr>
          <w:rFonts w:ascii="仿宋" w:eastAsia="仿宋" w:cs="仿宋"/>
          <w:b w:val="0"/>
          <w:bCs w:val="0"/>
          <w:lang w:val="en-US" w:eastAsia="zh-CN"/>
        </w:rPr>
      </w:pPr>
      <w:r>
        <w:rPr>
          <w:rFonts w:ascii="仿宋" w:eastAsia="仿宋" w:cs="仿宋" w:hint="eastAsia"/>
          <w:b w:val="0"/>
          <w:bCs w:val="0"/>
          <w:sz w:val="28"/>
          <w:szCs w:val="28"/>
          <w:lang w:val="en-US" w:eastAsia="zh-CN"/>
        </w:rPr>
        <w:t>第四部分 附件</w:t>
      </w:r>
      <w:r>
        <w:rPr>
          <w:rFonts w:ascii="黑体" w:eastAsia="黑体" w:cs="黑体" w:hint="eastAsia"/>
          <w:b w:val="0"/>
          <w:bCs w:val="0"/>
          <w:sz w:val="28"/>
          <w:szCs w:val="28"/>
          <w:lang w:val="en-US" w:eastAsia="zh-CN"/>
        </w:rPr>
        <w:t>...........................................</w:t>
      </w:r>
      <w:r>
        <w:rPr>
          <w:rFonts w:ascii="仿宋" w:eastAsia="仿宋" w:cs="仿宋" w:hint="eastAsia"/>
          <w:b w:val="0"/>
          <w:bCs w:val="0"/>
          <w:sz w:val="28"/>
          <w:szCs w:val="28"/>
          <w:lang w:val="en-US" w:eastAsia="zh-CN"/>
        </w:rPr>
        <w:t>.1</w:t>
      </w:r>
      <w:r>
        <w:rPr>
          <w:rFonts w:cs="仿宋" w:hint="eastAsia"/>
          <w:b w:val="0"/>
          <w:bCs w:val="0"/>
          <w:sz w:val="28"/>
          <w:szCs w:val="28"/>
          <w:lang w:val="en-US" w:eastAsia="zh-CN"/>
        </w:rPr>
        <w:t>6</w:t>
      </w:r>
    </w:p>
    <w:p>
      <w:pPr>
        <w:widowControl/>
        <w:ind w:firstLineChars="200" w:firstLine="560"/>
        <w:jc w:val="left"/>
        <w:rPr>
          <w:rFonts w:ascii="仿宋" w:eastAsia="仿宋" w:cs="仿宋" w:hint="eastAsia"/>
          <w:b w:val="0"/>
          <w:bCs w:val="0"/>
          <w:sz w:val="28"/>
          <w:szCs w:val="28"/>
          <w:lang w:val="en-US" w:eastAsia="zh-CN"/>
        </w:rPr>
      </w:pPr>
      <w:r>
        <w:rPr>
          <w:rFonts w:ascii="仿宋" w:eastAsia="仿宋" w:cs="仿宋" w:hint="eastAsia"/>
          <w:b w:val="0"/>
          <w:bCs w:val="0"/>
          <w:sz w:val="28"/>
          <w:szCs w:val="28"/>
          <w:lang w:val="en-US" w:eastAsia="zh-CN"/>
        </w:rPr>
        <w:t>金川县世外梨园景区服务中心整体支出绩效评价报告</w:t>
      </w:r>
    </w:p>
    <w:p>
      <w:pPr>
        <w:pStyle w:val="22"/>
        <w:tabs>
          <w:tab w:val="right" w:leader="dot" w:pos="8296"/>
        </w:tabs>
        <w:rPr>
          <w:rFonts w:ascii="仿宋" w:eastAsia="仿宋" w:cs="仿宋"/>
          <w:b w:val="0"/>
          <w:bCs w:val="0"/>
          <w:lang w:val="en-US" w:eastAsia="zh-CN"/>
        </w:rPr>
      </w:pPr>
      <w:r>
        <w:rPr>
          <w:rFonts w:ascii="仿宋" w:eastAsia="仿宋" w:cs="仿宋" w:hint="eastAsia"/>
          <w:b w:val="0"/>
          <w:bCs w:val="0"/>
          <w:lang w:val="en-US" w:eastAsia="zh-CN"/>
        </w:rPr>
        <w:t>第五部分 附表............................................2</w:t>
      </w:r>
      <w:r>
        <w:rPr>
          <w:rFonts w:cs="仿宋" w:hint="eastAsia"/>
          <w:b w:val="0"/>
          <w:bCs w:val="0"/>
          <w:lang w:val="en-US" w:eastAsia="zh-CN"/>
        </w:rPr>
        <w:t>1</w:t>
      </w:r>
    </w:p>
    <w:p>
      <w:pPr>
        <w:pStyle w:val="2"/>
        <w:rPr>
          <w:rFonts w:ascii="仿宋" w:eastAsia="仿宋"/>
          <w:color w:val="000000"/>
          <w:sz w:val="28"/>
          <w:szCs w:val="28"/>
        </w:rPr>
      </w:pPr>
      <w:r>
        <w:rPr>
          <w:rFonts w:ascii="仿宋" w:eastAsia="仿宋" w:hint="eastAsia"/>
          <w:b w:val="0"/>
          <w:color w:val="000000"/>
          <w:sz w:val="28"/>
          <w:szCs w:val="28"/>
        </w:rPr>
        <w:t>一、收</w:t>
      </w:r>
      <w:r>
        <w:rPr>
          <w:rStyle w:val="2Char"/>
          <w:rFonts w:ascii="仿宋" w:eastAsia="仿宋" w:hint="eastAsia"/>
          <w:b w:val="0"/>
          <w:bCs w:val="0"/>
          <w:sz w:val="28"/>
          <w:szCs w:val="28"/>
        </w:rPr>
        <w:t>入支出决算总表</w:t>
      </w:r>
    </w:p>
    <w:p>
      <w:pPr>
        <w:pStyle w:val="2"/>
        <w:rPr>
          <w:rFonts w:ascii="仿宋" w:eastAsia="仿宋"/>
          <w:color w:val="000000"/>
          <w:sz w:val="28"/>
          <w:szCs w:val="28"/>
        </w:rPr>
      </w:pPr>
      <w:r>
        <w:rPr>
          <w:rFonts w:ascii="仿宋" w:eastAsia="仿宋" w:hint="eastAsia"/>
          <w:b w:val="0"/>
          <w:color w:val="000000"/>
          <w:sz w:val="28"/>
          <w:szCs w:val="28"/>
        </w:rPr>
        <w:t>二、收</w:t>
      </w:r>
      <w:r>
        <w:rPr>
          <w:rStyle w:val="2Char"/>
          <w:rFonts w:ascii="仿宋" w:eastAsia="仿宋" w:hint="eastAsia"/>
          <w:b w:val="0"/>
          <w:bCs w:val="0"/>
          <w:sz w:val="28"/>
          <w:szCs w:val="28"/>
        </w:rPr>
        <w:t>入总表</w:t>
      </w:r>
    </w:p>
    <w:p>
      <w:pPr>
        <w:pStyle w:val="2"/>
        <w:rPr>
          <w:rFonts w:ascii="仿宋" w:eastAsia="仿宋"/>
          <w:color w:val="000000"/>
          <w:sz w:val="28"/>
          <w:szCs w:val="28"/>
        </w:rPr>
      </w:pPr>
      <w:r>
        <w:rPr>
          <w:rStyle w:val="2Char"/>
          <w:rFonts w:ascii="仿宋" w:eastAsia="仿宋" w:hint="eastAsia"/>
          <w:b w:val="0"/>
          <w:bCs w:val="0"/>
          <w:sz w:val="28"/>
          <w:szCs w:val="28"/>
        </w:rPr>
        <w:t>三、</w:t>
      </w:r>
      <w:r>
        <w:rPr>
          <w:rFonts w:ascii="仿宋" w:eastAsia="仿宋" w:hint="eastAsia"/>
          <w:b w:val="0"/>
          <w:color w:val="000000"/>
          <w:sz w:val="28"/>
          <w:szCs w:val="28"/>
        </w:rPr>
        <w:t>支</w:t>
      </w:r>
      <w:r>
        <w:rPr>
          <w:rStyle w:val="2Char"/>
          <w:rFonts w:ascii="仿宋" w:eastAsia="仿宋" w:hint="eastAsia"/>
          <w:b w:val="0"/>
          <w:bCs w:val="0"/>
          <w:sz w:val="28"/>
          <w:szCs w:val="28"/>
        </w:rPr>
        <w:t>出总表</w:t>
      </w:r>
    </w:p>
    <w:p>
      <w:pPr>
        <w:pStyle w:val="2"/>
        <w:rPr>
          <w:rFonts w:ascii="仿宋" w:eastAsia="仿宋"/>
          <w:b w:val="0"/>
          <w:color w:val="000000"/>
          <w:sz w:val="28"/>
          <w:szCs w:val="28"/>
        </w:rPr>
      </w:pPr>
      <w:r>
        <w:rPr>
          <w:rStyle w:val="2Char"/>
          <w:rFonts w:ascii="仿宋" w:eastAsia="仿宋" w:hint="eastAsia"/>
          <w:b w:val="0"/>
          <w:bCs w:val="0"/>
          <w:sz w:val="28"/>
          <w:szCs w:val="28"/>
        </w:rPr>
        <w:t>四、</w:t>
      </w:r>
      <w:r>
        <w:rPr>
          <w:rFonts w:ascii="仿宋" w:eastAsia="仿宋" w:hint="eastAsia"/>
          <w:b w:val="0"/>
          <w:color w:val="000000"/>
          <w:sz w:val="28"/>
          <w:szCs w:val="28"/>
        </w:rPr>
        <w:t>财</w:t>
      </w:r>
      <w:r>
        <w:rPr>
          <w:rStyle w:val="2Char"/>
          <w:rFonts w:ascii="仿宋" w:eastAsia="仿宋" w:hint="eastAsia"/>
          <w:b w:val="0"/>
          <w:bCs w:val="0"/>
          <w:sz w:val="28"/>
          <w:szCs w:val="28"/>
        </w:rPr>
        <w:t>政拨款收入支出决算总表</w:t>
      </w:r>
    </w:p>
    <w:p>
      <w:pPr>
        <w:pStyle w:val="2"/>
        <w:rPr>
          <w:rFonts w:ascii="仿宋" w:eastAsia="仿宋"/>
          <w:color w:val="000000"/>
          <w:sz w:val="28"/>
          <w:szCs w:val="28"/>
        </w:rPr>
      </w:pPr>
      <w:r>
        <w:rPr>
          <w:rStyle w:val="2Char"/>
          <w:rFonts w:ascii="仿宋" w:eastAsia="仿宋" w:hint="eastAsia"/>
          <w:b w:val="0"/>
          <w:bCs w:val="0"/>
          <w:sz w:val="28"/>
          <w:szCs w:val="28"/>
        </w:rPr>
        <w:t>五、</w:t>
      </w:r>
      <w:r>
        <w:rPr>
          <w:rFonts w:ascii="仿宋" w:eastAsia="仿宋" w:hint="eastAsia"/>
          <w:b w:val="0"/>
          <w:color w:val="000000"/>
          <w:sz w:val="28"/>
          <w:szCs w:val="28"/>
        </w:rPr>
        <w:t>财</w:t>
      </w:r>
      <w:r>
        <w:rPr>
          <w:rStyle w:val="2Char"/>
          <w:rFonts w:ascii="仿宋" w:eastAsia="仿宋" w:hint="eastAsia"/>
          <w:b w:val="0"/>
          <w:bCs w:val="0"/>
          <w:sz w:val="28"/>
          <w:szCs w:val="28"/>
        </w:rPr>
        <w:t>政拨款支出决算明细表（政府经济分类科目）</w:t>
      </w:r>
    </w:p>
    <w:p>
      <w:pPr>
        <w:pStyle w:val="2"/>
        <w:rPr>
          <w:rFonts w:ascii="仿宋" w:eastAsia="仿宋"/>
          <w:color w:val="000000"/>
          <w:sz w:val="28"/>
          <w:szCs w:val="28"/>
        </w:rPr>
      </w:pPr>
      <w:r>
        <w:rPr>
          <w:rStyle w:val="2Char"/>
          <w:rFonts w:ascii="仿宋" w:eastAsia="仿宋" w:hint="eastAsia"/>
          <w:b w:val="0"/>
          <w:bCs w:val="0"/>
          <w:sz w:val="28"/>
          <w:szCs w:val="28"/>
        </w:rPr>
        <w:t>六、</w:t>
      </w:r>
      <w:r>
        <w:rPr>
          <w:rFonts w:ascii="仿宋" w:eastAsia="仿宋" w:hint="eastAsia"/>
          <w:b w:val="0"/>
          <w:color w:val="000000"/>
          <w:sz w:val="28"/>
          <w:szCs w:val="28"/>
        </w:rPr>
        <w:t>一</w:t>
      </w:r>
      <w:r>
        <w:rPr>
          <w:rStyle w:val="2Char"/>
          <w:rFonts w:ascii="仿宋" w:eastAsia="仿宋" w:hint="eastAsia"/>
          <w:b w:val="0"/>
          <w:bCs w:val="0"/>
          <w:sz w:val="28"/>
          <w:szCs w:val="28"/>
        </w:rPr>
        <w:t>般公共预算财政拨款支出决算表</w:t>
      </w:r>
    </w:p>
    <w:p>
      <w:pPr>
        <w:pStyle w:val="2"/>
        <w:rPr>
          <w:rFonts w:ascii="仿宋" w:eastAsia="仿宋"/>
          <w:color w:val="000000"/>
          <w:sz w:val="28"/>
          <w:szCs w:val="28"/>
        </w:rPr>
      </w:pPr>
      <w:r>
        <w:rPr>
          <w:rStyle w:val="2Char"/>
          <w:rFonts w:ascii="仿宋" w:eastAsia="仿宋" w:hint="eastAsia"/>
          <w:b w:val="0"/>
          <w:bCs w:val="0"/>
          <w:sz w:val="28"/>
          <w:szCs w:val="28"/>
        </w:rPr>
        <w:t>七、</w:t>
      </w:r>
      <w:r>
        <w:rPr>
          <w:rFonts w:ascii="仿宋" w:eastAsia="仿宋" w:hint="eastAsia"/>
          <w:b w:val="0"/>
          <w:color w:val="000000"/>
          <w:sz w:val="28"/>
          <w:szCs w:val="28"/>
        </w:rPr>
        <w:t>一</w:t>
      </w:r>
      <w:r>
        <w:rPr>
          <w:rStyle w:val="2Char"/>
          <w:rFonts w:ascii="仿宋" w:eastAsia="仿宋" w:hint="eastAsia"/>
          <w:b w:val="0"/>
          <w:bCs w:val="0"/>
          <w:sz w:val="28"/>
          <w:szCs w:val="28"/>
        </w:rPr>
        <w:t>般公共预算财政拨款支出决算明细表</w:t>
      </w:r>
    </w:p>
    <w:p>
      <w:pPr>
        <w:pStyle w:val="2"/>
        <w:rPr>
          <w:rFonts w:ascii="仿宋" w:eastAsia="仿宋"/>
          <w:color w:val="000000"/>
          <w:sz w:val="28"/>
          <w:szCs w:val="28"/>
        </w:rPr>
      </w:pPr>
      <w:r>
        <w:rPr>
          <w:rStyle w:val="2Char"/>
          <w:rFonts w:ascii="仿宋" w:eastAsia="仿宋" w:hint="eastAsia"/>
          <w:b w:val="0"/>
          <w:bCs w:val="0"/>
          <w:sz w:val="28"/>
          <w:szCs w:val="28"/>
        </w:rPr>
        <w:t>八、</w:t>
      </w:r>
      <w:r>
        <w:rPr>
          <w:rFonts w:ascii="仿宋" w:eastAsia="仿宋" w:hint="eastAsia"/>
          <w:b w:val="0"/>
          <w:color w:val="000000"/>
          <w:sz w:val="28"/>
          <w:szCs w:val="28"/>
        </w:rPr>
        <w:t>一</w:t>
      </w:r>
      <w:r>
        <w:rPr>
          <w:rStyle w:val="2Char"/>
          <w:rFonts w:ascii="仿宋" w:eastAsia="仿宋" w:hint="eastAsia"/>
          <w:b w:val="0"/>
          <w:bCs w:val="0"/>
          <w:sz w:val="28"/>
          <w:szCs w:val="28"/>
        </w:rPr>
        <w:t>般公共预算财政拨款基本支出决算表</w:t>
      </w:r>
    </w:p>
    <w:p>
      <w:pPr>
        <w:pStyle w:val="2"/>
        <w:rPr>
          <w:rFonts w:ascii="仿宋" w:eastAsia="仿宋"/>
          <w:color w:val="000000"/>
          <w:sz w:val="28"/>
          <w:szCs w:val="28"/>
        </w:rPr>
      </w:pPr>
      <w:r>
        <w:rPr>
          <w:rStyle w:val="2Char"/>
          <w:rFonts w:ascii="仿宋" w:eastAsia="仿宋" w:hint="eastAsia"/>
          <w:b w:val="0"/>
          <w:bCs w:val="0"/>
          <w:sz w:val="28"/>
          <w:szCs w:val="28"/>
        </w:rPr>
        <w:t>九、</w:t>
      </w:r>
      <w:r>
        <w:rPr>
          <w:rFonts w:ascii="仿宋" w:eastAsia="仿宋" w:hint="eastAsia"/>
          <w:b w:val="0"/>
          <w:color w:val="000000"/>
          <w:sz w:val="28"/>
          <w:szCs w:val="28"/>
        </w:rPr>
        <w:t>一</w:t>
      </w:r>
      <w:r>
        <w:rPr>
          <w:rStyle w:val="2Char"/>
          <w:rFonts w:ascii="仿宋" w:eastAsia="仿宋" w:hint="eastAsia"/>
          <w:b w:val="0"/>
          <w:bCs w:val="0"/>
          <w:sz w:val="28"/>
          <w:szCs w:val="28"/>
        </w:rPr>
        <w:t>般公共预算财政拨款项目支出决算表</w:t>
      </w:r>
    </w:p>
    <w:p>
      <w:pPr>
        <w:pStyle w:val="2"/>
        <w:rPr>
          <w:rFonts w:ascii="仿宋" w:eastAsia="仿宋"/>
          <w:color w:val="000000"/>
          <w:sz w:val="28"/>
          <w:szCs w:val="28"/>
        </w:rPr>
      </w:pPr>
      <w:r>
        <w:rPr>
          <w:rStyle w:val="2Char"/>
          <w:rFonts w:ascii="仿宋" w:eastAsia="仿宋" w:hint="eastAsia"/>
          <w:b w:val="0"/>
          <w:bCs w:val="0"/>
          <w:sz w:val="28"/>
          <w:szCs w:val="28"/>
        </w:rPr>
        <w:t>十、</w:t>
      </w:r>
      <w:r>
        <w:rPr>
          <w:rFonts w:ascii="仿宋" w:eastAsia="仿宋" w:hint="eastAsia"/>
          <w:b w:val="0"/>
          <w:color w:val="000000"/>
          <w:sz w:val="28"/>
          <w:szCs w:val="28"/>
        </w:rPr>
        <w:t>一</w:t>
      </w:r>
      <w:r>
        <w:rPr>
          <w:rStyle w:val="2Char"/>
          <w:rFonts w:ascii="仿宋" w:eastAsia="仿宋" w:hint="eastAsia"/>
          <w:b w:val="0"/>
          <w:bCs w:val="0"/>
          <w:sz w:val="28"/>
          <w:szCs w:val="28"/>
        </w:rPr>
        <w:t>般公共预算财政拨款“三公”经费支出决算表</w:t>
      </w:r>
    </w:p>
    <w:p>
      <w:pPr>
        <w:pStyle w:val="2"/>
        <w:rPr>
          <w:rFonts w:ascii="仿宋" w:eastAsia="仿宋"/>
          <w:color w:val="000000"/>
          <w:sz w:val="28"/>
          <w:szCs w:val="28"/>
        </w:rPr>
      </w:pPr>
      <w:r>
        <w:rPr>
          <w:rStyle w:val="2Char"/>
          <w:rFonts w:ascii="仿宋" w:eastAsia="仿宋" w:hint="eastAsia"/>
          <w:b w:val="0"/>
          <w:bCs w:val="0"/>
          <w:sz w:val="28"/>
          <w:szCs w:val="28"/>
        </w:rPr>
        <w:t>十一、</w:t>
      </w:r>
      <w:r>
        <w:rPr>
          <w:rFonts w:ascii="仿宋" w:eastAsia="仿宋" w:hint="eastAsia"/>
          <w:b w:val="0"/>
          <w:color w:val="000000"/>
          <w:sz w:val="28"/>
          <w:szCs w:val="28"/>
        </w:rPr>
        <w:t>政</w:t>
      </w:r>
      <w:r>
        <w:rPr>
          <w:rStyle w:val="2Char"/>
          <w:rFonts w:ascii="仿宋" w:eastAsia="仿宋" w:hint="eastAsia"/>
          <w:b w:val="0"/>
          <w:bCs w:val="0"/>
          <w:sz w:val="28"/>
          <w:szCs w:val="28"/>
        </w:rPr>
        <w:t>府性基金预算财政拨款收入支出决算表</w:t>
      </w:r>
    </w:p>
    <w:p>
      <w:pPr>
        <w:pStyle w:val="2"/>
        <w:rPr>
          <w:rFonts w:ascii="仿宋" w:eastAsia="仿宋"/>
          <w:color w:val="000000"/>
          <w:sz w:val="28"/>
          <w:szCs w:val="28"/>
        </w:rPr>
      </w:pPr>
      <w:r>
        <w:rPr>
          <w:rStyle w:val="2Char"/>
          <w:rFonts w:ascii="仿宋" w:eastAsia="仿宋" w:hint="eastAsia"/>
          <w:b w:val="0"/>
          <w:bCs w:val="0"/>
          <w:sz w:val="28"/>
          <w:szCs w:val="28"/>
        </w:rPr>
        <w:t>十二、</w:t>
      </w:r>
      <w:r>
        <w:rPr>
          <w:rFonts w:ascii="仿宋" w:eastAsia="仿宋" w:hint="eastAsia"/>
          <w:b w:val="0"/>
          <w:color w:val="000000"/>
          <w:sz w:val="28"/>
          <w:szCs w:val="28"/>
        </w:rPr>
        <w:t>政</w:t>
      </w:r>
      <w:r>
        <w:rPr>
          <w:rStyle w:val="2Char"/>
          <w:rFonts w:ascii="仿宋" w:eastAsia="仿宋" w:hint="eastAsia"/>
          <w:b w:val="0"/>
          <w:bCs w:val="0"/>
          <w:sz w:val="28"/>
          <w:szCs w:val="28"/>
        </w:rPr>
        <w:t>府性基金预算财政拨款“三公”经费支出决算表</w:t>
      </w:r>
    </w:p>
    <w:p>
      <w:pPr>
        <w:pStyle w:val="2"/>
        <w:rPr>
          <w:rFonts w:ascii="仿宋" w:eastAsia="仿宋"/>
          <w:color w:val="000000"/>
          <w:sz w:val="28"/>
          <w:szCs w:val="28"/>
        </w:rPr>
      </w:pPr>
      <w:r>
        <w:rPr>
          <w:rStyle w:val="2Char"/>
          <w:rFonts w:ascii="仿宋" w:eastAsia="仿宋" w:hint="eastAsia"/>
          <w:b w:val="0"/>
          <w:bCs w:val="0"/>
          <w:sz w:val="28"/>
          <w:szCs w:val="28"/>
        </w:rPr>
        <w:t>十三、</w:t>
      </w:r>
      <w:r>
        <w:rPr>
          <w:rFonts w:ascii="仿宋" w:eastAsia="仿宋" w:hint="eastAsia"/>
          <w:b w:val="0"/>
          <w:color w:val="000000"/>
          <w:sz w:val="28"/>
          <w:szCs w:val="28"/>
        </w:rPr>
        <w:t>国</w:t>
      </w:r>
      <w:r>
        <w:rPr>
          <w:rStyle w:val="2Char"/>
          <w:rFonts w:ascii="仿宋" w:eastAsia="仿宋" w:hint="eastAsia"/>
          <w:b w:val="0"/>
          <w:bCs w:val="0"/>
          <w:sz w:val="28"/>
          <w:szCs w:val="28"/>
        </w:rPr>
        <w:t>有资本经营预算</w:t>
      </w:r>
      <w:r>
        <w:rPr>
          <w:rStyle w:val="2Char"/>
          <w:rFonts w:ascii="仿宋" w:eastAsia="仿宋"/>
          <w:b w:val="0"/>
          <w:bCs w:val="0"/>
          <w:sz w:val="28"/>
          <w:szCs w:val="28"/>
        </w:rPr>
        <w:t>财政拨款收入</w:t>
      </w:r>
      <w:r>
        <w:rPr>
          <w:rStyle w:val="2Char"/>
          <w:rFonts w:ascii="仿宋" w:eastAsia="仿宋" w:hint="eastAsia"/>
          <w:b w:val="0"/>
          <w:bCs w:val="0"/>
          <w:sz w:val="28"/>
          <w:szCs w:val="28"/>
        </w:rPr>
        <w:t>支出决算表</w:t>
      </w:r>
    </w:p>
    <w:p>
      <w:pPr>
        <w:pStyle w:val="2"/>
        <w:rPr>
          <w:rFonts w:ascii="仿宋" w:eastAsia="仿宋"/>
          <w:color w:val="000000"/>
          <w:sz w:val="28"/>
          <w:szCs w:val="28"/>
        </w:rPr>
      </w:pPr>
      <w:r>
        <w:rPr>
          <w:rStyle w:val="2Char"/>
          <w:rFonts w:ascii="仿宋" w:eastAsia="仿宋" w:hint="eastAsia"/>
          <w:b w:val="0"/>
          <w:bCs w:val="0"/>
          <w:sz w:val="28"/>
          <w:szCs w:val="28"/>
        </w:rPr>
        <w:t>十</w:t>
      </w:r>
      <w:r>
        <w:rPr>
          <w:rStyle w:val="2Char"/>
          <w:rFonts w:ascii="仿宋" w:eastAsia="仿宋"/>
          <w:b w:val="0"/>
          <w:bCs w:val="0"/>
          <w:sz w:val="28"/>
          <w:szCs w:val="28"/>
        </w:rPr>
        <w:t>四</w:t>
      </w:r>
      <w:r>
        <w:rPr>
          <w:rStyle w:val="2Char"/>
          <w:rFonts w:ascii="仿宋" w:eastAsia="仿宋" w:hint="eastAsia"/>
          <w:b w:val="0"/>
          <w:bCs w:val="0"/>
          <w:sz w:val="28"/>
          <w:szCs w:val="28"/>
        </w:rPr>
        <w:t>、</w:t>
      </w:r>
      <w:r>
        <w:rPr>
          <w:rFonts w:ascii="仿宋" w:eastAsia="仿宋" w:hint="eastAsia"/>
          <w:b w:val="0"/>
          <w:color w:val="000000"/>
          <w:sz w:val="28"/>
          <w:szCs w:val="28"/>
        </w:rPr>
        <w:t>国</w:t>
      </w:r>
      <w:r>
        <w:rPr>
          <w:rStyle w:val="2Char"/>
          <w:rFonts w:ascii="仿宋" w:eastAsia="仿宋" w:hint="eastAsia"/>
          <w:b w:val="0"/>
          <w:bCs w:val="0"/>
          <w:sz w:val="28"/>
          <w:szCs w:val="28"/>
        </w:rPr>
        <w:t>有资本经营预算</w:t>
      </w:r>
      <w:r>
        <w:rPr>
          <w:rStyle w:val="2Char"/>
          <w:rFonts w:ascii="仿宋" w:eastAsia="仿宋"/>
          <w:b w:val="0"/>
          <w:bCs w:val="0"/>
          <w:sz w:val="28"/>
          <w:szCs w:val="28"/>
        </w:rPr>
        <w:t>财政拨款</w:t>
      </w:r>
      <w:r>
        <w:rPr>
          <w:rStyle w:val="2Char"/>
          <w:rFonts w:ascii="仿宋" w:eastAsia="仿宋" w:hint="eastAsia"/>
          <w:b w:val="0"/>
          <w:bCs w:val="0"/>
          <w:sz w:val="28"/>
          <w:szCs w:val="28"/>
        </w:rPr>
        <w:t>支出决算表</w:t>
      </w:r>
    </w:p>
    <w:p>
      <w:pPr>
        <w:rPr>
          <w:rFonts w:ascii="仿宋" w:eastAsia="仿宋" w:cs="仿宋" w:hint="eastAsia"/>
          <w:sz w:val="28"/>
          <w:szCs w:val="28"/>
        </w:rPr>
      </w:pPr>
    </w:p>
    <w:p>
      <w:pPr>
        <w:pStyle w:val="1"/>
        <w:numPr>
          <w:ilvl w:val="0"/>
          <w:numId w:val="1"/>
        </w:numPr>
        <w:jc w:val="center"/>
        <w:rPr>
          <w:rStyle w:val="1Char"/>
          <w:rFonts w:ascii="黑体" w:eastAsia="黑体"/>
          <w:b w:val="0"/>
          <w:bCs w:val="0"/>
        </w:rPr>
      </w:pPr>
      <w:bookmarkStart w:id="8" w:name="_Toc27352"/>
      <w:r>
        <w:rPr>
          <w:rStyle w:val="1Char"/>
          <w:rFonts w:ascii="黑体" w:eastAsia="黑体" w:hint="eastAsia"/>
          <w:b w:val="0"/>
          <w:bCs w:val="0"/>
        </w:rPr>
        <w:t>部门概况</w:t>
      </w:r>
      <w:bookmarkStart w:id="9" w:name="_Toc15377204"/>
      <w:bookmarkEnd w:id="7"/>
      <w:bookmarkEnd w:id="8"/>
    </w:p>
    <w:p>
      <w:pPr>
        <w:pStyle w:val="2"/>
        <w:numPr>
          <w:ilvl w:val="0"/>
          <w:numId w:val="2"/>
        </w:numPr>
        <w:spacing w:before="0" w:after="0" w:line="240" w:lineRule="auto"/>
        <w:ind w:left="0" w:firstLineChars="200" w:firstLine="640"/>
        <w:rPr>
          <w:rStyle w:val="2Char"/>
          <w:rFonts w:ascii="黑体" w:eastAsia="黑体" w:hint="eastAsia"/>
          <w:b w:val="0"/>
          <w:bCs w:val="0"/>
        </w:rPr>
      </w:pPr>
      <w:bookmarkStart w:id="10" w:name="_Toc15377197"/>
      <w:bookmarkStart w:id="11" w:name="_Toc21480"/>
      <w:r>
        <w:rPr>
          <w:rFonts w:ascii="黑体" w:eastAsia="黑体" w:hint="eastAsia"/>
          <w:b w:val="0"/>
          <w:color w:val="000000"/>
        </w:rPr>
        <w:t>基</w:t>
      </w:r>
      <w:r>
        <w:rPr>
          <w:rStyle w:val="2Char"/>
          <w:rFonts w:ascii="黑体" w:eastAsia="黑体" w:hint="eastAsia"/>
          <w:b w:val="0"/>
          <w:bCs w:val="0"/>
        </w:rPr>
        <w:t>本职能及主要工作</w:t>
      </w:r>
      <w:bookmarkStart w:id="12" w:name="_Toc15378446"/>
      <w:bookmarkStart w:id="13" w:name="_Toc15377199"/>
      <w:bookmarkEnd w:id="10"/>
      <w:bookmarkEnd w:id="11"/>
    </w:p>
    <w:p>
      <w:pPr>
        <w:rPr>
          <w:rFonts w:eastAsia="宋体"/>
          <w:lang w:val="en-US" w:eastAsia="zh-CN"/>
        </w:rPr>
      </w:pPr>
      <w:r>
        <w:rPr>
          <w:rFonts w:hint="eastAsia"/>
          <w:lang w:val="en-US" w:eastAsia="zh-CN"/>
        </w:rPr>
        <w:t xml:space="preserve">   </w:t>
      </w:r>
    </w:p>
    <w:p>
      <w:pPr>
        <w:ind w:firstLineChars="200" w:firstLine="640"/>
        <w:rPr>
          <w:rFonts w:ascii="仿宋_GB2312" w:eastAsia="仿宋_GB2312" w:cs="仿宋_GB2312"/>
          <w:b/>
          <w:bCs/>
          <w:sz w:val="32"/>
          <w:szCs w:val="32"/>
        </w:rPr>
      </w:pPr>
      <w:bookmarkStart w:id="14" w:name="_Toc32388"/>
      <w:r>
        <w:rPr>
          <w:rFonts w:ascii="仿宋_GB2312" w:eastAsia="仿宋_GB2312" w:cs="仿宋_GB2312" w:hint="eastAsia"/>
          <w:b/>
          <w:bCs/>
          <w:sz w:val="32"/>
          <w:szCs w:val="32"/>
        </w:rPr>
        <w:t>（一）金川县世外梨园景区服务中心职能简介</w:t>
      </w:r>
    </w:p>
    <w:p>
      <w:pPr>
        <w:widowControl/>
        <w:shd w:val="clear" w:color="auto" w:fill="FFFFFF"/>
        <w:spacing w:line="480" w:lineRule="exact"/>
        <w:ind w:left="0"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1.</w:t>
      </w:r>
      <w:r>
        <w:rPr>
          <w:rFonts w:ascii="仿宋_GB2312" w:eastAsia="仿宋_GB2312" w:cs="仿宋_GB2312" w:hint="eastAsia"/>
          <w:color w:val="333333"/>
          <w:sz w:val="32"/>
          <w:szCs w:val="32"/>
          <w:shd w:val="clear" w:color="auto" w:fill="FFFFFF"/>
        </w:rPr>
        <w:t xml:space="preserve">拟订文化、旅游政策措施，起草文化、旅游地方性法规、规章草案，负责本部门依法行政工作。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2.</w:t>
      </w:r>
      <w:r>
        <w:rPr>
          <w:rFonts w:ascii="仿宋_GB2312" w:eastAsia="仿宋_GB2312" w:cs="仿宋_GB2312" w:hint="eastAsia"/>
          <w:color w:val="333333"/>
          <w:sz w:val="32"/>
          <w:szCs w:val="32"/>
          <w:shd w:val="clear" w:color="auto" w:fill="FFFFFF"/>
        </w:rPr>
        <w:t xml:space="preserve">组织推动全县文化事业、文化产业和旅游业发展，拟订并组织实施全县文化、旅游规划，推进所属行业的体制机制改革和行业融合发展。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3.</w:t>
      </w:r>
      <w:r>
        <w:rPr>
          <w:rFonts w:ascii="仿宋_GB2312" w:eastAsia="仿宋_GB2312" w:cs="仿宋_GB2312" w:hint="eastAsia"/>
          <w:color w:val="333333"/>
          <w:sz w:val="32"/>
          <w:szCs w:val="32"/>
          <w:shd w:val="clear" w:color="auto" w:fill="FFFFFF"/>
        </w:rPr>
        <w:t xml:space="preserve">管理所属行业的全县重大旅游活动，指导所属行业重点设施建设，组织全县文化和旅游整体形象推广，促进行业产业对外交流合作和市场推广，制定旅游市场开发战略并组织实施，推进全域旅游。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4.</w:t>
      </w:r>
      <w:r>
        <w:rPr>
          <w:rFonts w:ascii="仿宋_GB2312" w:eastAsia="仿宋_GB2312" w:cs="仿宋_GB2312" w:hint="eastAsia"/>
          <w:color w:val="333333"/>
          <w:sz w:val="32"/>
          <w:szCs w:val="32"/>
          <w:shd w:val="clear" w:color="auto" w:fill="FFFFFF"/>
        </w:rPr>
        <w:t xml:space="preserve">指导管理文艺事业，推动艺术创作生产，扶持体现社会主义核心价值观、具有导向性代表性示范性的文艺作品，推动各门类艺术、各艺术品种发展，推动中华优秀传统文化和巴文化传承发展。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5.</w:t>
      </w:r>
      <w:r>
        <w:rPr>
          <w:rFonts w:ascii="仿宋_GB2312" w:eastAsia="仿宋_GB2312" w:cs="仿宋_GB2312" w:hint="eastAsia"/>
          <w:color w:val="333333"/>
          <w:sz w:val="32"/>
          <w:szCs w:val="32"/>
          <w:shd w:val="clear" w:color="auto" w:fill="FFFFFF"/>
        </w:rPr>
        <w:t xml:space="preserve">负责公共文化事业发展，推进全县公共文化服务体系建设和旅游公共服务建设，深入实施文化惠民工程，统筹推进基本公共文化服务标准化、均等化。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6.</w:t>
      </w:r>
      <w:r>
        <w:rPr>
          <w:rFonts w:ascii="仿宋_GB2312" w:eastAsia="仿宋_GB2312" w:cs="仿宋_GB2312" w:hint="eastAsia"/>
          <w:color w:val="333333"/>
          <w:sz w:val="32"/>
          <w:szCs w:val="32"/>
          <w:shd w:val="clear" w:color="auto" w:fill="FFFFFF"/>
        </w:rPr>
        <w:t xml:space="preserve">推进文化、旅游、科技创新发展，推进本行业信息化、标准化建设。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7.</w:t>
      </w:r>
      <w:r>
        <w:rPr>
          <w:rFonts w:ascii="仿宋_GB2312" w:eastAsia="仿宋_GB2312" w:cs="仿宋_GB2312" w:hint="eastAsia"/>
          <w:color w:val="333333"/>
          <w:sz w:val="32"/>
          <w:szCs w:val="32"/>
          <w:shd w:val="clear" w:color="auto" w:fill="FFFFFF"/>
        </w:rPr>
        <w:t xml:space="preserve">组织实施所属行业资源普查、挖掘、保护与利用工作，促进行业的产业发展。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8.</w:t>
      </w:r>
      <w:r>
        <w:rPr>
          <w:rFonts w:ascii="仿宋_GB2312" w:eastAsia="仿宋_GB2312" w:cs="仿宋_GB2312" w:hint="eastAsia"/>
          <w:color w:val="333333"/>
          <w:sz w:val="32"/>
          <w:szCs w:val="32"/>
          <w:shd w:val="clear" w:color="auto" w:fill="FFFFFF"/>
        </w:rPr>
        <w:t xml:space="preserve">指导文化、旅游市场发展，并进行行业监管，推进行业信用体系建设，依法规范行业市场。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9.</w:t>
      </w:r>
      <w:r>
        <w:rPr>
          <w:rFonts w:ascii="仿宋_GB2312" w:eastAsia="仿宋_GB2312" w:cs="仿宋_GB2312" w:hint="eastAsia"/>
          <w:color w:val="333333"/>
          <w:sz w:val="32"/>
          <w:szCs w:val="32"/>
          <w:shd w:val="clear" w:color="auto" w:fill="FFFFFF"/>
        </w:rPr>
        <w:t xml:space="preserve">负责管理文化、旅游对外交流合作与宣传推广工作，组织大型文化、旅游、对外交流活动，推动中华文化走出去。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10.</w:t>
      </w:r>
      <w:r>
        <w:rPr>
          <w:rFonts w:ascii="仿宋_GB2312" w:eastAsia="仿宋_GB2312" w:cs="仿宋_GB2312" w:hint="eastAsia"/>
          <w:color w:val="333333"/>
          <w:sz w:val="32"/>
          <w:szCs w:val="32"/>
          <w:shd w:val="clear" w:color="auto" w:fill="FFFFFF"/>
        </w:rPr>
        <w:t xml:space="preserve">负责全县文化、旅游市场安全生产工作的综合协调与监督管理，对文化旅游园区的安全生产和职业健康工作实施行业监督管理。制定职责范围内的安全生产年度监督检查计划并组织实施。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11.</w:t>
      </w:r>
      <w:r>
        <w:rPr>
          <w:rFonts w:ascii="仿宋_GB2312" w:eastAsia="仿宋_GB2312" w:cs="仿宋_GB2312" w:hint="eastAsia"/>
          <w:color w:val="333333"/>
          <w:sz w:val="32"/>
          <w:szCs w:val="32"/>
          <w:shd w:val="clear" w:color="auto" w:fill="FFFFFF"/>
        </w:rPr>
        <w:t xml:space="preserve">负责职责范围内的安全生产和职业健康、生态环境保护、便民化等工作。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12.</w:t>
      </w:r>
      <w:r>
        <w:rPr>
          <w:rFonts w:ascii="仿宋_GB2312" w:eastAsia="仿宋_GB2312" w:cs="仿宋_GB2312" w:hint="eastAsia"/>
          <w:color w:val="333333"/>
          <w:sz w:val="32"/>
          <w:szCs w:val="32"/>
          <w:shd w:val="clear" w:color="auto" w:fill="FFFFFF"/>
        </w:rPr>
        <w:t xml:space="preserve">完成县委委、县政府交办的其他任务。 </w:t>
      </w:r>
    </w:p>
    <w:p>
      <w:pPr>
        <w:widowControl/>
        <w:shd w:val="clear" w:color="auto" w:fill="FFFFFF"/>
        <w:spacing w:line="48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lang w:val="en-US" w:eastAsia="zh-CN"/>
        </w:rPr>
        <w:t>13.</w:t>
      </w:r>
      <w:r>
        <w:rPr>
          <w:rFonts w:ascii="仿宋_GB2312" w:eastAsia="仿宋_GB2312" w:cs="仿宋_GB2312" w:hint="eastAsia"/>
          <w:color w:val="333333"/>
          <w:sz w:val="32"/>
          <w:szCs w:val="32"/>
          <w:shd w:val="clear" w:color="auto" w:fill="FFFFFF"/>
        </w:rPr>
        <w:t>职能转变。以人民美好生活为引导，统筹推进文化、旅游与产业的融合发展，用好文化创意、科技创新和社会投资等新动能。提升巩固旅游业的战略性支柱产业地位，提升文化软实力、旅游竞争力。</w:t>
      </w:r>
    </w:p>
    <w:p>
      <w:pPr>
        <w:pStyle w:val="17"/>
        <w:adjustRightInd w:val="0"/>
        <w:snapToGrid w:val="0"/>
        <w:spacing w:beforeLines="0" w:before="30" w:line="600" w:lineRule="exact"/>
        <w:ind w:firstLineChars="200" w:firstLine="640"/>
        <w:rPr>
          <w:rFonts w:ascii="仿宋" w:eastAsia="仿宋" w:cs="仿宋" w:hint="eastAsia"/>
          <w:b/>
          <w:bCs w:val="0"/>
          <w:color w:val="000000"/>
          <w:sz w:val="32"/>
          <w:szCs w:val="32"/>
        </w:rPr>
      </w:pPr>
      <w:r>
        <w:rPr>
          <w:rFonts w:ascii="仿宋" w:eastAsia="仿宋" w:cs="仿宋" w:hint="eastAsia"/>
          <w:b/>
          <w:bCs w:val="0"/>
          <w:color w:val="000000"/>
          <w:sz w:val="32"/>
          <w:szCs w:val="32"/>
        </w:rPr>
        <w:t>（二）2021年重点工作完成情况。</w:t>
      </w:r>
    </w:p>
    <w:p>
      <w:pPr>
        <w:widowControl/>
        <w:shd w:val="clear" w:color="auto" w:fill="FFFFFF"/>
        <w:spacing w:line="480" w:lineRule="exact"/>
        <w:ind w:firstLineChars="250" w:firstLine="800"/>
        <w:jc w:val="left"/>
        <w:rPr>
          <w:rFonts w:ascii="仿宋_GB2312" w:eastAsia="仿宋_GB2312" w:cs="仿宋_GB2312"/>
          <w:kern w:val="0"/>
          <w:sz w:val="32"/>
          <w:szCs w:val="32"/>
          <w:shd w:val="clear" w:color="auto" w:fill="FFFFFF"/>
        </w:rPr>
      </w:pPr>
      <w:r>
        <w:rPr>
          <w:rFonts w:ascii="仿宋_GB2312" w:eastAsia="仿宋_GB2312" w:cs="仿宋_GB2312" w:hint="eastAsia"/>
          <w:kern w:val="0"/>
          <w:sz w:val="32"/>
          <w:szCs w:val="32"/>
          <w:shd w:val="clear" w:color="auto" w:fill="FFFFFF"/>
        </w:rPr>
        <w:t>1.认真贯彻党的十八届三中全会精神，大力发展文化旅游事业和产业，推动文化大发展大繁荣。积极争取上级资金和项目，进一步完善县、乡、村三级公共文化服务基础设施，全力实施文化惠民扶贫工程，进一步完善公共文化服务体系。 </w:t>
      </w:r>
    </w:p>
    <w:p>
      <w:pPr>
        <w:widowControl/>
        <w:shd w:val="clear" w:color="auto" w:fill="FFFFFF"/>
        <w:spacing w:line="480" w:lineRule="exact"/>
        <w:ind w:firstLine="642"/>
        <w:jc w:val="left"/>
        <w:rPr>
          <w:rFonts w:ascii="仿宋_GB2312" w:eastAsia="仿宋_GB2312" w:cs="仿宋_GB2312"/>
          <w:kern w:val="0"/>
          <w:sz w:val="32"/>
          <w:szCs w:val="32"/>
          <w:shd w:val="clear" w:color="auto" w:fill="FFFFFF"/>
        </w:rPr>
      </w:pPr>
      <w:r>
        <w:rPr>
          <w:rFonts w:ascii="仿宋_GB2312" w:eastAsia="仿宋_GB2312" w:cs="仿宋_GB2312" w:hint="eastAsia"/>
          <w:kern w:val="0"/>
          <w:sz w:val="32"/>
          <w:szCs w:val="32"/>
          <w:shd w:val="clear" w:color="auto" w:fill="FFFFFF"/>
        </w:rPr>
        <w:t>2.做好全县文化资源普查工作，对进一步加强文化挖掘、保护、传承、弘扬和科学运用打好坚实基础.</w:t>
      </w:r>
    </w:p>
    <w:p>
      <w:pPr>
        <w:pStyle w:val="24"/>
        <w:shd w:val="clear" w:color="auto" w:fill="FFFFFF"/>
        <w:spacing w:beforeAutospacing="0" w:afterAutospacing="0"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3、文化：我中心积极组织开展群众文化活动，组织全县文艺大汇演，挖掘、开发民间传统文化。</w:t>
      </w:r>
    </w:p>
    <w:p>
      <w:pPr>
        <w:snapToGrid w:val="0"/>
        <w:spacing w:line="360" w:lineRule="auto"/>
        <w:ind w:leftChars="200" w:left="420"/>
        <w:rPr>
          <w:rFonts w:ascii="仿宋_GB2312" w:eastAsia="仿宋_GB2312" w:cs="仿宋_GB2312"/>
          <w:b/>
          <w:bCs/>
          <w:color w:val="000000"/>
          <w:sz w:val="32"/>
          <w:szCs w:val="32"/>
        </w:rPr>
      </w:pPr>
      <w:bookmarkEnd w:id="12"/>
      <w:bookmarkEnd w:id="13"/>
      <w:bookmarkEnd w:id="14"/>
      <w:r>
        <w:rPr>
          <w:rFonts w:ascii="仿宋" w:eastAsia="仿宋" w:cs="仿宋" w:hint="eastAsia"/>
          <w:b/>
          <w:bCs/>
          <w:color w:val="000000"/>
          <w:sz w:val="32"/>
          <w:szCs w:val="32"/>
          <w:lang w:val="en-US" w:eastAsia="zh-CN"/>
        </w:rPr>
        <w:t>二、</w:t>
      </w:r>
      <w:r>
        <w:rPr>
          <w:rFonts w:ascii="仿宋_GB2312" w:eastAsia="仿宋_GB2312" w:cs="仿宋_GB2312" w:hint="eastAsia"/>
          <w:b/>
          <w:bCs/>
          <w:color w:val="000000"/>
          <w:sz w:val="32"/>
          <w:szCs w:val="32"/>
        </w:rPr>
        <w:t>机构设置</w:t>
      </w:r>
    </w:p>
    <w:p>
      <w:pPr>
        <w:pStyle w:val="24"/>
        <w:shd w:val="clear" w:color="auto" w:fill="FFFFFF"/>
        <w:spacing w:beforeAutospacing="0" w:afterAutospacing="0" w:line="560" w:lineRule="exact"/>
        <w:ind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金川县世外梨园景区服务中心属于参公单位，执行的是事业单位会计制度，编制人数为8人，实有人数8人。</w:t>
      </w:r>
    </w:p>
    <w:p>
      <w:pPr>
        <w:pStyle w:val="1"/>
        <w:ind w:right="440"/>
        <w:jc w:val="right"/>
      </w:pPr>
      <w:bookmarkStart w:id="15"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rPr>
        <w:t>1年度部门决算情况说明</w:t>
      </w:r>
      <w:bookmarkEnd w:id="9"/>
      <w:bookmarkEnd w:id="15"/>
    </w:p>
    <w:p>
      <w:pPr>
        <w:pStyle w:val="32"/>
        <w:ind w:firstLineChars="0" w:firstLine="0"/>
        <w:outlineLvl w:val="1"/>
        <w:rPr>
          <w:rStyle w:val="2Char"/>
          <w:rFonts w:ascii="黑体" w:eastAsia="黑体"/>
          <w:b w:val="0"/>
        </w:rPr>
      </w:pPr>
      <w:bookmarkStart w:id="16" w:name="_Toc14461"/>
      <w:bookmarkStart w:id="17" w:name="_Toc15377205"/>
      <w:r>
        <w:rPr>
          <w:rFonts w:ascii="黑体" w:eastAsia="黑体" w:hint="eastAsia"/>
          <w:color w:val="000000"/>
          <w:sz w:val="32"/>
          <w:szCs w:val="32"/>
        </w:rPr>
        <w:t xml:space="preserve">    一、收</w:t>
      </w:r>
      <w:r>
        <w:rPr>
          <w:rStyle w:val="2Char"/>
          <w:rFonts w:ascii="黑体" w:eastAsia="黑体" w:hint="eastAsia"/>
          <w:b w:val="0"/>
        </w:rPr>
        <w:t>入支出决算总体情况说明</w:t>
      </w:r>
      <w:bookmarkEnd w:id="16"/>
      <w:bookmarkEnd w:id="17"/>
    </w:p>
    <w:p>
      <w:pPr>
        <w:snapToGrid w:val="0"/>
        <w:spacing w:line="520" w:lineRule="exact"/>
        <w:ind w:firstLineChars="200" w:firstLine="632"/>
      </w:pPr>
      <w:r>
        <w:rPr>
          <w:rFonts w:ascii="仿宋_GB2312" w:eastAsia="仿宋_GB2312"/>
          <w:color w:val="000000"/>
          <w:spacing w:val="-2"/>
          <w:sz w:val="32"/>
          <w:szCs w:val="32"/>
        </w:rPr>
        <w:t>202</w:t>
      </w:r>
      <w:r>
        <w:rPr>
          <w:rFonts w:ascii="仿宋_GB2312" w:eastAsia="仿宋_GB2312" w:hint="eastAsia"/>
          <w:color w:val="000000"/>
          <w:spacing w:val="-2"/>
          <w:sz w:val="32"/>
          <w:szCs w:val="32"/>
        </w:rPr>
        <w:t>1年度总收入</w:t>
      </w:r>
      <w:r>
        <w:rPr>
          <w:rFonts w:ascii="仿宋_GB2312" w:eastAsia="仿宋_GB2312"/>
          <w:color w:val="000000"/>
          <w:spacing w:val="-2"/>
          <w:sz w:val="32"/>
          <w:szCs w:val="32"/>
        </w:rPr>
        <w:t>250.601675</w:t>
      </w:r>
      <w:r>
        <w:rPr>
          <w:rFonts w:ascii="仿宋_GB2312" w:eastAsia="仿宋_GB2312" w:hint="eastAsia"/>
          <w:color w:val="000000"/>
          <w:spacing w:val="-2"/>
          <w:sz w:val="32"/>
          <w:szCs w:val="32"/>
        </w:rPr>
        <w:t>万元，较上年收入减少</w:t>
      </w:r>
      <w:r>
        <w:rPr>
          <w:rFonts w:ascii="仿宋_GB2312" w:eastAsia="仿宋_GB2312"/>
          <w:color w:val="000000"/>
          <w:spacing w:val="-2"/>
          <w:sz w:val="32"/>
          <w:szCs w:val="32"/>
        </w:rPr>
        <w:t>147.807009</w:t>
      </w:r>
      <w:r>
        <w:rPr>
          <w:rFonts w:ascii="仿宋_GB2312" w:eastAsia="仿宋_GB2312" w:hint="eastAsia"/>
          <w:color w:val="000000"/>
          <w:spacing w:val="-2"/>
          <w:sz w:val="32"/>
          <w:szCs w:val="32"/>
        </w:rPr>
        <w:t>万元，下降</w:t>
      </w:r>
      <w:r>
        <w:rPr>
          <w:rFonts w:ascii="仿宋_GB2312" w:eastAsia="仿宋_GB2312"/>
          <w:color w:val="000000"/>
          <w:spacing w:val="-2"/>
          <w:sz w:val="32"/>
          <w:szCs w:val="32"/>
        </w:rPr>
        <w:t>37.1</w:t>
      </w:r>
      <w:r>
        <w:rPr>
          <w:rFonts w:ascii="仿宋_GB2312" w:eastAsia="仿宋_GB2312" w:hint="eastAsia"/>
          <w:color w:val="000000"/>
          <w:spacing w:val="-2"/>
          <w:sz w:val="32"/>
          <w:szCs w:val="32"/>
        </w:rPr>
        <w:t>%。下降的主要原因是</w:t>
      </w:r>
      <w:r>
        <w:rPr>
          <w:rFonts w:ascii="仿宋_GB2312" w:eastAsia="仿宋_GB2312"/>
          <w:color w:val="000000"/>
          <w:spacing w:val="-2"/>
          <w:sz w:val="32"/>
          <w:szCs w:val="32"/>
        </w:rPr>
        <w:t>人员变动据</w:t>
      </w:r>
      <w:r>
        <w:rPr>
          <w:rFonts w:ascii="仿宋_GB2312" w:eastAsia="仿宋_GB2312" w:hint="eastAsia"/>
          <w:color w:val="000000"/>
          <w:spacing w:val="-2"/>
          <w:sz w:val="32"/>
          <w:szCs w:val="32"/>
        </w:rPr>
        <w:t>。</w:t>
      </w:r>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spacing w:val="-2"/>
          <w:sz w:val="32"/>
          <w:szCs w:val="32"/>
        </w:rPr>
        <w:t>202</w:t>
      </w:r>
      <w:r>
        <w:rPr>
          <w:rFonts w:ascii="仿宋_GB2312" w:eastAsia="仿宋_GB2312" w:hint="eastAsia"/>
          <w:spacing w:val="-2"/>
          <w:sz w:val="32"/>
          <w:szCs w:val="32"/>
        </w:rPr>
        <w:t>1年总支出</w:t>
      </w:r>
      <w:r>
        <w:rPr>
          <w:rFonts w:ascii="仿宋_GB2312" w:eastAsia="仿宋_GB2312"/>
          <w:spacing w:val="-2"/>
          <w:sz w:val="32"/>
          <w:szCs w:val="32"/>
        </w:rPr>
        <w:t>250.601675</w:t>
      </w:r>
      <w:r>
        <w:rPr>
          <w:rFonts w:ascii="仿宋_GB2312" w:eastAsia="仿宋_GB2312" w:hint="eastAsia"/>
          <w:spacing w:val="-2"/>
          <w:sz w:val="32"/>
          <w:szCs w:val="32"/>
        </w:rPr>
        <w:t>万元，较上年支出减少</w:t>
      </w:r>
      <w:r>
        <w:rPr>
          <w:rFonts w:ascii="仿宋_GB2312" w:eastAsia="仿宋_GB2312"/>
          <w:spacing w:val="-2"/>
          <w:sz w:val="32"/>
          <w:szCs w:val="32"/>
        </w:rPr>
        <w:t>147.807009</w:t>
      </w:r>
      <w:r>
        <w:rPr>
          <w:rFonts w:ascii="仿宋_GB2312" w:eastAsia="仿宋_GB2312" w:hint="eastAsia"/>
          <w:color w:val="000000"/>
          <w:spacing w:val="-2"/>
          <w:sz w:val="32"/>
          <w:szCs w:val="32"/>
        </w:rPr>
        <w:t>万元</w:t>
      </w:r>
      <w:r>
        <w:rPr>
          <w:rFonts w:ascii="仿宋_GB2312" w:eastAsia="仿宋_GB2312" w:hint="eastAsia"/>
          <w:spacing w:val="-2"/>
          <w:sz w:val="32"/>
          <w:szCs w:val="32"/>
        </w:rPr>
        <w:t>，下降</w:t>
      </w:r>
      <w:r>
        <w:rPr>
          <w:rFonts w:ascii="仿宋_GB2312" w:eastAsia="仿宋_GB2312"/>
          <w:spacing w:val="-2"/>
          <w:sz w:val="32"/>
          <w:szCs w:val="32"/>
        </w:rPr>
        <w:t>37.1</w:t>
      </w:r>
      <w:r>
        <w:rPr>
          <w:rFonts w:ascii="仿宋_GB2312" w:eastAsia="仿宋_GB2312" w:hint="eastAsia"/>
          <w:color w:val="000000"/>
          <w:spacing w:val="-2"/>
          <w:sz w:val="32"/>
          <w:szCs w:val="32"/>
        </w:rPr>
        <w:t>%</w:t>
      </w:r>
      <w:r>
        <w:rPr>
          <w:rFonts w:ascii="仿宋_GB2312" w:eastAsia="仿宋_GB2312" w:hint="eastAsia"/>
          <w:spacing w:val="-2"/>
          <w:sz w:val="32"/>
          <w:szCs w:val="32"/>
        </w:rPr>
        <w:t>。下降</w:t>
      </w:r>
      <w:r>
        <w:rPr>
          <w:rFonts w:ascii="仿宋_GB2312" w:eastAsia="仿宋_GB2312" w:hint="eastAsia"/>
          <w:color w:val="000000"/>
          <w:spacing w:val="-2"/>
          <w:sz w:val="32"/>
          <w:szCs w:val="32"/>
        </w:rPr>
        <w:t>的主要原因是</w:t>
      </w:r>
      <w:r>
        <w:rPr>
          <w:rFonts w:ascii="仿宋_GB2312" w:eastAsia="仿宋_GB2312"/>
          <w:color w:val="000000"/>
          <w:spacing w:val="-2"/>
          <w:sz w:val="32"/>
          <w:szCs w:val="32"/>
        </w:rPr>
        <w:t>人员变动</w:t>
      </w:r>
      <w:r>
        <w:rPr>
          <w:rFonts w:ascii="仿宋_GB2312" w:eastAsia="仿宋_GB2312" w:hint="eastAsia"/>
          <w:color w:val="000000"/>
          <w:spacing w:val="-2"/>
          <w:sz w:val="32"/>
          <w:szCs w:val="32"/>
        </w:rPr>
        <w:t>。</w:t>
      </w:r>
    </w:p>
    <w:p>
      <w:pPr>
        <w:pStyle w:val="27"/>
        <w:rPr>
          <w:rFonts w:ascii="仿宋_GB2312" w:eastAsia="仿宋_GB2312"/>
          <w:spacing w:val="-2"/>
          <w:sz w:val="32"/>
          <w:szCs w:val="32"/>
        </w:rPr>
      </w:pPr>
    </w:p>
    <w:p>
      <w:pPr>
        <w:pStyle w:val="27"/>
        <w:rPr>
          <w:rFonts w:ascii="仿宋_GB2312" w:eastAsia="仿宋_GB2312"/>
          <w:spacing w:val="-2"/>
          <w:sz w:val="32"/>
          <w:szCs w:val="32"/>
        </w:rPr>
      </w:pPr>
      <w:r>
        <w:rPr>
          <w:rFonts w:ascii="仿宋_GB2312" w:eastAsia="仿宋_GB2312" w:hint="eastAsia"/>
          <w:spacing w:val="-2"/>
          <w:sz w:val="32"/>
          <w:szCs w:val="32"/>
        </w:rPr>
        <w:drawing>
          <wp:inline distT="0" distB="0" distL="114300" distR="114300">
            <wp:extent cx="4320540" cy="2110740"/>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Style w:val="2Char"/>
          <w:rFonts w:ascii="黑体" w:eastAsia="黑体"/>
          <w:b w:val="0"/>
        </w:rPr>
      </w:pPr>
      <w:bookmarkStart w:id="18" w:name="_Toc15377206"/>
      <w:r>
        <w:rPr>
          <w:rFonts w:ascii="黑体" w:eastAsia="黑体" w:hint="eastAsia"/>
          <w:color w:val="000000"/>
          <w:sz w:val="32"/>
          <w:szCs w:val="32"/>
        </w:rPr>
        <w:t>二、收入决</w:t>
      </w:r>
      <w:r>
        <w:rPr>
          <w:rStyle w:val="2Char"/>
          <w:rFonts w:ascii="黑体" w:eastAsia="黑体" w:hint="eastAsia"/>
          <w:b w:val="0"/>
        </w:rPr>
        <w:t>算情况说明</w:t>
      </w:r>
      <w:bookmarkEnd w:id="18"/>
    </w:p>
    <w:p>
      <w:pPr>
        <w:spacing w:line="600" w:lineRule="exact"/>
        <w:ind w:firstLineChars="200" w:firstLine="640"/>
        <w:outlineLvl w:val="1"/>
        <w:rPr>
          <w:rFonts w:ascii="仿宋" w:eastAsia="仿宋"/>
          <w:color w:val="000000"/>
          <w:sz w:val="32"/>
          <w:szCs w:val="32"/>
        </w:rPr>
      </w:pPr>
      <w:bookmarkStart w:id="19" w:name="_Toc22912"/>
      <w:r>
        <w:rPr>
          <w:rFonts w:ascii="仿宋" w:eastAsia="仿宋"/>
          <w:color w:val="000000"/>
          <w:sz w:val="32"/>
          <w:szCs w:val="32"/>
        </w:rPr>
        <w:t>202</w:t>
      </w:r>
      <w:r>
        <w:rPr>
          <w:rFonts w:ascii="仿宋" w:eastAsia="仿宋" w:hint="eastAsia"/>
          <w:color w:val="000000"/>
          <w:sz w:val="32"/>
          <w:szCs w:val="32"/>
        </w:rPr>
        <w:t>1年总收入</w:t>
      </w:r>
      <w:r>
        <w:rPr>
          <w:rFonts w:ascii="仿宋" w:eastAsia="仿宋"/>
          <w:color w:val="000000"/>
          <w:sz w:val="32"/>
          <w:szCs w:val="32"/>
        </w:rPr>
        <w:t>250.601675</w:t>
      </w:r>
      <w:r>
        <w:rPr>
          <w:rFonts w:ascii="仿宋" w:eastAsia="仿宋" w:hint="eastAsia"/>
          <w:color w:val="000000"/>
          <w:sz w:val="32"/>
          <w:szCs w:val="32"/>
        </w:rPr>
        <w:t xml:space="preserve">万元，其中：一般公共预算财政拨款收入 </w:t>
      </w:r>
      <w:r>
        <w:rPr>
          <w:rFonts w:ascii="仿宋" w:eastAsia="仿宋"/>
          <w:color w:val="000000"/>
          <w:sz w:val="32"/>
          <w:szCs w:val="32"/>
        </w:rPr>
        <w:t>250.601675</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 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19"/>
    </w:p>
    <w:p>
      <w:pPr>
        <w:pStyle w:val="27"/>
        <w:jc w:val="center"/>
        <w:rPr>
          <w:sz w:val="32"/>
          <w:szCs w:val="32"/>
        </w:rPr>
      </w:pPr>
      <w:r>
        <w:rPr>
          <w:rFonts w:hint="eastAsia"/>
          <w:sz w:val="32"/>
          <w:szCs w:val="32"/>
        </w:rPr>
        <w:drawing>
          <wp:inline distT="0" distB="0" distL="114300" distR="114300">
            <wp:extent cx="3264535" cy="1858010"/>
            <wp:effectExtent l="0" t="0" r="0" b="0"/>
            <wp:docPr id="2" name="图表 3"/>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outlineLvl w:val="1"/>
        <w:rPr>
          <w:rStyle w:val="2Char"/>
          <w:rFonts w:ascii="黑体" w:eastAsia="黑体"/>
          <w:b w:val="0"/>
        </w:rPr>
      </w:pPr>
      <w:bookmarkStart w:id="20" w:name="_Toc4194"/>
      <w:bookmarkStart w:id="21" w:name="_Toc15377207"/>
      <w:r>
        <w:rPr>
          <w:rFonts w:ascii="黑体" w:eastAsia="黑体" w:hint="eastAsia"/>
          <w:color w:val="000000"/>
          <w:sz w:val="32"/>
          <w:szCs w:val="32"/>
        </w:rPr>
        <w:t>三、支出决</w:t>
      </w:r>
      <w:r>
        <w:rPr>
          <w:rStyle w:val="2Char"/>
          <w:rFonts w:ascii="黑体" w:eastAsia="黑体" w:hint="eastAsia"/>
          <w:b w:val="0"/>
        </w:rPr>
        <w:t>算情况说明</w:t>
      </w:r>
      <w:bookmarkEnd w:id="20"/>
      <w:bookmarkEnd w:id="21"/>
    </w:p>
    <w:p>
      <w:pPr>
        <w:spacing w:line="600" w:lineRule="exact"/>
        <w:ind w:firstLine="640"/>
        <w:rPr>
          <w:rFonts w:ascii="仿宋" w:eastAsia="仿宋"/>
          <w:color w:val="000000"/>
          <w:sz w:val="32"/>
          <w:szCs w:val="32"/>
        </w:rPr>
      </w:pPr>
      <w:r>
        <w:rPr>
          <w:rFonts w:ascii="仿宋" w:eastAsia="仿宋" w:hint="eastAsia"/>
          <w:color w:val="000000"/>
          <w:sz w:val="32"/>
          <w:szCs w:val="32"/>
        </w:rPr>
        <w:t>2021年本年总支出</w:t>
      </w:r>
      <w:r>
        <w:rPr>
          <w:rFonts w:ascii="仿宋_GB2312" w:eastAsia="仿宋_GB2312"/>
          <w:color w:val="000000"/>
          <w:spacing w:val="-2"/>
          <w:sz w:val="32"/>
          <w:szCs w:val="32"/>
        </w:rPr>
        <w:t>250.601675</w:t>
      </w:r>
      <w:r>
        <w:rPr>
          <w:rFonts w:ascii="仿宋" w:eastAsia="仿宋" w:hint="eastAsia"/>
          <w:color w:val="000000"/>
          <w:sz w:val="32"/>
          <w:szCs w:val="32"/>
        </w:rPr>
        <w:t>万元，其中：基本支出</w:t>
      </w:r>
      <w:r>
        <w:rPr>
          <w:rFonts w:ascii="仿宋_GB2312" w:eastAsia="仿宋_GB2312"/>
          <w:color w:val="000000"/>
          <w:spacing w:val="-2"/>
          <w:sz w:val="32"/>
          <w:szCs w:val="32"/>
        </w:rPr>
        <w:t>250.301675</w:t>
      </w:r>
      <w:r>
        <w:rPr>
          <w:rFonts w:ascii="仿宋" w:eastAsia="仿宋" w:hint="eastAsia"/>
          <w:color w:val="000000"/>
          <w:sz w:val="32"/>
          <w:szCs w:val="32"/>
        </w:rPr>
        <w:t>万元，占</w:t>
      </w:r>
      <w:r>
        <w:rPr>
          <w:rFonts w:ascii="仿宋" w:eastAsia="仿宋"/>
          <w:color w:val="000000"/>
          <w:sz w:val="32"/>
          <w:szCs w:val="32"/>
        </w:rPr>
        <w:t>99</w:t>
      </w:r>
      <w:r>
        <w:rPr>
          <w:rFonts w:ascii="仿宋" w:eastAsia="仿宋" w:hint="eastAsia"/>
          <w:color w:val="000000"/>
          <w:sz w:val="32"/>
          <w:szCs w:val="32"/>
        </w:rPr>
        <w:t>%。</w:t>
      </w:r>
    </w:p>
    <w:p>
      <w:pPr>
        <w:pStyle w:val="27"/>
        <w:jc w:val="center"/>
        <w:rPr>
          <w:sz w:val="32"/>
          <w:szCs w:val="32"/>
        </w:rPr>
      </w:pPr>
      <w:r>
        <w:rPr>
          <w:rFonts w:hint="eastAsia"/>
          <w:sz w:val="32"/>
          <w:szCs w:val="32"/>
        </w:rPr>
        <w:drawing>
          <wp:inline distT="0" distB="0" distL="114300" distR="114300">
            <wp:extent cx="3568700" cy="2162175"/>
            <wp:effectExtent l="0" t="0" r="0" b="0"/>
            <wp:docPr id="3" name="图表 4"/>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outlineLvl w:val="1"/>
        <w:rPr>
          <w:rStyle w:val="2Char"/>
          <w:rFonts w:ascii="黑体" w:eastAsia="黑体"/>
          <w:b w:val="0"/>
        </w:rPr>
      </w:pPr>
      <w:bookmarkStart w:id="22" w:name="_Toc15377208"/>
      <w:bookmarkStart w:id="23"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2"/>
      <w:bookmarkEnd w:id="23"/>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rPr>
        <w:t>1年财政拨款收入</w:t>
      </w:r>
      <w:r>
        <w:rPr>
          <w:rFonts w:ascii="仿宋_GB2312" w:eastAsia="仿宋_GB2312"/>
          <w:color w:val="000000"/>
          <w:spacing w:val="-2"/>
          <w:sz w:val="32"/>
          <w:szCs w:val="32"/>
        </w:rPr>
        <w:t>250.601675</w:t>
      </w:r>
      <w:r>
        <w:rPr>
          <w:rFonts w:ascii="仿宋" w:eastAsia="仿宋" w:hint="eastAsia"/>
          <w:color w:val="000000"/>
          <w:sz w:val="32"/>
          <w:szCs w:val="32"/>
        </w:rPr>
        <w:t>万元。其中：一般公共预算财政拨款收入</w:t>
      </w:r>
      <w:r>
        <w:rPr>
          <w:rFonts w:ascii="仿宋_GB2312" w:eastAsia="仿宋_GB2312" w:hint="eastAsia"/>
          <w:color w:val="000000"/>
          <w:spacing w:val="-2"/>
          <w:sz w:val="32"/>
          <w:szCs w:val="32"/>
        </w:rPr>
        <w:t>较上年收入减少</w:t>
      </w:r>
      <w:r>
        <w:rPr>
          <w:rFonts w:ascii="仿宋_GB2312" w:eastAsia="仿宋_GB2312"/>
          <w:color w:val="000000"/>
          <w:spacing w:val="-2"/>
          <w:sz w:val="32"/>
          <w:szCs w:val="32"/>
        </w:rPr>
        <w:t>147.807009</w:t>
      </w:r>
      <w:r>
        <w:rPr>
          <w:rFonts w:ascii="仿宋_GB2312" w:eastAsia="仿宋_GB2312" w:hint="eastAsia"/>
          <w:color w:val="000000"/>
          <w:spacing w:val="-2"/>
          <w:sz w:val="32"/>
          <w:szCs w:val="32"/>
        </w:rPr>
        <w:t>万元</w:t>
      </w:r>
      <w:r>
        <w:rPr>
          <w:rFonts w:ascii="仿宋" w:eastAsia="仿宋" w:hint="eastAsia"/>
          <w:color w:val="000000"/>
          <w:sz w:val="32"/>
          <w:szCs w:val="32"/>
        </w:rPr>
        <w:t>，减少</w:t>
      </w:r>
      <w:r>
        <w:rPr>
          <w:rFonts w:ascii="仿宋" w:eastAsia="仿宋"/>
          <w:color w:val="000000"/>
          <w:sz w:val="32"/>
          <w:szCs w:val="32"/>
        </w:rPr>
        <w:t>37.1</w:t>
      </w:r>
      <w:r>
        <w:rPr>
          <w:rFonts w:ascii="仿宋_GB2312" w:eastAsia="仿宋_GB2312" w:hint="eastAsia"/>
          <w:color w:val="000000"/>
          <w:spacing w:val="-2"/>
          <w:sz w:val="32"/>
          <w:szCs w:val="32"/>
        </w:rPr>
        <w:t>%。减少的主要原因是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1年人员变动导致工资变动。</w:t>
      </w:r>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rPr>
        <w:t>1年财政拨款支出</w:t>
      </w:r>
      <w:r>
        <w:rPr>
          <w:rFonts w:ascii="仿宋" w:eastAsia="仿宋"/>
          <w:color w:val="000000"/>
          <w:sz w:val="32"/>
          <w:szCs w:val="32"/>
        </w:rPr>
        <w:t>250.601675</w:t>
      </w:r>
      <w:r>
        <w:rPr>
          <w:rFonts w:ascii="仿宋_GB2312" w:eastAsia="仿宋_GB2312" w:hint="eastAsia"/>
          <w:spacing w:val="-2"/>
          <w:sz w:val="32"/>
          <w:szCs w:val="32"/>
        </w:rPr>
        <w:t>万元，其中：</w:t>
      </w:r>
      <w:r>
        <w:rPr>
          <w:rFonts w:ascii="仿宋" w:eastAsia="仿宋" w:hint="eastAsia"/>
          <w:color w:val="000000"/>
          <w:sz w:val="32"/>
          <w:szCs w:val="32"/>
        </w:rPr>
        <w:t>一般公共预算财政拨款支出</w:t>
      </w:r>
      <w:r>
        <w:rPr>
          <w:rFonts w:ascii="仿宋_GB2312" w:eastAsia="仿宋_GB2312" w:hint="eastAsia"/>
          <w:color w:val="000000"/>
          <w:spacing w:val="-2"/>
          <w:sz w:val="32"/>
          <w:szCs w:val="32"/>
        </w:rPr>
        <w:t>较上年支出减少</w:t>
      </w:r>
      <w:r>
        <w:rPr>
          <w:rFonts w:ascii="仿宋_GB2312" w:eastAsia="仿宋_GB2312"/>
          <w:color w:val="000000"/>
          <w:spacing w:val="-2"/>
          <w:sz w:val="32"/>
          <w:szCs w:val="32"/>
        </w:rPr>
        <w:t>147.807009</w:t>
      </w:r>
      <w:r>
        <w:rPr>
          <w:rFonts w:ascii="仿宋_GB2312" w:eastAsia="仿宋_GB2312" w:hint="eastAsia"/>
          <w:color w:val="000000"/>
          <w:spacing w:val="-2"/>
          <w:sz w:val="32"/>
          <w:szCs w:val="32"/>
        </w:rPr>
        <w:t>万元，减少</w:t>
      </w:r>
      <w:r>
        <w:rPr>
          <w:rFonts w:ascii="仿宋_GB2312" w:eastAsia="仿宋_GB2312"/>
          <w:color w:val="000000"/>
          <w:spacing w:val="-2"/>
          <w:sz w:val="32"/>
          <w:szCs w:val="32"/>
        </w:rPr>
        <w:t>37.1</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主要原因是因为</w:t>
      </w:r>
      <w:r>
        <w:rPr>
          <w:rFonts w:ascii="仿宋_GB2312" w:eastAsia="仿宋_GB2312"/>
          <w:spacing w:val="-2"/>
          <w:sz w:val="32"/>
          <w:szCs w:val="32"/>
        </w:rPr>
        <w:t>人员变动</w:t>
      </w:r>
      <w:r>
        <w:rPr>
          <w:rFonts w:ascii="仿宋_GB2312" w:eastAsia="仿宋_GB2312" w:hint="eastAsia"/>
          <w:spacing w:val="-2"/>
          <w:sz w:val="32"/>
          <w:szCs w:val="32"/>
        </w:rPr>
        <w:t>减少。</w:t>
      </w:r>
    </w:p>
    <w:p>
      <w:pPr>
        <w:pStyle w:val="27"/>
      </w:pPr>
    </w:p>
    <w:p>
      <w:pPr>
        <w:pStyle w:val="27"/>
        <w:jc w:val="center"/>
        <w:rPr>
          <w:rFonts w:ascii="仿宋_GB2312" w:eastAsia="仿宋_GB2312"/>
          <w:spacing w:val="-2"/>
          <w:sz w:val="32"/>
          <w:szCs w:val="32"/>
        </w:rPr>
      </w:pPr>
      <w:r>
        <w:drawing>
          <wp:inline distT="0" distB="0" distL="114300" distR="114300">
            <wp:extent cx="4509135" cy="2224405"/>
            <wp:effectExtent l="0" t="0" r="0" b="0"/>
            <wp:docPr id="4" name="图表 5"/>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rPr>
          <w:rStyle w:val="2Char"/>
          <w:rFonts w:ascii="黑体" w:eastAsia="黑体"/>
          <w:b w:val="0"/>
        </w:rPr>
      </w:pPr>
      <w:bookmarkStart w:id="24"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4"/>
    </w:p>
    <w:p>
      <w:pPr>
        <w:spacing w:line="600" w:lineRule="exact"/>
        <w:ind w:firstLineChars="200" w:firstLine="640"/>
        <w:outlineLvl w:val="2"/>
        <w:rPr>
          <w:rFonts w:ascii="仿宋" w:eastAsia="仿宋"/>
          <w:b/>
          <w:color w:val="000000"/>
          <w:sz w:val="32"/>
          <w:szCs w:val="32"/>
        </w:rPr>
      </w:pPr>
      <w:bookmarkStart w:id="25" w:name="_Toc15377210"/>
      <w:r>
        <w:rPr>
          <w:rFonts w:ascii="仿宋" w:eastAsia="仿宋" w:hint="eastAsia"/>
          <w:b/>
          <w:color w:val="000000"/>
          <w:sz w:val="32"/>
          <w:szCs w:val="32"/>
        </w:rPr>
        <w:t>（一）一般公共预算财政拨款支出决算总体情况</w:t>
      </w:r>
      <w:bookmarkEnd w:id="25"/>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rPr>
        <w:t>1年</w:t>
      </w:r>
      <w:r>
        <w:rPr>
          <w:rFonts w:ascii="仿宋_GB2312" w:eastAsia="仿宋_GB2312" w:hint="eastAsia"/>
          <w:spacing w:val="-2"/>
          <w:sz w:val="32"/>
          <w:szCs w:val="32"/>
        </w:rPr>
        <w:t>一般公共预算财政拨款支出</w:t>
      </w:r>
      <w:r>
        <w:rPr>
          <w:rFonts w:ascii="仿宋" w:eastAsia="仿宋"/>
          <w:color w:val="000000"/>
          <w:sz w:val="32"/>
          <w:szCs w:val="32"/>
        </w:rPr>
        <w:t>216.09605</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。与2020年相比，一般公共预算财政拨款</w:t>
      </w:r>
      <w:r>
        <w:rPr>
          <w:rFonts w:ascii="仿宋_GB2312" w:eastAsia="仿宋_GB2312" w:hint="eastAsia"/>
          <w:spacing w:val="-2"/>
          <w:sz w:val="32"/>
          <w:szCs w:val="32"/>
        </w:rPr>
        <w:t>支出较上年</w:t>
      </w:r>
      <w:r>
        <w:rPr>
          <w:rFonts w:ascii="仿宋_GB2312" w:eastAsia="仿宋_GB2312" w:hint="eastAsia"/>
          <w:color w:val="000000"/>
          <w:spacing w:val="-2"/>
          <w:sz w:val="32"/>
          <w:szCs w:val="32"/>
        </w:rPr>
        <w:t>支出减少</w:t>
      </w:r>
      <w:r>
        <w:rPr>
          <w:rFonts w:ascii="仿宋_GB2312" w:eastAsia="仿宋_GB2312"/>
          <w:color w:val="000000"/>
          <w:spacing w:val="-2"/>
          <w:sz w:val="32"/>
          <w:szCs w:val="32"/>
        </w:rPr>
        <w:t>147.807009</w:t>
      </w:r>
      <w:r>
        <w:rPr>
          <w:rFonts w:ascii="仿宋_GB2312" w:eastAsia="仿宋_GB2312" w:hint="eastAsia"/>
          <w:spacing w:val="-2"/>
          <w:sz w:val="32"/>
          <w:szCs w:val="32"/>
        </w:rPr>
        <w:t>万元，</w:t>
      </w:r>
      <w:r>
        <w:rPr>
          <w:rFonts w:ascii="仿宋_GB2312" w:eastAsia="仿宋_GB2312" w:hint="eastAsia"/>
          <w:color w:val="000000"/>
          <w:spacing w:val="-2"/>
          <w:sz w:val="32"/>
          <w:szCs w:val="32"/>
        </w:rPr>
        <w:t>减少</w:t>
      </w:r>
      <w:r>
        <w:rPr>
          <w:rFonts w:ascii="仿宋_GB2312" w:eastAsia="仿宋_GB2312"/>
          <w:color w:val="000000"/>
          <w:spacing w:val="-2"/>
          <w:sz w:val="32"/>
          <w:szCs w:val="32"/>
        </w:rPr>
        <w:t>37.1</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。主要原因是因为</w:t>
      </w:r>
      <w:r>
        <w:rPr>
          <w:rFonts w:ascii="仿宋_GB2312" w:eastAsia="仿宋_GB2312"/>
          <w:spacing w:val="-2"/>
          <w:sz w:val="32"/>
          <w:szCs w:val="32"/>
        </w:rPr>
        <w:t>人员</w:t>
      </w:r>
      <w:r>
        <w:rPr>
          <w:rFonts w:ascii="仿宋_GB2312" w:eastAsia="仿宋_GB2312" w:hint="eastAsia"/>
          <w:spacing w:val="-2"/>
          <w:sz w:val="32"/>
          <w:szCs w:val="32"/>
        </w:rPr>
        <w:t>减少。</w:t>
      </w:r>
    </w:p>
    <w:p>
      <w:pPr>
        <w:pStyle w:val="27"/>
      </w:pPr>
    </w:p>
    <w:p>
      <w:pPr>
        <w:pStyle w:val="27"/>
        <w:rPr>
          <w:rFonts w:ascii="仿宋_GB2312" w:eastAsia="仿宋_GB2312"/>
          <w:spacing w:val="-2"/>
          <w:sz w:val="32"/>
          <w:szCs w:val="32"/>
        </w:rPr>
      </w:pPr>
      <w:r>
        <w:rPr>
          <w:rFonts w:ascii="仿宋_GB2312" w:eastAsia="仿宋_GB2312" w:hint="eastAsia"/>
          <w:spacing w:val="-2"/>
          <w:sz w:val="32"/>
          <w:szCs w:val="32"/>
        </w:rPr>
        <w:drawing>
          <wp:inline distT="0" distB="0" distL="114300" distR="114300">
            <wp:extent cx="5093335" cy="2680335"/>
            <wp:effectExtent l="0" t="0" r="0" b="0"/>
            <wp:docPr id="5" name="图表 6"/>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Chars="200" w:firstLine="640"/>
        <w:outlineLvl w:val="2"/>
        <w:rPr>
          <w:rFonts w:ascii="仿宋" w:eastAsia="仿宋"/>
          <w:b/>
          <w:color w:val="000000"/>
          <w:sz w:val="32"/>
          <w:szCs w:val="32"/>
        </w:rPr>
      </w:pPr>
      <w:bookmarkStart w:id="26" w:name="_Toc15377211"/>
      <w:r>
        <w:rPr>
          <w:rFonts w:ascii="仿宋" w:eastAsia="仿宋" w:hint="eastAsia"/>
          <w:b/>
          <w:color w:val="000000"/>
          <w:sz w:val="32"/>
          <w:szCs w:val="32"/>
        </w:rPr>
        <w:t>（二）一般公共预算财政拨款支出决算结构情况</w:t>
      </w:r>
      <w:bookmarkEnd w:id="26"/>
    </w:p>
    <w:p>
      <w:pPr>
        <w:spacing w:line="600" w:lineRule="exact"/>
        <w:ind w:firstLineChars="200" w:firstLine="640"/>
        <w:outlineLvl w:val="2"/>
        <w:rPr>
          <w:rFonts w:ascii="仿宋" w:eastAsia="仿宋"/>
          <w:bCs/>
          <w:color w:val="000000"/>
          <w:sz w:val="32"/>
          <w:szCs w:val="32"/>
        </w:rPr>
      </w:pPr>
      <w:r>
        <w:rPr>
          <w:rFonts w:ascii="仿宋" w:eastAsia="仿宋"/>
          <w:bCs/>
          <w:color w:val="000000"/>
          <w:sz w:val="32"/>
          <w:szCs w:val="32"/>
        </w:rPr>
        <w:t>202</w:t>
      </w:r>
      <w:r>
        <w:rPr>
          <w:rFonts w:ascii="仿宋" w:eastAsia="仿宋" w:hint="eastAsia"/>
          <w:bCs/>
          <w:color w:val="000000"/>
          <w:sz w:val="32"/>
          <w:szCs w:val="32"/>
        </w:rPr>
        <w:t>1年一般公共预算财政拨款支出为</w:t>
      </w:r>
      <w:r>
        <w:rPr>
          <w:rFonts w:ascii="仿宋" w:eastAsia="仿宋"/>
          <w:color w:val="000000"/>
          <w:sz w:val="32"/>
          <w:szCs w:val="32"/>
        </w:rPr>
        <w:t>250.601675</w:t>
      </w:r>
      <w:r>
        <w:rPr>
          <w:rFonts w:ascii="仿宋" w:eastAsia="仿宋" w:hint="eastAsia"/>
          <w:bCs/>
          <w:color w:val="000000"/>
          <w:sz w:val="32"/>
          <w:szCs w:val="32"/>
        </w:rPr>
        <w:t>万元。其中：一般公共服务支出为</w:t>
      </w:r>
      <w:r>
        <w:rPr>
          <w:rFonts w:ascii="仿宋" w:eastAsia="仿宋"/>
          <w:color w:val="000000"/>
          <w:sz w:val="32"/>
          <w:szCs w:val="32"/>
        </w:rPr>
        <w:t>216.09605</w:t>
      </w:r>
      <w:r>
        <w:rPr>
          <w:rFonts w:ascii="仿宋" w:eastAsia="仿宋" w:hint="eastAsia"/>
          <w:bCs/>
          <w:color w:val="000000"/>
          <w:sz w:val="32"/>
          <w:szCs w:val="32"/>
        </w:rPr>
        <w:t>万元，占100%；文化旅游体育与传媒支出</w:t>
      </w:r>
      <w:r>
        <w:rPr>
          <w:rFonts w:ascii="仿宋" w:eastAsia="仿宋"/>
          <w:bCs/>
          <w:color w:val="000000"/>
          <w:sz w:val="32"/>
          <w:szCs w:val="32"/>
        </w:rPr>
        <w:t>179.129517</w:t>
      </w:r>
      <w:r>
        <w:rPr>
          <w:rFonts w:ascii="仿宋" w:eastAsia="仿宋" w:hint="eastAsia"/>
          <w:bCs/>
          <w:color w:val="000000"/>
          <w:sz w:val="32"/>
          <w:szCs w:val="32"/>
        </w:rPr>
        <w:t>万元，占比71.48%，社会保障和就业支出为</w:t>
      </w:r>
      <w:r>
        <w:rPr>
          <w:rFonts w:ascii="仿宋" w:eastAsia="仿宋"/>
          <w:bCs/>
          <w:color w:val="000000"/>
          <w:sz w:val="32"/>
          <w:szCs w:val="32"/>
        </w:rPr>
        <w:t>34.288848</w:t>
      </w:r>
      <w:r>
        <w:rPr>
          <w:rFonts w:ascii="仿宋" w:eastAsia="仿宋" w:hint="eastAsia"/>
          <w:bCs/>
          <w:color w:val="000000"/>
          <w:sz w:val="32"/>
          <w:szCs w:val="32"/>
        </w:rPr>
        <w:t>万元，占比13.68 %；卫生健康支出为</w:t>
      </w:r>
      <w:r>
        <w:rPr>
          <w:rFonts w:ascii="仿宋" w:eastAsia="仿宋"/>
          <w:bCs/>
          <w:color w:val="000000"/>
          <w:sz w:val="32"/>
          <w:szCs w:val="32"/>
        </w:rPr>
        <w:t>14.32511</w:t>
      </w:r>
      <w:r>
        <w:rPr>
          <w:rFonts w:ascii="仿宋" w:eastAsia="仿宋" w:hint="eastAsia"/>
          <w:bCs/>
          <w:color w:val="000000"/>
          <w:sz w:val="32"/>
          <w:szCs w:val="32"/>
        </w:rPr>
        <w:t>万元，占比5.71%；节能环保支出0 万元，占比0%；农林水支出为0万元，占比0%；住房保障支出为</w:t>
      </w:r>
      <w:r>
        <w:rPr>
          <w:rFonts w:ascii="仿宋" w:eastAsia="仿宋"/>
          <w:bCs/>
          <w:color w:val="000000"/>
          <w:sz w:val="32"/>
          <w:szCs w:val="32"/>
        </w:rPr>
        <w:t>22.5582</w:t>
      </w:r>
      <w:r>
        <w:rPr>
          <w:rFonts w:ascii="仿宋" w:eastAsia="仿宋" w:hint="eastAsia"/>
          <w:bCs/>
          <w:color w:val="000000"/>
          <w:sz w:val="32"/>
          <w:szCs w:val="32"/>
        </w:rPr>
        <w:t>万元，占比9%；灾害防治及应急管理支出0万元，占比0%；其他支出为</w:t>
      </w:r>
      <w:r>
        <w:rPr>
          <w:rFonts w:ascii="仿宋" w:eastAsia="仿宋"/>
          <w:bCs/>
          <w:color w:val="000000"/>
          <w:sz w:val="32"/>
          <w:szCs w:val="32"/>
        </w:rPr>
        <w:t>0.3</w:t>
      </w:r>
      <w:r>
        <w:rPr>
          <w:rFonts w:ascii="仿宋" w:eastAsia="仿宋" w:hint="eastAsia"/>
          <w:bCs/>
          <w:color w:val="000000"/>
          <w:sz w:val="32"/>
          <w:szCs w:val="32"/>
        </w:rPr>
        <w:t>万元，占比0.13%。</w:t>
      </w:r>
    </w:p>
    <w:p>
      <w:pPr>
        <w:pStyle w:val="27"/>
        <w:jc w:val="center"/>
        <w:rPr>
          <w:b/>
          <w:sz w:val="32"/>
          <w:szCs w:val="32"/>
        </w:rPr>
      </w:pPr>
      <w:r>
        <w:rPr>
          <w:rFonts w:hint="eastAsia"/>
        </w:rPr>
        <w:drawing>
          <wp:inline distT="0" distB="0" distL="114300" distR="114300">
            <wp:extent cx="4243705" cy="2898775"/>
            <wp:effectExtent l="0" t="0" r="0" b="0"/>
            <wp:docPr id="6" name="图表 7"/>
            <wp:cNvGraphicFramePr>
              <a:graphicFrameLocks noChangeAspect="0"/>
            </wp:cNvGraphicFramePr>
            <a:graphic>
              <a:graphicData uri="http://schemas.openxmlformats.org/drawingml/2006/chart">
                <c:chart xmlns:c="http://schemas.openxmlformats.org/drawingml/2006/chart" r:id="rId9"/>
              </a:graphicData>
            </a:graphic>
          </wp:inline>
        </w:drawing>
      </w:r>
      <w:bookmarkStart w:id="27" w:name="_Toc15377213"/>
      <w:bookmarkStart w:id="28" w:name="_Toc15378460"/>
      <w:bookmarkStart w:id="29" w:name="_Toc15377444"/>
    </w:p>
    <w:p>
      <w:pPr>
        <w:spacing w:line="600" w:lineRule="exact"/>
        <w:ind w:firstLineChars="200" w:firstLine="640"/>
        <w:outlineLvl w:val="2"/>
        <w:rPr>
          <w:rFonts w:ascii="仿宋" w:eastAsia="仿宋"/>
          <w:b/>
          <w:color w:val="000000"/>
          <w:sz w:val="32"/>
          <w:szCs w:val="32"/>
        </w:rPr>
      </w:pPr>
      <w:bookmarkStart w:id="30" w:name="_Toc15377212"/>
      <w:r>
        <w:rPr>
          <w:rFonts w:ascii="仿宋" w:eastAsia="仿宋" w:hint="eastAsia"/>
          <w:b/>
          <w:color w:val="000000"/>
          <w:sz w:val="32"/>
          <w:szCs w:val="32"/>
        </w:rPr>
        <w:t>（三）一般公共预算财政拨款支出决算具体情况</w:t>
      </w:r>
      <w:bookmarkEnd w:id="30"/>
    </w:p>
    <w:p>
      <w:pPr>
        <w:spacing w:line="600" w:lineRule="exact"/>
        <w:ind w:firstLineChars="200" w:firstLine="640"/>
        <w:outlineLvl w:val="2"/>
      </w:pPr>
      <w:r>
        <w:rPr>
          <w:rFonts w:ascii="仿宋" w:eastAsia="仿宋"/>
          <w:bCs/>
          <w:color w:val="000000"/>
          <w:sz w:val="32"/>
          <w:szCs w:val="32"/>
        </w:rPr>
        <w:t>202</w:t>
      </w:r>
      <w:r>
        <w:rPr>
          <w:rFonts w:ascii="仿宋" w:eastAsia="仿宋" w:hint="eastAsia"/>
          <w:bCs/>
          <w:color w:val="000000"/>
          <w:sz w:val="32"/>
          <w:szCs w:val="32"/>
        </w:rPr>
        <w:t>1年一般公共预算数为</w:t>
      </w:r>
      <w:r>
        <w:rPr>
          <w:rFonts w:ascii="仿宋" w:eastAsia="仿宋"/>
          <w:bCs/>
          <w:color w:val="000000"/>
          <w:sz w:val="32"/>
          <w:szCs w:val="32"/>
        </w:rPr>
        <w:t>301.967609</w:t>
      </w:r>
      <w:r>
        <w:rPr>
          <w:rFonts w:ascii="仿宋" w:eastAsia="仿宋" w:hint="eastAsia"/>
          <w:bCs/>
          <w:color w:val="000000"/>
          <w:sz w:val="32"/>
          <w:szCs w:val="32"/>
        </w:rPr>
        <w:t>万元，调整预算数</w:t>
      </w:r>
      <w:r>
        <w:rPr>
          <w:rFonts w:ascii="仿宋" w:eastAsia="仿宋"/>
          <w:bCs/>
          <w:color w:val="000000"/>
          <w:sz w:val="32"/>
          <w:szCs w:val="32"/>
        </w:rPr>
        <w:t>250.601675</w:t>
      </w:r>
      <w:r>
        <w:rPr>
          <w:rFonts w:ascii="仿宋" w:eastAsia="仿宋" w:hint="eastAsia"/>
          <w:bCs/>
          <w:color w:val="000000"/>
          <w:sz w:val="32"/>
          <w:szCs w:val="32"/>
        </w:rPr>
        <w:t>万元，支出决算数为</w:t>
      </w:r>
      <w:r>
        <w:rPr>
          <w:rFonts w:ascii="仿宋" w:eastAsia="仿宋"/>
          <w:bCs/>
          <w:color w:val="000000"/>
          <w:sz w:val="32"/>
          <w:szCs w:val="32"/>
        </w:rPr>
        <w:t>250.601675</w:t>
      </w:r>
      <w:r>
        <w:rPr>
          <w:rFonts w:ascii="仿宋" w:eastAsia="仿宋" w:hint="eastAsia"/>
          <w:bCs/>
          <w:color w:val="000000"/>
          <w:sz w:val="32"/>
          <w:szCs w:val="32"/>
        </w:rPr>
        <w:t>万元，</w:t>
      </w:r>
      <w:r>
        <w:rPr>
          <w:rFonts w:ascii="仿宋" w:eastAsia="仿宋" w:hint="eastAsia"/>
          <w:bCs/>
          <w:sz w:val="32"/>
          <w:szCs w:val="32"/>
        </w:rPr>
        <w:t>完</w:t>
      </w:r>
      <w:r>
        <w:rPr>
          <w:rStyle w:val="25"/>
          <w:rFonts w:ascii="仿宋" w:eastAsia="仿宋" w:hint="eastAsia"/>
          <w:b w:val="0"/>
          <w:bCs/>
          <w:sz w:val="32"/>
          <w:szCs w:val="32"/>
        </w:rPr>
        <w:t>成预算100</w:t>
      </w:r>
      <w:r>
        <w:rPr>
          <w:rStyle w:val="25"/>
          <w:rFonts w:ascii="仿宋" w:eastAsia="仿宋"/>
          <w:b w:val="0"/>
          <w:bCs/>
          <w:sz w:val="32"/>
          <w:szCs w:val="32"/>
        </w:rPr>
        <w:t>%</w:t>
      </w:r>
      <w:r>
        <w:rPr>
          <w:rStyle w:val="25"/>
          <w:rFonts w:ascii="仿宋" w:eastAsia="仿宋" w:hint="eastAsia"/>
          <w:b w:val="0"/>
          <w:bCs/>
          <w:sz w:val="32"/>
          <w:szCs w:val="32"/>
        </w:rPr>
        <w:t>，</w:t>
      </w:r>
      <w:r>
        <w:rPr>
          <w:rStyle w:val="25"/>
          <w:rFonts w:ascii="仿宋" w:eastAsia="仿宋" w:hint="eastAsia"/>
          <w:b w:val="0"/>
          <w:bCs/>
          <w:color w:val="000000"/>
          <w:sz w:val="32"/>
          <w:szCs w:val="32"/>
        </w:rPr>
        <w:t>其中：</w:t>
      </w:r>
      <w:bookmarkEnd w:id="27"/>
      <w:bookmarkEnd w:id="28"/>
      <w:bookmarkEnd w:id="29"/>
    </w:p>
    <w:p>
      <w:pPr>
        <w:spacing w:line="600" w:lineRule="exact"/>
        <w:ind w:firstLineChars="200" w:firstLine="640"/>
        <w:rPr>
          <w:rStyle w:val="25"/>
          <w:rFonts w:ascii="仿宋" w:eastAsia="仿宋"/>
          <w:b w:val="0"/>
          <w:bCs/>
          <w:color w:val="000000"/>
          <w:sz w:val="32"/>
          <w:szCs w:val="32"/>
        </w:rPr>
      </w:pPr>
      <w:bookmarkStart w:id="31" w:name="_Toc15377214"/>
      <w:r>
        <w:rPr>
          <w:rStyle w:val="25"/>
          <w:rFonts w:ascii="仿宋" w:eastAsia="仿宋" w:hint="eastAsia"/>
          <w:bCs/>
          <w:color w:val="000000"/>
          <w:sz w:val="32"/>
          <w:szCs w:val="32"/>
        </w:rPr>
        <w:t>1.一般公共服务（类）</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Fonts w:ascii="仿宋" w:eastAsia="仿宋"/>
          <w:color w:val="000000"/>
          <w:sz w:val="32"/>
          <w:szCs w:val="32"/>
        </w:rPr>
        <w:t>216.09605</w:t>
      </w:r>
      <w:r>
        <w:rPr>
          <w:rFonts w:ascii="仿宋" w:eastAsia="仿宋" w:hint="eastAsia"/>
          <w:bCs/>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pStyle w:val="15"/>
        <w:ind w:leftChars="0" w:left="0" w:firstLineChars="200" w:firstLine="640"/>
      </w:pPr>
      <w:r>
        <w:rPr>
          <w:rStyle w:val="25"/>
          <w:rFonts w:ascii="仿宋" w:eastAsia="仿宋" w:hint="eastAsia"/>
          <w:bCs/>
          <w:color w:val="000000"/>
          <w:sz w:val="32"/>
          <w:szCs w:val="32"/>
        </w:rPr>
        <w:t>2.社会保障和就业支出（类）：</w:t>
      </w:r>
      <w:r>
        <w:rPr>
          <w:rStyle w:val="25"/>
          <w:rFonts w:ascii="仿宋" w:eastAsia="仿宋" w:hint="eastAsia"/>
          <w:b w:val="0"/>
          <w:bCs/>
          <w:color w:val="000000"/>
          <w:sz w:val="32"/>
          <w:szCs w:val="32"/>
        </w:rPr>
        <w:t>支出决算为</w:t>
      </w:r>
      <w:r>
        <w:rPr>
          <w:rFonts w:ascii="仿宋" w:eastAsia="仿宋"/>
          <w:bCs/>
          <w:color w:val="000000"/>
          <w:sz w:val="32"/>
          <w:szCs w:val="32"/>
        </w:rPr>
        <w:t>34.288848</w:t>
      </w:r>
      <w:r>
        <w:rPr>
          <w:rFonts w:ascii="仿宋" w:eastAsia="仿宋" w:hint="eastAsia"/>
          <w:bCs/>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3.卫生健康支出（类）行政事业单位医疗（款）行政单位医疗（项）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Fonts w:ascii="仿宋" w:eastAsia="仿宋"/>
          <w:bCs/>
          <w:color w:val="000000"/>
          <w:sz w:val="32"/>
          <w:szCs w:val="32"/>
        </w:rPr>
        <w:t>14.32511</w:t>
      </w:r>
      <w:r>
        <w:rPr>
          <w:rFonts w:ascii="仿宋" w:eastAsia="仿宋" w:hint="eastAsia"/>
          <w:bCs/>
          <w:color w:val="000000"/>
          <w:sz w:val="32"/>
          <w:szCs w:val="32"/>
        </w:rPr>
        <w:t>万元</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4.住房保障（类）住房改革支出（款）住房公积金（项）：</w:t>
      </w:r>
      <w:r>
        <w:rPr>
          <w:rStyle w:val="25"/>
          <w:rFonts w:ascii="仿宋" w:eastAsia="仿宋" w:hint="eastAsia"/>
          <w:b w:val="0"/>
          <w:bCs/>
          <w:color w:val="000000"/>
          <w:sz w:val="32"/>
          <w:szCs w:val="32"/>
        </w:rPr>
        <w:t>支出决算为</w:t>
      </w:r>
      <w:r>
        <w:rPr>
          <w:rStyle w:val="25"/>
          <w:rFonts w:ascii="仿宋" w:eastAsia="仿宋"/>
          <w:b w:val="0"/>
          <w:bCs/>
          <w:color w:val="000000"/>
          <w:sz w:val="32"/>
          <w:szCs w:val="32"/>
        </w:rPr>
        <w:t>22.5582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5</w:t>
      </w:r>
      <w:r>
        <w:rPr>
          <w:rStyle w:val="25"/>
          <w:rFonts w:ascii="仿宋" w:eastAsia="仿宋" w:hint="eastAsia"/>
          <w:bCs/>
          <w:color w:val="000000"/>
          <w:sz w:val="32"/>
          <w:szCs w:val="32"/>
        </w:rPr>
        <w:t>.其他支出（类）其他支出（款）其他支出（项）：</w:t>
      </w:r>
      <w:r>
        <w:rPr>
          <w:rStyle w:val="25"/>
          <w:rFonts w:ascii="仿宋" w:eastAsia="仿宋" w:hint="eastAsia"/>
          <w:b w:val="0"/>
          <w:bCs/>
          <w:color w:val="000000"/>
          <w:sz w:val="32"/>
          <w:szCs w:val="32"/>
        </w:rPr>
        <w:t>支出决算为</w:t>
      </w:r>
      <w:r>
        <w:rPr>
          <w:rFonts w:ascii="仿宋" w:eastAsia="仿宋"/>
          <w:bCs/>
          <w:color w:val="000000"/>
          <w:sz w:val="32"/>
          <w:szCs w:val="32"/>
        </w:rPr>
        <w:t>0.3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1年一般公共预算财政拨款支出</w:t>
      </w:r>
      <w:r>
        <w:rPr>
          <w:rFonts w:ascii="仿宋" w:eastAsia="仿宋"/>
          <w:color w:val="000000"/>
          <w:sz w:val="32"/>
          <w:szCs w:val="32"/>
        </w:rPr>
        <w:t>250.601675</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32"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color w:val="000000"/>
          <w:sz w:val="32"/>
          <w:szCs w:val="32"/>
        </w:rPr>
        <w:t>250.301675</w:t>
      </w:r>
      <w:r>
        <w:rPr>
          <w:rFonts w:ascii="仿宋_GB2312" w:eastAsia="仿宋_GB2312" w:hint="eastAsia"/>
          <w:color w:val="000000"/>
          <w:sz w:val="32"/>
          <w:szCs w:val="32"/>
        </w:rPr>
        <w:t>万元，基本支出中人员经费支出为</w:t>
      </w:r>
      <w:r>
        <w:rPr>
          <w:rFonts w:ascii="仿宋_GB2312" w:eastAsia="仿宋_GB2312"/>
          <w:color w:val="000000"/>
          <w:sz w:val="32"/>
          <w:szCs w:val="32"/>
        </w:rPr>
        <w:t>226.601675</w:t>
      </w:r>
      <w:r>
        <w:rPr>
          <w:rFonts w:ascii="仿宋_GB2312" w:eastAsia="仿宋_GB2312" w:hint="eastAsia"/>
          <w:color w:val="000000"/>
          <w:sz w:val="32"/>
          <w:szCs w:val="32"/>
        </w:rPr>
        <w:t>万元，主要包括：基本工资</w:t>
      </w:r>
      <w:r>
        <w:rPr>
          <w:rFonts w:ascii="仿宋_GB2312" w:eastAsia="仿宋_GB2312"/>
          <w:color w:val="000000"/>
          <w:sz w:val="32"/>
          <w:szCs w:val="32"/>
        </w:rPr>
        <w:t>58.447</w:t>
      </w:r>
      <w:r>
        <w:rPr>
          <w:rFonts w:ascii="仿宋_GB2312" w:eastAsia="仿宋_GB2312" w:hint="eastAsia"/>
          <w:color w:val="000000"/>
          <w:sz w:val="32"/>
          <w:szCs w:val="32"/>
        </w:rPr>
        <w:t xml:space="preserve">万元、津贴补贴 </w:t>
      </w:r>
      <w:r>
        <w:rPr>
          <w:rFonts w:ascii="仿宋_GB2312" w:eastAsia="仿宋_GB2312"/>
          <w:color w:val="000000"/>
          <w:sz w:val="32"/>
          <w:szCs w:val="32"/>
        </w:rPr>
        <w:t>83.5609</w:t>
      </w:r>
      <w:r>
        <w:rPr>
          <w:rFonts w:ascii="仿宋_GB2312" w:eastAsia="仿宋_GB2312" w:hint="eastAsia"/>
          <w:color w:val="000000"/>
          <w:sz w:val="32"/>
          <w:szCs w:val="32"/>
        </w:rPr>
        <w:t>万元、奖金</w:t>
      </w:r>
      <w:r>
        <w:rPr>
          <w:rFonts w:ascii="仿宋_GB2312" w:eastAsia="仿宋_GB2312"/>
          <w:color w:val="000000"/>
          <w:sz w:val="32"/>
          <w:szCs w:val="32"/>
        </w:rPr>
        <w:t>2.4251</w:t>
      </w:r>
      <w:r>
        <w:rPr>
          <w:rFonts w:ascii="仿宋_GB2312" w:eastAsia="仿宋_GB2312" w:hint="eastAsia"/>
          <w:color w:val="000000"/>
          <w:sz w:val="32"/>
          <w:szCs w:val="32"/>
        </w:rPr>
        <w:t>万元、绩效工资0万元、机关事业单位基本养老保险缴费</w:t>
      </w:r>
      <w:r>
        <w:rPr>
          <w:rFonts w:ascii="仿宋_GB2312" w:eastAsia="仿宋_GB2312"/>
          <w:color w:val="000000"/>
          <w:sz w:val="32"/>
          <w:szCs w:val="32"/>
        </w:rPr>
        <w:t>22.859232</w:t>
      </w:r>
      <w:r>
        <w:rPr>
          <w:rFonts w:ascii="仿宋_GB2312" w:eastAsia="仿宋_GB2312" w:hint="eastAsia"/>
          <w:color w:val="000000"/>
          <w:sz w:val="32"/>
          <w:szCs w:val="32"/>
        </w:rPr>
        <w:t>万元、职业年金缴费</w:t>
      </w:r>
      <w:r>
        <w:rPr>
          <w:rFonts w:ascii="仿宋_GB2312" w:eastAsia="仿宋_GB2312"/>
          <w:color w:val="000000"/>
          <w:sz w:val="32"/>
          <w:szCs w:val="32"/>
        </w:rPr>
        <w:t>11.429616</w:t>
      </w:r>
      <w:r>
        <w:rPr>
          <w:rFonts w:ascii="仿宋_GB2312" w:eastAsia="仿宋_GB2312" w:hint="eastAsia"/>
          <w:color w:val="000000"/>
          <w:sz w:val="32"/>
          <w:szCs w:val="32"/>
        </w:rPr>
        <w:t>万元、其他社会保障缴费0.922917   万元、住房公积金</w:t>
      </w:r>
      <w:r>
        <w:rPr>
          <w:rFonts w:ascii="仿宋_GB2312" w:eastAsia="仿宋_GB2312"/>
          <w:color w:val="000000"/>
          <w:sz w:val="32"/>
          <w:szCs w:val="32"/>
        </w:rPr>
        <w:t>22.5582</w:t>
      </w:r>
      <w:r>
        <w:rPr>
          <w:rFonts w:ascii="仿宋_GB2312" w:eastAsia="仿宋_GB2312" w:hint="eastAsia"/>
          <w:color w:val="000000"/>
          <w:sz w:val="32"/>
          <w:szCs w:val="32"/>
        </w:rPr>
        <w:t>万元、职工基本医疗保险缴费</w:t>
      </w:r>
      <w:r>
        <w:rPr>
          <w:rFonts w:ascii="仿宋_GB2312" w:eastAsia="仿宋_GB2312"/>
          <w:color w:val="000000"/>
          <w:sz w:val="32"/>
          <w:szCs w:val="32"/>
        </w:rPr>
        <w:t>11.30957</w:t>
      </w:r>
      <w:r>
        <w:rPr>
          <w:rFonts w:ascii="仿宋_GB2312" w:eastAsia="仿宋_GB2312" w:hint="eastAsia"/>
          <w:color w:val="000000"/>
          <w:sz w:val="32"/>
          <w:szCs w:val="32"/>
        </w:rPr>
        <w:t>万元、公务员医疗补助2</w:t>
      </w:r>
      <w:r>
        <w:rPr>
          <w:rFonts w:ascii="仿宋_GB2312" w:eastAsia="仿宋_GB2312"/>
          <w:color w:val="000000"/>
          <w:sz w:val="32"/>
          <w:szCs w:val="32"/>
        </w:rPr>
        <w:t>3.01554</w:t>
      </w:r>
      <w:r>
        <w:rPr>
          <w:rFonts w:ascii="仿宋_GB2312" w:eastAsia="仿宋_GB2312" w:hint="eastAsia"/>
          <w:color w:val="000000"/>
          <w:sz w:val="32"/>
          <w:szCs w:val="32"/>
        </w:rPr>
        <w:t>万元、生活补助  51.6881万元、奖励金166.590696万元。</w:t>
      </w:r>
    </w:p>
    <w:p>
      <w:pPr>
        <w:snapToGrid w:val="0"/>
        <w:spacing w:line="520" w:lineRule="exact"/>
        <w:ind w:leftChars="152" w:left="319" w:firstLineChars="100" w:firstLine="32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color w:val="000000"/>
          <w:sz w:val="32"/>
          <w:szCs w:val="32"/>
        </w:rPr>
        <w:t>23.7</w:t>
      </w:r>
      <w:r>
        <w:rPr>
          <w:rFonts w:ascii="仿宋_GB2312" w:eastAsia="仿宋_GB2312" w:hint="eastAsia"/>
          <w:color w:val="000000"/>
          <w:sz w:val="32"/>
          <w:szCs w:val="32"/>
        </w:rPr>
        <w:t>万元，主要包括：办公费</w:t>
      </w:r>
      <w:r>
        <w:rPr>
          <w:rFonts w:ascii="仿宋_GB2312" w:eastAsia="仿宋_GB2312"/>
          <w:color w:val="000000"/>
          <w:sz w:val="32"/>
          <w:szCs w:val="32"/>
        </w:rPr>
        <w:t>7.6</w:t>
      </w:r>
      <w:r>
        <w:rPr>
          <w:rFonts w:ascii="仿宋_GB2312" w:eastAsia="仿宋_GB2312" w:hint="eastAsia"/>
          <w:color w:val="000000"/>
          <w:sz w:val="32"/>
          <w:szCs w:val="32"/>
        </w:rPr>
        <w:t xml:space="preserve">万元、印刷费0万元、手续费0万元、电费  </w:t>
      </w:r>
      <w:r>
        <w:rPr>
          <w:rFonts w:ascii="仿宋_GB2312" w:eastAsia="仿宋_GB2312"/>
          <w:color w:val="000000"/>
          <w:sz w:val="32"/>
          <w:szCs w:val="32"/>
        </w:rPr>
        <w:t>0.3</w:t>
      </w:r>
      <w:r>
        <w:rPr>
          <w:rFonts w:ascii="仿宋_GB2312" w:eastAsia="仿宋_GB2312" w:hint="eastAsia"/>
          <w:color w:val="000000"/>
          <w:sz w:val="32"/>
          <w:szCs w:val="32"/>
        </w:rPr>
        <w:t>万元、邮</w:t>
      </w:r>
      <w:r>
        <w:rPr>
          <w:rFonts w:ascii="仿宋_GB2312" w:eastAsia="仿宋_GB2312"/>
          <w:color w:val="000000"/>
          <w:sz w:val="32"/>
          <w:szCs w:val="32"/>
        </w:rPr>
        <w:t>水</w:t>
      </w:r>
      <w:r>
        <w:rPr>
          <w:rFonts w:ascii="仿宋_GB2312" w:eastAsia="仿宋_GB2312" w:hint="eastAsia"/>
          <w:color w:val="000000"/>
          <w:sz w:val="32"/>
          <w:szCs w:val="32"/>
        </w:rPr>
        <w:t>费</w:t>
      </w:r>
      <w:r>
        <w:rPr>
          <w:rFonts w:ascii="仿宋_GB2312" w:eastAsia="仿宋_GB2312"/>
          <w:color w:val="000000"/>
          <w:sz w:val="32"/>
          <w:szCs w:val="32"/>
        </w:rPr>
        <w:t>0.3</w:t>
      </w:r>
      <w:r>
        <w:rPr>
          <w:rFonts w:ascii="仿宋_GB2312" w:eastAsia="仿宋_GB2312" w:hint="eastAsia"/>
          <w:color w:val="000000"/>
          <w:sz w:val="32"/>
          <w:szCs w:val="32"/>
        </w:rPr>
        <w:t>万元、取暖费0万元、差旅费</w:t>
      </w:r>
      <w:r>
        <w:rPr>
          <w:rFonts w:ascii="仿宋_GB2312" w:eastAsia="仿宋_GB2312"/>
          <w:color w:val="000000"/>
          <w:sz w:val="32"/>
          <w:szCs w:val="32"/>
        </w:rPr>
        <w:t>7.5</w:t>
      </w:r>
      <w:r>
        <w:rPr>
          <w:rFonts w:ascii="仿宋_GB2312" w:eastAsia="仿宋_GB2312" w:hint="eastAsia"/>
          <w:color w:val="000000"/>
          <w:sz w:val="32"/>
          <w:szCs w:val="32"/>
        </w:rPr>
        <w:t>万元、劳务费3万元</w:t>
      </w:r>
      <w:r>
        <w:rPr>
          <w:rFonts w:ascii="仿宋_GB2312" w:eastAsia="仿宋_GB2312"/>
          <w:color w:val="000000"/>
          <w:sz w:val="32"/>
          <w:szCs w:val="32"/>
        </w:rPr>
        <w:t>，</w:t>
      </w:r>
      <w:r>
        <w:rPr>
          <w:rFonts w:ascii="仿宋_GB2312" w:eastAsia="仿宋_GB2312" w:hint="eastAsia"/>
          <w:color w:val="000000"/>
          <w:sz w:val="32"/>
          <w:szCs w:val="32"/>
        </w:rPr>
        <w:t>公务用车运行维护费 5万元。</w:t>
      </w:r>
    </w:p>
    <w:p>
      <w:pPr>
        <w:spacing w:line="600" w:lineRule="exact"/>
        <w:ind w:firstLineChars="200" w:firstLine="640"/>
        <w:outlineLvl w:val="1"/>
        <w:rPr>
          <w:rStyle w:val="2Char"/>
          <w:rFonts w:ascii="黑体" w:eastAsia="黑体"/>
          <w:b w:val="0"/>
        </w:rPr>
      </w:pPr>
      <w:bookmarkStart w:id="33"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32"/>
      <w:bookmarkEnd w:id="33"/>
    </w:p>
    <w:p>
      <w:pPr>
        <w:spacing w:line="600" w:lineRule="exact"/>
        <w:ind w:firstLine="640"/>
        <w:outlineLvl w:val="2"/>
        <w:rPr>
          <w:rFonts w:ascii="仿宋" w:eastAsia="仿宋"/>
          <w:b/>
          <w:color w:val="000000"/>
          <w:sz w:val="32"/>
          <w:szCs w:val="32"/>
        </w:rPr>
      </w:pPr>
      <w:bookmarkStart w:id="34" w:name="_Toc15377216"/>
      <w:r>
        <w:rPr>
          <w:rFonts w:ascii="仿宋" w:eastAsia="仿宋" w:hint="eastAsia"/>
          <w:b/>
          <w:color w:val="000000"/>
          <w:sz w:val="32"/>
          <w:szCs w:val="32"/>
        </w:rPr>
        <w:t>（一）“三公”经费财政拨款支出决算总体情况说明</w:t>
      </w:r>
      <w:bookmarkEnd w:id="34"/>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1年“三公”经费财政拨款支出决算为</w:t>
      </w:r>
      <w:r>
        <w:rPr>
          <w:rFonts w:ascii="仿宋" w:eastAsia="仿宋"/>
          <w:color w:val="000000"/>
          <w:sz w:val="32"/>
          <w:szCs w:val="32"/>
        </w:rPr>
        <w:t>5</w:t>
      </w:r>
      <w:r>
        <w:rPr>
          <w:rFonts w:ascii="仿宋" w:eastAsia="仿宋" w:hint="eastAsia"/>
          <w:color w:val="000000"/>
          <w:sz w:val="32"/>
          <w:szCs w:val="32"/>
        </w:rPr>
        <w:t>万元，</w:t>
      </w:r>
      <w:r>
        <w:rPr>
          <w:rFonts w:ascii="仿宋" w:eastAsia="仿宋" w:hint="eastAsia"/>
          <w:color w:val="000000"/>
          <w:sz w:val="32"/>
          <w:szCs w:val="32"/>
          <w:lang w:val="en-US" w:eastAsia="zh-CN"/>
        </w:rPr>
        <w:t>年初预算数为5万，</w:t>
      </w:r>
      <w:r>
        <w:rPr>
          <w:rFonts w:ascii="仿宋" w:eastAsia="仿宋" w:hint="eastAsia"/>
          <w:color w:val="000000"/>
          <w:sz w:val="32"/>
          <w:szCs w:val="32"/>
        </w:rPr>
        <w:t>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35" w:name="_Toc15377217"/>
      <w:r>
        <w:rPr>
          <w:rFonts w:ascii="仿宋" w:eastAsia="仿宋" w:hint="eastAsia"/>
          <w:b/>
          <w:color w:val="000000"/>
          <w:sz w:val="32"/>
          <w:szCs w:val="32"/>
        </w:rPr>
        <w:t>（二）“三公”经费财政拨款支出决算具体情况说明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sz w:val="32"/>
          <w:szCs w:val="32"/>
        </w:rPr>
        <w:t>5</w:t>
      </w:r>
      <w:r>
        <w:rPr>
          <w:rFonts w:ascii="仿宋" w:eastAsia="仿宋" w:hint="eastAsia"/>
          <w:sz w:val="32"/>
          <w:szCs w:val="32"/>
        </w:rPr>
        <w:t>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；公务用车运行维护费支出决算</w:t>
      </w:r>
      <w:r>
        <w:rPr>
          <w:rFonts w:ascii="仿宋" w:eastAsia="仿宋"/>
          <w:color w:val="000000"/>
          <w:sz w:val="32"/>
          <w:szCs w:val="32"/>
        </w:rPr>
        <w:t>5</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pStyle w:val="15"/>
        <w:ind w:leftChars="0" w:left="420" w:hangingChars="200" w:hanging="420"/>
        <w:jc w:val="center"/>
        <w:rPr>
          <w:rFonts w:eastAsia="宋体" w:hint="eastAsia"/>
          <w:lang w:eastAsia="zh-CN"/>
        </w:rPr>
      </w:pPr>
      <w:r>
        <w:rPr>
          <w:rFonts w:eastAsia="宋体" w:hint="eastAsia"/>
          <w:lang w:eastAsia="zh-CN"/>
        </w:rPr>
        <w:drawing>
          <wp:inline distT="0" distB="0" distL="114300" distR="114300">
            <wp:extent cx="4063998" cy="2716530"/>
            <wp:effectExtent l="0" t="0" r="0" b="0"/>
            <wp:docPr id="7" name="图表 7"/>
            <wp:cNvGraphicFramePr>
              <a:graphicFrameLocks noChangeAspect="0"/>
            </wp:cNvGraphicFramePr>
            <a:graphic>
              <a:graphicData uri="http://schemas.openxmlformats.org/drawingml/2006/chart">
                <c:chart xmlns:c="http://schemas.openxmlformats.org/drawingml/2006/chart" r:id="rId10"/>
              </a:graphicData>
            </a:graphic>
          </wp:inline>
        </w:drawing>
      </w:r>
    </w:p>
    <w:p>
      <w:pPr>
        <w:pStyle w:val="15"/>
        <w:ind w:leftChars="0" w:left="420" w:hangingChars="200" w:hanging="420"/>
      </w:pPr>
    </w:p>
    <w:p>
      <w:pPr>
        <w:spacing w:line="600" w:lineRule="exact"/>
        <w:ind w:firstLineChars="200" w:firstLine="640"/>
        <w:rPr>
          <w:rStyle w:val="25"/>
          <w:rFonts w:ascii="仿宋" w:eastAsia="仿宋"/>
          <w:b w:val="0"/>
          <w:bCs/>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sz w:val="32"/>
          <w:szCs w:val="32"/>
          <w:lang w:val="en-US" w:eastAsia="zh-CN"/>
        </w:rPr>
        <w:t>5</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公务用车运行维护费支出决算比20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hint="eastAsia"/>
          <w:color w:val="333333"/>
          <w:sz w:val="32"/>
          <w:szCs w:val="32"/>
        </w:rPr>
        <w:t>公务用车运行维护费支出决算</w:t>
      </w:r>
      <w:r>
        <w:rPr>
          <w:rFonts w:ascii="仿宋_GB2312" w:eastAsia="仿宋_GB2312" w:hint="eastAsia"/>
          <w:color w:val="000000"/>
          <w:sz w:val="32"/>
          <w:szCs w:val="32"/>
          <w:lang w:val="en-US" w:eastAsia="zh-CN"/>
        </w:rPr>
        <w:t>增加</w:t>
      </w:r>
      <w:r>
        <w:rPr>
          <w:rFonts w:ascii="仿宋_GB2312" w:eastAsia="仿宋_GB2312"/>
          <w:color w:val="000000"/>
          <w:sz w:val="32"/>
          <w:szCs w:val="32"/>
          <w:lang w:val="en-US" w:eastAsia="zh-CN"/>
        </w:rPr>
        <w:t>3.5</w:t>
      </w:r>
      <w:r>
        <w:rPr>
          <w:rFonts w:ascii="仿宋_GB2312" w:eastAsia="仿宋_GB2312" w:hint="eastAsia"/>
          <w:color w:val="000000"/>
          <w:sz w:val="32"/>
          <w:szCs w:val="32"/>
          <w:lang w:val="en-US" w:eastAsia="zh-CN"/>
        </w:rPr>
        <w:t>万</w:t>
      </w:r>
      <w:r>
        <w:rPr>
          <w:rFonts w:ascii="仿宋_GB2312" w:eastAsia="仿宋_GB2312" w:hint="eastAsia"/>
          <w:color w:val="000000"/>
          <w:sz w:val="32"/>
          <w:szCs w:val="32"/>
        </w:rPr>
        <w:t>元</w:t>
      </w:r>
      <w:r>
        <w:rPr>
          <w:rFonts w:ascii="仿宋_GB2312" w:eastAsia="仿宋_GB2312" w:hint="eastAsia"/>
          <w:color w:val="333333"/>
          <w:sz w:val="32"/>
          <w:szCs w:val="32"/>
        </w:rPr>
        <w:t>，</w:t>
      </w:r>
      <w:r>
        <w:rPr>
          <w:rFonts w:ascii="仿宋_GB2312" w:eastAsia="仿宋_GB2312" w:hint="eastAsia"/>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w:t>
      </w:r>
      <w:r>
        <w:rPr>
          <w:rFonts w:ascii="仿宋_GB2312" w:eastAsia="仿宋_GB2312"/>
          <w:color w:val="000000"/>
          <w:spacing w:val="-2"/>
          <w:sz w:val="32"/>
          <w:szCs w:val="32"/>
        </w:rPr>
        <w:t>单位地址变更用车较多</w:t>
      </w:r>
      <w:r>
        <w:rPr>
          <w:rFonts w:ascii="仿宋_GB2312" w:eastAsia="仿宋_GB2312" w:hint="eastAsia"/>
          <w:color w:val="000000"/>
          <w:spacing w:val="-2"/>
          <w:sz w:val="32"/>
          <w:szCs w:val="32"/>
          <w:lang w:val="en-US" w:eastAsia="zh-CN"/>
        </w:rPr>
        <w:t>。</w:t>
      </w: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日，共有车辆1辆，其中：部级领导干部用车0辆、主要领导干部用车0辆、机要通信用车0辆、应急保障用车1辆、执法执勤用车0辆、特种专业技术用车0辆、离退休干部用车0辆、其他用车0辆；</w:t>
      </w:r>
      <w:r>
        <w:rPr>
          <w:rFonts w:ascii="仿宋_GB2312" w:eastAsia="仿宋_GB2312" w:hint="eastAsia"/>
          <w:b/>
          <w:color w:val="000000"/>
          <w:sz w:val="32"/>
          <w:szCs w:val="32"/>
        </w:rPr>
        <w:t>公务用车运行维护费支出</w:t>
      </w:r>
      <w:r>
        <w:rPr>
          <w:rFonts w:ascii="仿宋_GB2312" w:eastAsia="仿宋_GB2312"/>
          <w:sz w:val="32"/>
          <w:szCs w:val="32"/>
          <w:lang w:val="en-US" w:eastAsia="zh-CN"/>
        </w:rPr>
        <w:t>5</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3"/>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公务接待费0万元，较上年一致。</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left="0" w:firstLineChars="200" w:firstLine="640"/>
        <w:outlineLvl w:val="1"/>
        <w:rPr>
          <w:rStyle w:val="2Char"/>
          <w:rFonts w:ascii="黑体" w:eastAsia="黑体"/>
        </w:rPr>
      </w:pPr>
      <w:bookmarkStart w:id="36" w:name="_Toc15377218"/>
      <w:bookmarkStart w:id="37"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36"/>
      <w:bookmarkEnd w:id="3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4"/>
        </w:numPr>
        <w:spacing w:line="600" w:lineRule="exact"/>
        <w:ind w:left="0" w:firstLine="640"/>
        <w:outlineLvl w:val="1"/>
        <w:rPr>
          <w:rStyle w:val="2Char"/>
          <w:rFonts w:ascii="黑体" w:eastAsia="黑体"/>
          <w:b w:val="0"/>
        </w:rPr>
      </w:pPr>
      <w:bookmarkStart w:id="38" w:name="_Toc351"/>
      <w:bookmarkStart w:id="39" w:name="_Toc15377219"/>
      <w:r>
        <w:rPr>
          <w:rStyle w:val="2Char"/>
          <w:rFonts w:ascii="黑体" w:eastAsia="黑体" w:hint="eastAsia"/>
          <w:b w:val="0"/>
        </w:rPr>
        <w:t>国有资本经营预算支出决算情况说明</w:t>
      </w:r>
      <w:bookmarkEnd w:id="38"/>
      <w:bookmarkEnd w:id="3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1年国有资本经营预算拨款支出0万元。</w:t>
      </w:r>
    </w:p>
    <w:p>
      <w:pPr>
        <w:pStyle w:val="32"/>
        <w:numPr>
          <w:ilvl w:val="0"/>
          <w:numId w:val="5"/>
        </w:numPr>
        <w:spacing w:line="580" w:lineRule="exact"/>
        <w:ind w:firstLineChars="0"/>
        <w:rPr>
          <w:rStyle w:val="2Char"/>
          <w:rFonts w:ascii="黑体" w:eastAsia="黑体"/>
          <w:b w:val="0"/>
        </w:rPr>
      </w:pPr>
      <w:bookmarkStart w:id="40" w:name="_Toc16199"/>
      <w:r>
        <w:rPr>
          <w:rStyle w:val="2Char"/>
          <w:rFonts w:ascii="黑体" w:eastAsia="黑体" w:hint="eastAsia"/>
          <w:b w:val="0"/>
        </w:rPr>
        <w:t>预算绩效情况说明</w:t>
      </w:r>
    </w:p>
    <w:p>
      <w:pPr>
        <w:spacing w:line="580" w:lineRule="exact"/>
        <w:ind w:left="-3"/>
        <w:rPr>
          <w:rStyle w:val="2Char"/>
          <w:rFonts w:ascii="黑体" w:eastAsia="黑体"/>
          <w:b w:val="0"/>
        </w:rPr>
      </w:pPr>
      <w:bookmarkStart w:id="41" w:name="_Toc4523"/>
      <w:bookmarkEnd w:id="40"/>
      <w:r>
        <w:rPr>
          <w:rStyle w:val="2Char"/>
          <w:rFonts w:ascii="黑体" w:eastAsia="黑体" w:hint="eastAsia"/>
          <w:b w:val="0"/>
        </w:rPr>
        <w:t xml:space="preserve">  </w:t>
      </w:r>
      <w:r>
        <w:rPr>
          <w:rStyle w:val="2Char"/>
          <w:rFonts w:ascii="黑体" w:eastAsia="黑体"/>
          <w:b w:val="0"/>
        </w:rPr>
        <w:t>（一）</w:t>
      </w:r>
      <w:r>
        <w:rPr>
          <w:rStyle w:val="2Char"/>
          <w:rFonts w:ascii="黑体" w:eastAsia="黑体" w:hint="eastAsia"/>
          <w:b w:val="0"/>
        </w:rPr>
        <w:t xml:space="preserve">  预算绩效管理工作开展情况。</w:t>
      </w:r>
      <w:bookmarkEnd w:id="41"/>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w:t>
      </w:r>
      <w:r>
        <w:rPr>
          <w:rFonts w:ascii="仿宋_GB2312" w:eastAsia="仿宋_GB2312" w:cs="仿宋_GB2312"/>
          <w:sz w:val="32"/>
          <w:szCs w:val="32"/>
        </w:rPr>
        <w:t>整体支出</w:t>
      </w:r>
      <w:r>
        <w:rPr>
          <w:rFonts w:ascii="仿宋_GB2312" w:eastAsia="仿宋_GB2312" w:cs="仿宋_GB2312" w:hint="eastAsia"/>
          <w:sz w:val="32"/>
          <w:szCs w:val="32"/>
        </w:rPr>
        <w:t>开展了预算事前绩效评估，对</w:t>
      </w:r>
      <w:r>
        <w:rPr>
          <w:rFonts w:ascii="仿宋_GB2312" w:eastAsia="仿宋_GB2312" w:cs="仿宋_GB2312"/>
          <w:sz w:val="32"/>
          <w:szCs w:val="32"/>
        </w:rPr>
        <w:t>整体支出</w:t>
      </w:r>
      <w:r>
        <w:rPr>
          <w:rFonts w:ascii="仿宋_GB2312" w:eastAsia="仿宋_GB2312" w:cs="仿宋_GB2312" w:hint="eastAsia"/>
          <w:sz w:val="32"/>
          <w:szCs w:val="32"/>
        </w:rPr>
        <w:t>编制了绩效目标，预算执行过程中，选取</w:t>
      </w:r>
      <w:r>
        <w:rPr>
          <w:rFonts w:ascii="仿宋_GB2312" w:eastAsia="仿宋_GB2312" w:cs="仿宋_GB2312"/>
          <w:sz w:val="32"/>
          <w:szCs w:val="32"/>
        </w:rPr>
        <w:t>整体支出</w:t>
      </w:r>
      <w:r>
        <w:rPr>
          <w:rFonts w:ascii="仿宋_GB2312" w:eastAsia="仿宋_GB2312" w:cs="仿宋_GB2312" w:hint="eastAsia"/>
          <w:sz w:val="32"/>
          <w:szCs w:val="32"/>
        </w:rPr>
        <w:t>开展绩效监控，年终执行完毕后，对</w:t>
      </w:r>
      <w:r>
        <w:rPr>
          <w:rFonts w:ascii="仿宋_GB2312" w:eastAsia="仿宋_GB2312" w:cs="仿宋_GB2312"/>
          <w:sz w:val="32"/>
          <w:szCs w:val="32"/>
        </w:rPr>
        <w:t>整体支出</w:t>
      </w:r>
      <w:r>
        <w:rPr>
          <w:rFonts w:ascii="仿宋_GB2312" w:eastAsia="仿宋_GB2312" w:cs="仿宋_GB2312" w:hint="eastAsia"/>
          <w:sz w:val="32"/>
          <w:szCs w:val="32"/>
        </w:rPr>
        <w:t>开展了绩效目标完成情况梳理填报。</w:t>
      </w:r>
      <w:bookmarkStart w:id="42" w:name="_GoBack"/>
      <w:bookmarkEnd w:id="42"/>
    </w:p>
    <w:p>
      <w:pPr>
        <w:spacing w:line="580" w:lineRule="exact"/>
        <w:ind w:firstLineChars="200" w:firstLine="640"/>
        <w:rPr>
          <w:rFonts w:ascii="仿宋_GB2312" w:eastAsia="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w:t>
      </w:r>
      <w:r>
        <w:rPr>
          <w:rFonts w:ascii="仿宋_GB2312" w:eastAsia="仿宋_GB2312"/>
          <w:sz w:val="32"/>
          <w:szCs w:val="32"/>
          <w:lang w:val="en-US" w:eastAsia="zh-CN"/>
        </w:rPr>
        <w:t>89</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w:t>
      </w:r>
      <w:r>
        <w:rPr>
          <w:rFonts w:ascii="仿宋_GB2312" w:eastAsia="仿宋_GB2312"/>
          <w:sz w:val="32"/>
          <w:szCs w:val="32"/>
          <w:lang w:val="en-US" w:eastAsia="zh-CN"/>
        </w:rPr>
        <w:t>80</w:t>
      </w:r>
      <w:r>
        <w:rPr>
          <w:rFonts w:ascii="仿宋_GB2312" w:eastAsia="仿宋_GB2312" w:hint="eastAsia"/>
          <w:sz w:val="32"/>
          <w:szCs w:val="32"/>
        </w:rPr>
        <w:t>分）。我单位深入贯彻落实十九大关于“全面实施绩效管理”的要求，努力提升本单位绩效预算管理业务水平。主动公开绩效结果，加大资金使用效率，提升政府管理水平。</w:t>
      </w:r>
    </w:p>
    <w:p>
      <w:pPr>
        <w:spacing w:line="580" w:lineRule="exact"/>
        <w:ind w:left="0"/>
        <w:rPr>
          <w:rFonts w:ascii="仿宋" w:eastAsia="仿宋" w:cs="仿宋_GB2312"/>
          <w:sz w:val="32"/>
          <w:szCs w:val="32"/>
        </w:rPr>
      </w:pPr>
      <w:r>
        <w:rPr>
          <w:rFonts w:ascii="仿宋" w:eastAsia="仿宋" w:cs="楷体_GB2312"/>
          <w:b/>
          <w:bCs/>
          <w:sz w:val="32"/>
          <w:szCs w:val="32"/>
        </w:rPr>
        <w:t>（二）</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《金川县人民政府办公室202</w:t>
      </w:r>
      <w:r>
        <w:rPr>
          <w:rFonts w:ascii="仿宋_GB2312" w:eastAsia="仿宋_GB2312" w:hint="eastAsia"/>
          <w:sz w:val="32"/>
          <w:szCs w:val="32"/>
          <w:lang w:val="en-US" w:eastAsia="zh-CN"/>
        </w:rPr>
        <w:t>1</w:t>
      </w:r>
      <w:r>
        <w:rPr>
          <w:rFonts w:ascii="仿宋_GB2312" w:eastAsia="仿宋_GB2312" w:hint="eastAsia"/>
          <w:sz w:val="32"/>
          <w:szCs w:val="32"/>
        </w:rPr>
        <w:t>年部门预算整体支出绩效评价报告》</w:t>
      </w:r>
      <w:r>
        <w:rPr>
          <w:rFonts w:ascii="仿宋_GB2312" w:eastAsia="仿宋_GB2312" w:cs="仿宋_GB2312" w:hint="eastAsia"/>
          <w:sz w:val="32"/>
          <w:szCs w:val="32"/>
        </w:rPr>
        <w:t>见附件。</w:t>
      </w:r>
    </w:p>
    <w:p>
      <w:pPr>
        <w:spacing w:line="600" w:lineRule="exact"/>
        <w:ind w:firstLineChars="200" w:firstLine="640"/>
        <w:outlineLvl w:val="1"/>
        <w:rPr>
          <w:rStyle w:val="2Char"/>
          <w:rFonts w:ascii="黑体" w:eastAsia="黑体"/>
        </w:rPr>
      </w:pPr>
      <w:bookmarkStart w:id="43" w:name="_Toc30171"/>
      <w:bookmarkStart w:id="44"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43"/>
      <w:bookmarkEnd w:id="44"/>
    </w:p>
    <w:p>
      <w:pPr>
        <w:numPr>
          <w:ilvl w:val="0"/>
          <w:numId w:val="6"/>
        </w:numPr>
        <w:spacing w:line="600" w:lineRule="exact"/>
        <w:outlineLvl w:val="2"/>
        <w:rPr>
          <w:rFonts w:ascii="仿宋" w:eastAsia="仿宋"/>
          <w:b/>
          <w:color w:val="000000"/>
          <w:sz w:val="32"/>
          <w:szCs w:val="32"/>
        </w:rPr>
      </w:pPr>
      <w:bookmarkStart w:id="45" w:name="_Toc15377222"/>
      <w:r>
        <w:rPr>
          <w:rFonts w:ascii="仿宋" w:eastAsia="仿宋" w:hint="eastAsia"/>
          <w:b/>
          <w:color w:val="000000"/>
          <w:sz w:val="32"/>
          <w:szCs w:val="32"/>
        </w:rPr>
        <w:t>机关运行经费支出情况</w:t>
      </w:r>
      <w:bookmarkEnd w:id="45"/>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年度，金川县人民政府办机关运行经费支出</w:t>
      </w:r>
      <w:r>
        <w:rPr>
          <w:rFonts w:ascii="仿宋_GB2312" w:eastAsia="仿宋_GB2312"/>
          <w:color w:val="000000"/>
          <w:sz w:val="32"/>
          <w:szCs w:val="32"/>
          <w:lang w:val="en-US" w:eastAsia="zh-CN"/>
        </w:rPr>
        <w:t>23.7</w:t>
      </w:r>
      <w:r>
        <w:rPr>
          <w:rFonts w:ascii="仿宋_GB2312" w:eastAsia="仿宋_GB2312" w:hint="eastAsia"/>
          <w:color w:val="000000"/>
          <w:sz w:val="32"/>
          <w:szCs w:val="32"/>
        </w:rPr>
        <w:t>万元，20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年机关运行经费支出</w:t>
      </w:r>
      <w:r>
        <w:rPr>
          <w:rFonts w:ascii="仿宋_GB2312" w:eastAsia="仿宋_GB2312"/>
          <w:color w:val="000000"/>
          <w:sz w:val="32"/>
          <w:szCs w:val="32"/>
        </w:rPr>
        <w:t>32.34152</w:t>
      </w:r>
      <w:r>
        <w:rPr>
          <w:rFonts w:ascii="仿宋_GB2312" w:eastAsia="仿宋_GB2312" w:hint="eastAsia"/>
          <w:color w:val="000000"/>
          <w:sz w:val="32"/>
          <w:szCs w:val="32"/>
        </w:rPr>
        <w:t>万元，比20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color w:val="000000"/>
          <w:sz w:val="32"/>
          <w:szCs w:val="32"/>
        </w:rPr>
        <w:t>减少</w:t>
      </w:r>
      <w:r>
        <w:rPr>
          <w:rFonts w:ascii="仿宋_GB2312" w:eastAsia="仿宋_GB2312"/>
          <w:color w:val="000000"/>
          <w:sz w:val="32"/>
          <w:szCs w:val="32"/>
          <w:lang w:val="en-US" w:eastAsia="zh-CN"/>
        </w:rPr>
        <w:t>8.64152</w:t>
      </w:r>
      <w:r>
        <w:rPr>
          <w:rFonts w:ascii="仿宋_GB2312" w:eastAsia="仿宋_GB2312" w:hint="eastAsia"/>
          <w:color w:val="000000"/>
          <w:sz w:val="32"/>
          <w:szCs w:val="32"/>
        </w:rPr>
        <w:t>万元。主要是办公费、邮电费、差旅费、公务用车运行维护费等。</w:t>
      </w:r>
    </w:p>
    <w:p>
      <w:pPr>
        <w:autoSpaceDE w:val="0"/>
        <w:autoSpaceDN w:val="0"/>
        <w:adjustRightInd w:val="0"/>
        <w:spacing w:line="600" w:lineRule="exact"/>
        <w:ind w:left="0" w:firstLineChars="100" w:firstLine="320"/>
        <w:jc w:val="left"/>
        <w:outlineLvl w:val="2"/>
        <w:rPr>
          <w:rFonts w:ascii="仿宋" w:eastAsia="仿宋"/>
          <w:b/>
          <w:color w:val="000000"/>
          <w:sz w:val="32"/>
          <w:szCs w:val="32"/>
        </w:rPr>
      </w:pPr>
      <w:bookmarkStart w:id="46" w:name="_Toc15377224"/>
      <w:r>
        <w:rPr>
          <w:rFonts w:ascii="仿宋" w:eastAsia="仿宋" w:hint="eastAsia"/>
          <w:b/>
          <w:color w:val="000000"/>
          <w:sz w:val="32"/>
          <w:szCs w:val="32"/>
        </w:rPr>
        <w:t>（二）国有资产占有使用情况</w:t>
      </w:r>
      <w:bookmarkEnd w:id="46"/>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1</w:t>
      </w:r>
      <w:r>
        <w:rPr>
          <w:rFonts w:ascii="仿宋_GB2312" w:eastAsia="仿宋_GB2312" w:hint="eastAsia"/>
          <w:color w:val="000000"/>
          <w:sz w:val="32"/>
          <w:szCs w:val="32"/>
        </w:rPr>
        <w:t>辆。</w:t>
      </w:r>
    </w:p>
    <w:p>
      <w:pPr>
        <w:widowControl/>
        <w:ind w:firstLineChars="100" w:firstLine="320"/>
        <w:jc w:val="left"/>
        <w:rPr>
          <w:rFonts w:ascii="仿宋_GB2312" w:eastAsia="仿宋_GB2312"/>
          <w:color w:val="000000"/>
          <w:sz w:val="32"/>
          <w:szCs w:val="32"/>
        </w:rPr>
      </w:pPr>
      <w:r>
        <w:rPr>
          <w:rFonts w:ascii="仿宋_GB2312" w:eastAsia="仿宋_GB2312" w:hint="eastAsia"/>
          <w:b/>
          <w:color w:val="000000"/>
          <w:sz w:val="32"/>
          <w:szCs w:val="32"/>
        </w:rPr>
        <w:t xml:space="preserve">（三）政府采购支出情况   </w:t>
      </w:r>
    </w:p>
    <w:p>
      <w:pPr>
        <w:widowControl/>
        <w:ind w:left="-3" w:firstLineChars="200" w:firstLine="640"/>
        <w:jc w:val="left"/>
        <w:rPr>
          <w:rFonts w:ascii="仿宋_GB2312" w:eastAsia="仿宋_GB2312"/>
          <w:color w:val="000000"/>
          <w:sz w:val="32"/>
          <w:szCs w:val="32"/>
        </w:rPr>
      </w:pPr>
      <w:r>
        <w:rPr>
          <w:rFonts w:ascii="仿宋_GB2312" w:eastAsia="仿宋_GB2312" w:hint="eastAsia"/>
          <w:color w:val="000000"/>
          <w:sz w:val="32"/>
          <w:szCs w:val="32"/>
        </w:rPr>
        <w:t>无政府采购支出。</w:t>
      </w:r>
    </w:p>
    <w:p>
      <w:pPr>
        <w:numPr>
          <w:ilvl w:val="0"/>
          <w:numId w:val="7"/>
        </w:numPr>
        <w:spacing w:line="600" w:lineRule="exact"/>
        <w:ind w:left="0" w:firstLineChars="150" w:firstLine="660"/>
        <w:jc w:val="center"/>
        <w:outlineLvl w:val="0"/>
        <w:rPr>
          <w:rStyle w:val="1Char"/>
          <w:rFonts w:ascii="黑体" w:eastAsia="黑体"/>
          <w:b w:val="0"/>
        </w:rPr>
      </w:pPr>
      <w:bookmarkStart w:id="47" w:name="_Toc30760"/>
      <w:bookmarkStart w:id="48" w:name="_Toc15377225"/>
      <w:r>
        <w:rPr>
          <w:rFonts w:ascii="黑体" w:eastAsia="黑体" w:hint="eastAsia"/>
          <w:b/>
          <w:color w:val="000000"/>
          <w:sz w:val="44"/>
          <w:szCs w:val="44"/>
        </w:rPr>
        <w:t>名</w:t>
      </w:r>
      <w:r>
        <w:rPr>
          <w:rStyle w:val="1Char"/>
          <w:rFonts w:ascii="黑体" w:eastAsia="黑体" w:hint="eastAsia"/>
          <w:b w:val="0"/>
        </w:rPr>
        <w:t>词解释</w:t>
      </w:r>
      <w:bookmarkEnd w:id="47"/>
      <w:bookmarkEnd w:id="48"/>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方正小标宋简体" w:eastAsia="方正小标宋简体" w:hint="eastAsia"/>
          <w:b w:val="0"/>
        </w:rPr>
      </w:pPr>
      <w:bookmarkStart w:id="49" w:name="_Toc79163630"/>
      <w:bookmarkStart w:id="50" w:name="_Toc79163880"/>
      <w:bookmarkStart w:id="51" w:name="_Toc15396614"/>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49"/>
      <w:bookmarkEnd w:id="50"/>
      <w:bookmarkEnd w:id="51"/>
    </w:p>
    <w:p>
      <w:pPr>
        <w:widowControl/>
        <w:spacing w:beforeAutospacing="0" w:line="576" w:lineRule="exact"/>
        <w:ind w:firstLineChars="400" w:firstLine="1760"/>
        <w:contextualSpacing/>
        <w:jc w:val="both"/>
        <w:rPr>
          <w:rFonts w:ascii="方正小标宋简体" w:eastAsia="方正小标宋简体" w:cs="方正小标宋简体"/>
          <w:bCs/>
          <w:sz w:val="44"/>
          <w:szCs w:val="44"/>
          <w:shd w:val="clear" w:color="auto" w:fill="FFFFFF"/>
          <w:lang w:val="en-US" w:eastAsia="zh-CN"/>
        </w:rPr>
      </w:pPr>
      <w:r>
        <w:rPr>
          <w:rFonts w:ascii="方正小标宋简体" w:eastAsia="方正小标宋简体" w:cs="方正小标宋简体" w:hint="eastAsia"/>
          <w:bCs/>
          <w:sz w:val="44"/>
          <w:szCs w:val="44"/>
          <w:shd w:val="clear" w:color="auto" w:fill="FFFFFF"/>
          <w:lang w:val="en-US" w:eastAsia="zh-CN"/>
        </w:rPr>
        <w:t>金川县世外梨园景区服务中心</w:t>
      </w:r>
    </w:p>
    <w:p>
      <w:pPr>
        <w:spacing w:line="580" w:lineRule="exact"/>
        <w:jc w:val="center"/>
        <w:rPr>
          <w:rFonts w:ascii="方正小标宋简体" w:eastAsia="方正小标宋简体" w:cs="方正小标宋简体" w:hint="eastAsia"/>
          <w:sz w:val="44"/>
          <w:szCs w:val="44"/>
          <w:lang w:bidi="ar-SA"/>
        </w:rPr>
      </w:pPr>
      <w:r>
        <w:rPr>
          <w:rFonts w:ascii="方正小标宋简体" w:eastAsia="方正小标宋简体" w:cs="方正小标宋简体" w:hint="eastAsia"/>
          <w:bCs/>
          <w:sz w:val="44"/>
          <w:szCs w:val="44"/>
          <w:shd w:val="clear" w:color="auto" w:fill="FFFFFF"/>
          <w:lang w:val="en-US" w:eastAsia="zh-CN"/>
        </w:rPr>
        <w:t xml:space="preserve"> </w:t>
      </w:r>
      <w:r>
        <w:rPr>
          <w:rFonts w:ascii="方正小标宋简体" w:eastAsia="方正小标宋简体" w:cs="方正小标宋简体" w:hint="eastAsia"/>
          <w:bCs/>
          <w:sz w:val="44"/>
          <w:szCs w:val="44"/>
          <w:shd w:val="clear" w:color="auto" w:fill="FFFFFF"/>
        </w:rPr>
        <w:t>2021年度</w:t>
      </w:r>
      <w:r>
        <w:rPr>
          <w:rFonts w:ascii="方正小标宋简体" w:eastAsia="方正小标宋简体" w:cs="方正小标宋简体" w:hint="eastAsia"/>
          <w:bCs/>
          <w:sz w:val="44"/>
          <w:szCs w:val="44"/>
          <w:shd w:val="clear" w:color="auto" w:fill="FFFFFF"/>
          <w:lang w:val="en-US" w:eastAsia="zh-CN"/>
        </w:rPr>
        <w:t>整体支出</w:t>
      </w:r>
      <w:r>
        <w:rPr>
          <w:rFonts w:ascii="方正小标宋简体" w:eastAsia="方正小标宋简体" w:cs="方正小标宋简体" w:hint="eastAsia"/>
          <w:bCs/>
          <w:sz w:val="44"/>
          <w:szCs w:val="44"/>
          <w:shd w:val="clear" w:color="auto" w:fill="FFFFFF"/>
        </w:rPr>
        <w:t>绩效</w:t>
      </w:r>
      <w:r>
        <w:rPr>
          <w:rFonts w:ascii="方正小标宋简体" w:eastAsia="方正小标宋简体" w:cs="方正小标宋简体" w:hint="eastAsia"/>
          <w:bCs/>
          <w:sz w:val="44"/>
          <w:szCs w:val="44"/>
          <w:shd w:val="clear" w:color="auto" w:fill="FFFFFF"/>
          <w:lang w:val="en-US" w:eastAsia="zh-CN"/>
        </w:rPr>
        <w:t>评价</w:t>
      </w:r>
      <w:r>
        <w:rPr>
          <w:rFonts w:ascii="方正小标宋简体" w:eastAsia="方正小标宋简体" w:cs="方正小标宋简体" w:hint="eastAsia"/>
          <w:bCs/>
          <w:sz w:val="44"/>
          <w:szCs w:val="44"/>
          <w:shd w:val="clear" w:color="auto" w:fill="FFFFFF"/>
        </w:rPr>
        <w:t>报告</w:t>
      </w:r>
    </w:p>
    <w:p>
      <w:pPr>
        <w:rPr>
          <w:rFonts w:eastAsia="宋体" w:hint="eastAsia"/>
          <w:lang w:val="en-US" w:eastAsia="zh-CN"/>
        </w:rPr>
      </w:pPr>
    </w:p>
    <w:p>
      <w:pPr>
        <w:pStyle w:val="36"/>
        <w:spacing w:line="576" w:lineRule="exact"/>
        <w:ind w:left="0" w:firstLineChars="200" w:firstLine="640"/>
        <w:jc w:val="left"/>
        <w:rPr>
          <w:rFonts w:ascii="黑体" w:eastAsia="黑体" w:cs="黑体"/>
          <w:sz w:val="32"/>
          <w:szCs w:val="32"/>
        </w:rPr>
      </w:pPr>
      <w:r>
        <w:rPr>
          <w:rFonts w:ascii="仿宋_GB2312" w:eastAsia="仿宋_GB2312" w:cs="仿宋" w:hint="eastAsia"/>
          <w:color w:val="000000"/>
          <w:kern w:val="0"/>
          <w:sz w:val="32"/>
          <w:szCs w:val="32"/>
        </w:rPr>
        <w:t>根据《金川县财政局关于开展2021年部门、政策和项目支出绩效评价工作的通知》（金财监绩〔2021〕26号）文件要求，结合本单位的实际涉及到部门整体支出绩效评价工作，我办</w:t>
      </w:r>
      <w:r>
        <w:rPr>
          <w:rFonts w:ascii="仿宋_GB2312" w:eastAsia="仿宋_GB2312" w:cs="仿宋" w:hint="eastAsia"/>
          <w:color w:val="000000"/>
          <w:kern w:val="0"/>
          <w:sz w:val="32"/>
          <w:szCs w:val="32"/>
          <w:lang w:eastAsia="zh-CN"/>
        </w:rPr>
        <w:t>赓即</w:t>
      </w:r>
      <w:r>
        <w:rPr>
          <w:rFonts w:ascii="仿宋_GB2312" w:eastAsia="仿宋_GB2312" w:cs="仿宋" w:hint="eastAsia"/>
          <w:color w:val="000000"/>
          <w:kern w:val="0"/>
          <w:sz w:val="32"/>
          <w:szCs w:val="32"/>
        </w:rPr>
        <w:t>认真开展部门整体支出绩效自评工作，现将2021年部门预算支出绩效自评工作报告如下：</w:t>
      </w:r>
    </w:p>
    <w:p>
      <w:pPr>
        <w:pStyle w:val="36"/>
        <w:spacing w:line="576" w:lineRule="exact"/>
        <w:ind w:left="0" w:firstLineChars="200" w:firstLine="640"/>
        <w:jc w:val="left"/>
        <w:rPr>
          <w:rFonts w:ascii="黑体" w:eastAsia="黑体" w:cs="黑体" w:hint="eastAsia"/>
          <w:sz w:val="32"/>
          <w:szCs w:val="32"/>
        </w:rPr>
      </w:pPr>
      <w:r>
        <w:rPr>
          <w:rFonts w:ascii="黑体" w:eastAsia="黑体" w:cs="黑体" w:hint="eastAsia"/>
          <w:sz w:val="32"/>
          <w:szCs w:val="32"/>
        </w:rPr>
        <w:t>一、部门整体概况</w:t>
      </w:r>
    </w:p>
    <w:p>
      <w:pPr>
        <w:pStyle w:val="24"/>
        <w:widowControl/>
        <w:shd w:val="clear" w:color="auto" w:fill="FFFFFF"/>
        <w:spacing w:beforeAutospacing="0" w:afterAutospacing="0" w:line="576" w:lineRule="exact"/>
        <w:ind w:firstLineChars="300" w:firstLine="960"/>
        <w:rPr>
          <w:rFonts w:ascii="仿宋" w:eastAsia="仿宋" w:cs="仿宋" w:hint="eastAsia"/>
          <w:b w:val="0"/>
          <w:bCs w:val="0"/>
          <w:kern w:val="2"/>
          <w:sz w:val="32"/>
          <w:szCs w:val="32"/>
          <w:lang w:val="zh-CN"/>
        </w:rPr>
      </w:pPr>
      <w:r>
        <w:rPr>
          <w:rFonts w:ascii="仿宋" w:eastAsia="仿宋" w:cs="仿宋" w:hint="eastAsia"/>
          <w:b w:val="0"/>
          <w:bCs w:val="0"/>
          <w:kern w:val="2"/>
          <w:sz w:val="32"/>
          <w:szCs w:val="32"/>
        </w:rPr>
        <w:t>(</w:t>
      </w:r>
      <w:r>
        <w:rPr>
          <w:rFonts w:ascii="仿宋" w:eastAsia="仿宋" w:cs="仿宋" w:hint="eastAsia"/>
          <w:b w:val="0"/>
          <w:bCs w:val="0"/>
          <w:kern w:val="2"/>
          <w:sz w:val="32"/>
          <w:szCs w:val="32"/>
          <w:lang w:val="en-US" w:eastAsia="zh-CN"/>
        </w:rPr>
        <w:t>一</w:t>
      </w:r>
      <w:r>
        <w:rPr>
          <w:rFonts w:ascii="仿宋" w:eastAsia="仿宋" w:cs="仿宋" w:hint="eastAsia"/>
          <w:b w:val="0"/>
          <w:bCs w:val="0"/>
          <w:kern w:val="2"/>
          <w:sz w:val="32"/>
          <w:szCs w:val="32"/>
          <w:lang w:eastAsia="zh-CN"/>
        </w:rPr>
        <w:t>）</w:t>
      </w:r>
      <w:r>
        <w:rPr>
          <w:rFonts w:ascii="仿宋" w:eastAsia="仿宋" w:cs="仿宋" w:hint="eastAsia"/>
          <w:b w:val="0"/>
          <w:bCs w:val="0"/>
          <w:kern w:val="2"/>
          <w:sz w:val="32"/>
          <w:szCs w:val="32"/>
          <w:lang w:val="zh-CN"/>
        </w:rPr>
        <w:t>主要职能</w:t>
      </w:r>
    </w:p>
    <w:p>
      <w:pPr>
        <w:pStyle w:val="24"/>
        <w:widowControl/>
        <w:shd w:val="clear" w:color="auto" w:fill="FFFFFF"/>
        <w:spacing w:beforeAutospacing="0" w:afterAutospacing="0" w:line="576" w:lineRule="exact"/>
        <w:ind w:left="0" w:firstLineChars="200" w:firstLine="640"/>
        <w:rPr>
          <w:rStyle w:val="37"/>
          <w:rFonts w:ascii="仿宋" w:eastAsia="仿宋"/>
          <w:b w:val="0"/>
          <w:i w:val="0"/>
          <w:caps w:val="0"/>
          <w:smallCaps w:val="0"/>
          <w:spacing w:val="0"/>
          <w:w w:val="100"/>
          <w:kern w:val="2"/>
          <w:sz w:val="32"/>
          <w:szCs w:val="32"/>
          <w:lang w:val="en-US" w:eastAsia="zh-CN" w:bidi="ar-SA"/>
        </w:rPr>
      </w:pPr>
      <w:r>
        <w:rPr>
          <w:rStyle w:val="37"/>
          <w:rFonts w:ascii="仿宋" w:eastAsia="仿宋"/>
          <w:b w:val="0"/>
          <w:i w:val="0"/>
          <w:caps w:val="0"/>
          <w:smallCaps w:val="0"/>
          <w:spacing w:val="0"/>
          <w:w w:val="100"/>
          <w:kern w:val="2"/>
          <w:sz w:val="32"/>
          <w:szCs w:val="32"/>
          <w:lang w:val="en-US" w:eastAsia="zh-CN" w:bidi="ar-SA"/>
        </w:rPr>
        <w:t>贯彻国家有关旅游景区管理的法律、法规和方针政策,制定景区的各项管理制度,统一管理景区；负责对外联络和协调工作,及时反映职工意见,提供准确信息,做好上传下达工作；负责文秘、文书档案,政务信息,保密等工作；负责会议的准备、组织、总务、后勤管理工作。负责中心支部日常工作,党风廉政建设、纪检工作；</w:t>
      </w:r>
      <w:r>
        <w:rPr>
          <w:rStyle w:val="37"/>
          <w:rFonts w:ascii="仿宋" w:eastAsia="仿宋" w:hint="eastAsia"/>
          <w:b w:val="0"/>
          <w:i w:val="0"/>
          <w:caps w:val="0"/>
          <w:smallCaps w:val="0"/>
          <w:spacing w:val="0"/>
          <w:w w:val="100"/>
          <w:kern w:val="2"/>
          <w:sz w:val="32"/>
          <w:szCs w:val="32"/>
          <w:lang w:val="en-US" w:eastAsia="zh-CN" w:bidi="ar-SA"/>
        </w:rPr>
        <w:t>工会工作；</w:t>
      </w:r>
      <w:r>
        <w:rPr>
          <w:rStyle w:val="37"/>
          <w:rFonts w:ascii="仿宋" w:eastAsia="仿宋"/>
          <w:b w:val="0"/>
          <w:i w:val="0"/>
          <w:caps w:val="0"/>
          <w:smallCaps w:val="0"/>
          <w:spacing w:val="0"/>
          <w:w w:val="100"/>
          <w:kern w:val="2"/>
          <w:sz w:val="32"/>
          <w:szCs w:val="32"/>
          <w:lang w:val="en-US" w:eastAsia="zh-CN" w:bidi="ar-SA"/>
        </w:rPr>
        <w:t>负责财务工作,负责组织、人事和社会保障,档案管理工作；负责机密文电、信件的传递工作；负责受理和接待群众的来信来访,转办和协调来访案件;负责社会治安综合治理及精神文明建设日常工作;维护景区和社会稳定工作;负责游客关于景区情况的咨询介绍工作；负责协调或处理在景区内发生的旅游投诉事宜。</w:t>
      </w:r>
    </w:p>
    <w:p>
      <w:pPr>
        <w:pStyle w:val="24"/>
        <w:widowControl/>
        <w:shd w:val="clear" w:color="auto" w:fill="FFFFFF"/>
        <w:spacing w:beforeAutospacing="0" w:afterAutospacing="0" w:line="576" w:lineRule="exact"/>
        <w:ind w:left="0" w:firstLineChars="200" w:firstLine="640"/>
        <w:rPr>
          <w:rFonts w:ascii="仿宋" w:eastAsia="仿宋" w:cs="仿宋" w:hint="eastAsia"/>
          <w:kern w:val="2"/>
          <w:sz w:val="32"/>
          <w:szCs w:val="32"/>
          <w:lang w:val="zh-CN" w:eastAsia="zh-CN"/>
        </w:rPr>
      </w:pPr>
      <w:r>
        <w:rPr>
          <w:rFonts w:ascii="仿宋" w:eastAsia="仿宋" w:cs="仿宋" w:hint="eastAsia"/>
          <w:b w:val="0"/>
          <w:bCs w:val="0"/>
          <w:kern w:val="2"/>
          <w:sz w:val="32"/>
          <w:szCs w:val="32"/>
          <w:lang w:val="zh-CN"/>
        </w:rPr>
        <w:t>（</w:t>
      </w:r>
      <w:r>
        <w:rPr>
          <w:rFonts w:ascii="仿宋" w:eastAsia="仿宋" w:cs="仿宋" w:hint="eastAsia"/>
          <w:b w:val="0"/>
          <w:bCs w:val="0"/>
          <w:kern w:val="2"/>
          <w:sz w:val="32"/>
          <w:szCs w:val="32"/>
          <w:lang w:val="en-US" w:eastAsia="zh-CN"/>
        </w:rPr>
        <w:t>二）</w:t>
      </w:r>
      <w:r>
        <w:rPr>
          <w:rFonts w:ascii="仿宋" w:eastAsia="仿宋" w:cs="仿宋" w:hint="eastAsia"/>
          <w:b w:val="0"/>
          <w:bCs w:val="0"/>
          <w:kern w:val="2"/>
          <w:sz w:val="32"/>
          <w:szCs w:val="32"/>
          <w:lang w:val="zh-CN"/>
        </w:rPr>
        <w:t>机构情况</w:t>
      </w:r>
    </w:p>
    <w:p>
      <w:pPr>
        <w:pStyle w:val="24"/>
        <w:widowControl/>
        <w:shd w:val="clear" w:color="auto" w:fill="FFFFFF"/>
        <w:spacing w:beforeAutospacing="0" w:afterAutospacing="0" w:line="576" w:lineRule="exact"/>
        <w:ind w:left="0" w:firstLineChars="200" w:firstLine="640"/>
        <w:rPr>
          <w:rFonts w:ascii="仿宋_GB2312" w:cs="宋体" w:hAnsi="仿宋_GB2312"/>
          <w:kern w:val="0"/>
          <w:sz w:val="32"/>
          <w:szCs w:val="32"/>
          <w:lang w:val="en-US" w:eastAsia="zh-CN"/>
        </w:rPr>
      </w:pPr>
      <w:r>
        <w:rPr>
          <w:rFonts w:ascii="仿宋_GB2312" w:eastAsia="仿宋_GB2312" w:cs="宋体" w:hint="eastAsia"/>
          <w:b w:val="0"/>
          <w:bCs w:val="0"/>
          <w:kern w:val="0"/>
          <w:sz w:val="32"/>
          <w:szCs w:val="32"/>
          <w:lang w:val="zh-CN"/>
        </w:rPr>
        <w:t>我</w:t>
      </w:r>
      <w:r>
        <w:rPr>
          <w:rFonts w:ascii="仿宋" w:eastAsia="仿宋" w:cs="宋体" w:hint="eastAsia"/>
          <w:b w:val="0"/>
          <w:bCs w:val="0"/>
          <w:kern w:val="0"/>
          <w:sz w:val="32"/>
          <w:szCs w:val="32"/>
          <w:lang w:val="en-US" w:eastAsia="zh-CN"/>
        </w:rPr>
        <w:t>中心</w:t>
      </w:r>
      <w:r>
        <w:rPr>
          <w:rFonts w:ascii="仿宋_GB2312" w:eastAsia="仿宋_GB2312" w:cs="宋体" w:hint="eastAsia"/>
          <w:kern w:val="0"/>
          <w:sz w:val="32"/>
          <w:szCs w:val="32"/>
          <w:lang w:val="zh-CN"/>
        </w:rPr>
        <w:t>共有机构数1个，其中全额预算单位1个，单位内设机构</w:t>
      </w:r>
      <w:r>
        <w:rPr>
          <w:rFonts w:ascii="仿宋_GB2312" w:cs="宋体" w:hAnsi="仿宋_GB2312" w:hint="eastAsia"/>
          <w:kern w:val="0"/>
          <w:sz w:val="32"/>
          <w:szCs w:val="32"/>
          <w:lang w:val="en-US" w:eastAsia="zh-CN"/>
        </w:rPr>
        <w:t>3</w:t>
      </w:r>
      <w:r>
        <w:rPr>
          <w:rFonts w:ascii="仿宋_GB2312" w:eastAsia="仿宋_GB2312" w:cs="宋体" w:hint="eastAsia"/>
          <w:kern w:val="0"/>
          <w:sz w:val="32"/>
          <w:szCs w:val="32"/>
          <w:lang w:val="zh-CN"/>
        </w:rPr>
        <w:t>个</w:t>
      </w:r>
      <w:r>
        <w:rPr>
          <w:rFonts w:ascii="仿宋" w:eastAsia="仿宋" w:cs="仿宋" w:hint="eastAsia"/>
          <w:kern w:val="0"/>
          <w:sz w:val="32"/>
          <w:szCs w:val="32"/>
          <w:lang w:val="zh-CN"/>
        </w:rPr>
        <w:t>（</w:t>
      </w:r>
      <w:r>
        <w:rPr>
          <w:rFonts w:ascii="仿宋" w:eastAsia="仿宋" w:cs="仿宋" w:hint="eastAsia"/>
          <w:kern w:val="0"/>
          <w:sz w:val="32"/>
          <w:szCs w:val="32"/>
          <w:lang w:val="en-US" w:eastAsia="zh-CN"/>
        </w:rPr>
        <w:t>办公室、业务股、财务股）</w:t>
      </w:r>
      <w:r>
        <w:rPr>
          <w:rFonts w:ascii="仿宋_GB2312" w:cs="宋体" w:hAnsi="仿宋_GB2312" w:hint="eastAsia"/>
          <w:kern w:val="0"/>
          <w:sz w:val="32"/>
          <w:szCs w:val="32"/>
          <w:lang w:val="en-US" w:eastAsia="zh-CN"/>
        </w:rPr>
        <w:t>。</w:t>
      </w:r>
    </w:p>
    <w:p>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（三）人员概况:</w:t>
      </w:r>
      <w:r>
        <w:rPr>
          <w:rFonts w:ascii="仿宋_GB2312" w:eastAsia="仿宋_GB2312" w:cs="仿宋" w:hint="eastAsia"/>
          <w:color w:val="000000"/>
          <w:kern w:val="0"/>
          <w:sz w:val="32"/>
          <w:szCs w:val="32"/>
        </w:rPr>
        <w:t xml:space="preserve"> 2021年财政供养人员为</w:t>
      </w:r>
      <w:r>
        <w:rPr>
          <w:rFonts w:ascii="仿宋_GB2312" w:eastAsia="仿宋_GB2312" w:cs="仿宋"/>
          <w:color w:val="000000"/>
          <w:kern w:val="0"/>
          <w:sz w:val="32"/>
          <w:szCs w:val="32"/>
        </w:rPr>
        <w:t>8</w:t>
      </w:r>
      <w:r>
        <w:rPr>
          <w:rFonts w:ascii="仿宋_GB2312" w:eastAsia="仿宋_GB2312" w:cs="仿宋" w:hint="eastAsia"/>
          <w:color w:val="000000"/>
          <w:kern w:val="0"/>
          <w:sz w:val="32"/>
          <w:szCs w:val="32"/>
        </w:rPr>
        <w:t>人,其中</w:t>
      </w:r>
      <w:r>
        <w:rPr>
          <w:rFonts w:ascii="仿宋_GB2312" w:eastAsia="仿宋_GB2312" w:cs="仿宋"/>
          <w:color w:val="000000"/>
          <w:kern w:val="0"/>
          <w:sz w:val="32"/>
          <w:szCs w:val="32"/>
        </w:rPr>
        <w:t>参</w:t>
      </w:r>
      <w:r>
        <w:rPr>
          <w:rFonts w:ascii="仿宋_GB2312" w:eastAsia="仿宋_GB2312" w:cs="仿宋" w:hint="eastAsia"/>
          <w:color w:val="000000"/>
          <w:kern w:val="0"/>
          <w:sz w:val="32"/>
          <w:szCs w:val="32"/>
        </w:rPr>
        <w:t>公</w:t>
      </w:r>
      <w:r>
        <w:rPr>
          <w:rFonts w:ascii="仿宋_GB2312" w:eastAsia="仿宋_GB2312" w:cs="仿宋"/>
          <w:color w:val="000000"/>
          <w:kern w:val="0"/>
          <w:sz w:val="32"/>
          <w:szCs w:val="32"/>
        </w:rPr>
        <w:t>8</w:t>
      </w:r>
      <w:r>
        <w:rPr>
          <w:rFonts w:ascii="仿宋_GB2312" w:eastAsia="仿宋_GB2312" w:cs="仿宋" w:hint="eastAsia"/>
          <w:color w:val="000000"/>
          <w:kern w:val="0"/>
          <w:sz w:val="32"/>
          <w:szCs w:val="32"/>
        </w:rPr>
        <w:t>人；与去年相比减少</w:t>
      </w:r>
      <w:r>
        <w:rPr>
          <w:rFonts w:ascii="仿宋_GB2312" w:eastAsia="仿宋_GB2312" w:cs="仿宋"/>
          <w:color w:val="000000"/>
          <w:kern w:val="0"/>
          <w:sz w:val="32"/>
          <w:szCs w:val="32"/>
          <w:lang w:val="en-US" w:eastAsia="zh-CN"/>
        </w:rPr>
        <w:t>4</w:t>
      </w:r>
      <w:r>
        <w:rPr>
          <w:rFonts w:ascii="仿宋_GB2312" w:eastAsia="仿宋_GB2312" w:cs="仿宋" w:hint="eastAsia"/>
          <w:color w:val="000000"/>
          <w:kern w:val="0"/>
          <w:sz w:val="32"/>
          <w:szCs w:val="32"/>
        </w:rPr>
        <w:t>人</w:t>
      </w:r>
      <w:r>
        <w:rPr>
          <w:rFonts w:ascii="仿宋_GB2312" w:eastAsia="仿宋_GB2312" w:cs="仿宋" w:hint="eastAsia"/>
          <w:color w:val="000000"/>
          <w:kern w:val="0"/>
          <w:sz w:val="32"/>
          <w:szCs w:val="32"/>
          <w:lang w:val="zh-CN"/>
        </w:rPr>
        <w:t>。</w:t>
      </w:r>
    </w:p>
    <w:p>
      <w:pPr>
        <w:pStyle w:val="24"/>
        <w:widowControl/>
        <w:shd w:val="clear" w:color="auto" w:fill="FFFFFF"/>
        <w:spacing w:beforeAutospacing="0" w:afterAutospacing="0" w:line="576" w:lineRule="exact"/>
        <w:ind w:left="0" w:firstLineChars="200" w:firstLine="640"/>
        <w:rPr>
          <w:rFonts w:ascii="方正仿宋_GBK" w:eastAsia="仿宋_GB2312" w:cs="方正仿宋_GBK" w:hAnsi="方正仿宋_GBK"/>
          <w:kern w:val="2"/>
          <w:sz w:val="32"/>
          <w:szCs w:val="32"/>
          <w:lang w:val="en-US" w:eastAsia="zh-CN"/>
        </w:rPr>
      </w:pP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二、部门财政资金收支情况</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（一）部门财政资金收入:</w:t>
      </w:r>
      <w:r>
        <w:rPr>
          <w:rFonts w:ascii="仿宋_GB2312" w:eastAsia="仿宋_GB2312" w:cs="仿宋" w:hint="eastAsia"/>
          <w:color w:val="000000"/>
          <w:kern w:val="0"/>
          <w:sz w:val="32"/>
          <w:szCs w:val="32"/>
        </w:rPr>
        <w:t xml:space="preserve"> </w:t>
      </w:r>
    </w:p>
    <w:p>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年部门预算收入</w:t>
      </w:r>
      <w:r>
        <w:rPr>
          <w:rFonts w:ascii="仿宋_GB2312" w:eastAsia="仿宋_GB2312" w:cs="仿宋"/>
          <w:color w:val="000000"/>
          <w:kern w:val="0"/>
          <w:sz w:val="32"/>
          <w:szCs w:val="32"/>
          <w:lang w:val="en-US" w:eastAsia="zh-CN"/>
        </w:rPr>
        <w:t>250.601675</w:t>
      </w:r>
      <w:r>
        <w:rPr>
          <w:rFonts w:ascii="仿宋_GB2312" w:eastAsia="仿宋_GB2312" w:cs="仿宋" w:hint="eastAsia"/>
          <w:color w:val="000000"/>
          <w:kern w:val="0"/>
          <w:sz w:val="32"/>
          <w:szCs w:val="32"/>
        </w:rPr>
        <w:t>万元，上年结转0万元，总收入</w:t>
      </w:r>
      <w:r>
        <w:rPr>
          <w:rFonts w:ascii="仿宋_GB2312" w:eastAsia="仿宋_GB2312" w:cs="仿宋"/>
          <w:color w:val="000000"/>
          <w:kern w:val="0"/>
          <w:sz w:val="32"/>
          <w:szCs w:val="32"/>
          <w:lang w:val="en-US" w:eastAsia="zh-CN"/>
        </w:rPr>
        <w:t>250.601675</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zh-CN"/>
        </w:rPr>
        <w:t>。</w:t>
      </w:r>
    </w:p>
    <w:p>
      <w:pPr>
        <w:widowControl/>
        <w:numPr>
          <w:ilvl w:val="0"/>
          <w:numId w:val="8"/>
        </w:numPr>
        <w:adjustRightInd w:val="0"/>
        <w:snapToGrid w:val="0"/>
        <w:spacing w:line="480" w:lineRule="exact"/>
        <w:ind w:left="0"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部门财政资金支出情况: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20</w:t>
      </w:r>
      <w:r>
        <w:rPr>
          <w:rFonts w:ascii="仿宋_GB2312" w:eastAsia="仿宋_GB2312" w:cs="仿宋"/>
          <w:color w:val="000000"/>
          <w:kern w:val="0"/>
          <w:sz w:val="32"/>
          <w:szCs w:val="32"/>
        </w:rPr>
        <w:t>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年部门总支出</w:t>
      </w:r>
      <w:r>
        <w:rPr>
          <w:rFonts w:ascii="仿宋_GB2312" w:eastAsia="仿宋_GB2312" w:cs="仿宋"/>
          <w:color w:val="000000"/>
          <w:kern w:val="0"/>
          <w:sz w:val="32"/>
          <w:szCs w:val="32"/>
        </w:rPr>
        <w:t>250.601675</w:t>
      </w:r>
      <w:r>
        <w:rPr>
          <w:rFonts w:ascii="仿宋_GB2312" w:eastAsia="仿宋_GB2312" w:cs="仿宋" w:hint="eastAsia"/>
          <w:color w:val="000000"/>
          <w:kern w:val="0"/>
          <w:sz w:val="32"/>
          <w:szCs w:val="32"/>
        </w:rPr>
        <w:t>万元。其中：</w:t>
      </w:r>
      <w:r>
        <w:rPr>
          <w:rFonts w:ascii="仿宋_GB2312" w:eastAsia="仿宋_GB2312" w:cs="仿宋_GB2312" w:hint="eastAsia"/>
          <w:kern w:val="2"/>
          <w:sz w:val="32"/>
          <w:szCs w:val="32"/>
          <w:lang w:val="zh-CN"/>
        </w:rPr>
        <w:t>人员经费</w:t>
      </w:r>
      <w:r>
        <w:rPr>
          <w:rFonts w:ascii="仿宋_GB2312" w:cs="仿宋_GB2312" w:hAnsi="仿宋_GB2312" w:hint="eastAsia"/>
          <w:kern w:val="2"/>
          <w:sz w:val="32"/>
          <w:szCs w:val="32"/>
          <w:lang w:val="en-US" w:eastAsia="zh-CN"/>
        </w:rPr>
        <w:t>226.301675</w:t>
      </w:r>
      <w:r>
        <w:rPr>
          <w:rFonts w:ascii="仿宋_GB2312" w:eastAsia="仿宋_GB2312" w:cs="仿宋_GB2312" w:hint="eastAsia"/>
          <w:kern w:val="2"/>
          <w:sz w:val="32"/>
          <w:szCs w:val="32"/>
          <w:lang w:val="zh-CN"/>
        </w:rPr>
        <w:t>万元，主要包括：基本工资</w:t>
      </w:r>
      <w:r>
        <w:rPr>
          <w:rFonts w:ascii="仿宋_GB2312" w:eastAsia="仿宋_GB2312" w:cs="仿宋_GB2312" w:hint="eastAsia"/>
          <w:kern w:val="2"/>
          <w:sz w:val="32"/>
          <w:szCs w:val="32"/>
          <w:lang w:val="en-US" w:eastAsia="zh-CN"/>
        </w:rPr>
        <w:t>58.447</w:t>
      </w:r>
      <w:r>
        <w:rPr>
          <w:rFonts w:ascii="仿宋_GB2312" w:eastAsia="仿宋_GB2312" w:cs="仿宋_GB2312" w:hint="eastAsia"/>
          <w:kern w:val="2"/>
          <w:sz w:val="32"/>
          <w:szCs w:val="32"/>
          <w:lang w:val="zh-CN"/>
        </w:rPr>
        <w:t>万元、津贴补贴</w:t>
      </w:r>
      <w:r>
        <w:rPr>
          <w:rFonts w:ascii="仿宋_GB2312" w:eastAsia="仿宋_GB2312" w:cs="仿宋_GB2312" w:hint="eastAsia"/>
          <w:kern w:val="2"/>
          <w:sz w:val="32"/>
          <w:szCs w:val="32"/>
          <w:lang w:val="en-US" w:eastAsia="zh-CN"/>
        </w:rPr>
        <w:t>83.5609</w:t>
      </w:r>
      <w:r>
        <w:rPr>
          <w:rFonts w:ascii="仿宋_GB2312" w:eastAsia="仿宋_GB2312" w:cs="仿宋_GB2312" w:hint="eastAsia"/>
          <w:kern w:val="2"/>
          <w:sz w:val="32"/>
          <w:szCs w:val="32"/>
          <w:lang w:val="zh-CN"/>
        </w:rPr>
        <w:t>万元、机关事业单位基本养老保险缴费</w:t>
      </w:r>
      <w:r>
        <w:rPr>
          <w:rFonts w:ascii="仿宋_GB2312" w:eastAsia="仿宋_GB2312" w:cs="仿宋_GB2312" w:hint="eastAsia"/>
          <w:kern w:val="2"/>
          <w:sz w:val="32"/>
          <w:szCs w:val="32"/>
          <w:lang w:val="en-US" w:eastAsia="zh-CN"/>
        </w:rPr>
        <w:t>22.859232</w:t>
      </w:r>
      <w:r>
        <w:rPr>
          <w:rFonts w:ascii="仿宋_GB2312" w:eastAsia="仿宋_GB2312" w:cs="仿宋_GB2312" w:hint="eastAsia"/>
          <w:kern w:val="2"/>
          <w:sz w:val="32"/>
          <w:szCs w:val="32"/>
          <w:lang w:val="zh-CN"/>
        </w:rPr>
        <w:t>万元、职业年金缴费</w:t>
      </w:r>
      <w:r>
        <w:rPr>
          <w:rFonts w:ascii="仿宋_GB2312" w:eastAsia="仿宋_GB2312" w:cs="仿宋_GB2312" w:hint="eastAsia"/>
          <w:kern w:val="2"/>
          <w:sz w:val="32"/>
          <w:szCs w:val="32"/>
          <w:lang w:val="en-US" w:eastAsia="zh-CN"/>
        </w:rPr>
        <w:t>11.429616</w:t>
      </w:r>
      <w:r>
        <w:rPr>
          <w:rFonts w:ascii="仿宋_GB2312" w:eastAsia="仿宋_GB2312" w:cs="仿宋_GB2312" w:hint="eastAsia"/>
          <w:kern w:val="2"/>
          <w:sz w:val="32"/>
          <w:szCs w:val="32"/>
          <w:lang w:val="zh-CN"/>
        </w:rPr>
        <w:t>万元、职工基本医疗保险缴费</w:t>
      </w:r>
      <w:r>
        <w:rPr>
          <w:rFonts w:ascii="仿宋_GB2312" w:eastAsia="仿宋_GB2312" w:cs="仿宋_GB2312" w:hint="eastAsia"/>
          <w:kern w:val="2"/>
          <w:sz w:val="32"/>
          <w:szCs w:val="32"/>
          <w:lang w:val="en-US" w:eastAsia="zh-CN"/>
        </w:rPr>
        <w:t>11.30957</w:t>
      </w:r>
      <w:r>
        <w:rPr>
          <w:rFonts w:ascii="仿宋_GB2312" w:eastAsia="仿宋_GB2312" w:cs="仿宋_GB2312" w:hint="eastAsia"/>
          <w:kern w:val="2"/>
          <w:sz w:val="32"/>
          <w:szCs w:val="32"/>
          <w:lang w:val="zh-CN"/>
        </w:rPr>
        <w:t>万元、公务员医疗补助缴费</w:t>
      </w:r>
      <w:r>
        <w:rPr>
          <w:rFonts w:ascii="仿宋_GB2312" w:eastAsia="仿宋_GB2312" w:cs="仿宋_GB2312" w:hint="eastAsia"/>
          <w:kern w:val="2"/>
          <w:sz w:val="32"/>
          <w:szCs w:val="32"/>
          <w:lang w:val="en-US" w:eastAsia="zh-CN"/>
        </w:rPr>
        <w:t>23.01554</w:t>
      </w:r>
      <w:r>
        <w:rPr>
          <w:rFonts w:ascii="仿宋_GB2312" w:eastAsia="仿宋_GB2312" w:cs="仿宋_GB2312" w:hint="eastAsia"/>
          <w:kern w:val="2"/>
          <w:sz w:val="32"/>
          <w:szCs w:val="32"/>
          <w:lang w:val="zh-CN"/>
        </w:rPr>
        <w:t>万元、其他社会保障缴费</w:t>
      </w:r>
      <w:r>
        <w:rPr>
          <w:rFonts w:ascii="仿宋_GB2312" w:cs="仿宋_GB2312" w:hAnsi="仿宋_GB2312" w:hint="eastAsia"/>
          <w:kern w:val="2"/>
          <w:sz w:val="32"/>
          <w:szCs w:val="32"/>
          <w:lang w:val="en-US" w:eastAsia="zh-CN"/>
        </w:rPr>
        <w:t>0.922917</w:t>
      </w:r>
      <w:r>
        <w:rPr>
          <w:rFonts w:ascii="仿宋_GB2312" w:eastAsia="仿宋_GB2312" w:cs="仿宋_GB2312" w:hint="eastAsia"/>
          <w:kern w:val="2"/>
          <w:sz w:val="32"/>
          <w:szCs w:val="32"/>
          <w:lang w:val="zh-CN"/>
        </w:rPr>
        <w:t>万元、住房公积金</w:t>
      </w:r>
      <w:r>
        <w:rPr>
          <w:rFonts w:ascii="仿宋_GB2312" w:cs="仿宋_GB2312" w:hAnsi="仿宋_GB2312" w:hint="eastAsia"/>
          <w:kern w:val="2"/>
          <w:sz w:val="32"/>
          <w:szCs w:val="32"/>
          <w:lang w:val="en-US" w:eastAsia="zh-CN"/>
        </w:rPr>
        <w:t>22.5582</w:t>
      </w:r>
      <w:r>
        <w:rPr>
          <w:rFonts w:ascii="仿宋_GB2312" w:eastAsia="仿宋_GB2312" w:cs="仿宋_GB2312" w:hint="eastAsia"/>
          <w:kern w:val="2"/>
          <w:sz w:val="32"/>
          <w:szCs w:val="32"/>
          <w:lang w:val="zh-CN"/>
        </w:rPr>
        <w:t>万元</w:t>
      </w:r>
      <w:r>
        <w:rPr>
          <w:rFonts w:ascii="仿宋_GB2312" w:cs="仿宋_GB2312" w:hAnsi="仿宋_GB2312" w:hint="eastAsia"/>
          <w:kern w:val="2"/>
          <w:sz w:val="32"/>
          <w:szCs w:val="32"/>
          <w:lang w:val="zh-CN"/>
        </w:rPr>
        <w:t>。</w:t>
      </w:r>
      <w:r>
        <w:rPr>
          <w:rFonts w:ascii="仿宋" w:eastAsia="仿宋" w:cs="仿宋" w:hint="eastAsia"/>
          <w:kern w:val="2"/>
          <w:sz w:val="32"/>
          <w:szCs w:val="32"/>
          <w:lang w:val="zh-CN"/>
        </w:rPr>
        <w:t>公用经费</w:t>
      </w:r>
      <w:r>
        <w:rPr>
          <w:rFonts w:ascii="仿宋" w:eastAsia="仿宋" w:cs="仿宋" w:hint="eastAsia"/>
          <w:kern w:val="2"/>
          <w:sz w:val="32"/>
          <w:szCs w:val="32"/>
          <w:lang w:val="en-US" w:eastAsia="zh-CN"/>
        </w:rPr>
        <w:t>23.7</w:t>
      </w:r>
      <w:r>
        <w:rPr>
          <w:rFonts w:ascii="仿宋" w:eastAsia="仿宋" w:cs="仿宋" w:hint="eastAsia"/>
          <w:kern w:val="2"/>
          <w:sz w:val="32"/>
          <w:szCs w:val="32"/>
          <w:lang w:val="zh-CN"/>
        </w:rPr>
        <w:t>万元，主要包括：办公费</w:t>
      </w:r>
      <w:r>
        <w:rPr>
          <w:rFonts w:ascii="仿宋" w:eastAsia="仿宋" w:cs="仿宋" w:hint="eastAsia"/>
          <w:kern w:val="2"/>
          <w:sz w:val="32"/>
          <w:szCs w:val="32"/>
          <w:lang w:val="en-US" w:eastAsia="zh-CN"/>
        </w:rPr>
        <w:t>7.6</w:t>
      </w:r>
      <w:r>
        <w:rPr>
          <w:rFonts w:ascii="仿宋" w:eastAsia="仿宋" w:cs="仿宋" w:hint="eastAsia"/>
          <w:kern w:val="2"/>
          <w:sz w:val="32"/>
          <w:szCs w:val="32"/>
          <w:lang w:val="zh-CN"/>
        </w:rPr>
        <w:t>万元</w:t>
      </w:r>
      <w:r>
        <w:rPr>
          <w:rFonts w:ascii="仿宋" w:eastAsia="仿宋" w:cs="仿宋" w:hint="eastAsia"/>
          <w:kern w:val="2"/>
          <w:sz w:val="32"/>
          <w:szCs w:val="32"/>
        </w:rPr>
        <w:t>、</w:t>
      </w:r>
      <w:r>
        <w:rPr>
          <w:rFonts w:ascii="仿宋" w:eastAsia="仿宋" w:cs="仿宋" w:hint="eastAsia"/>
          <w:kern w:val="2"/>
          <w:sz w:val="32"/>
          <w:szCs w:val="32"/>
          <w:lang w:val="zh-CN"/>
        </w:rPr>
        <w:t>差旅费</w:t>
      </w:r>
      <w:r>
        <w:rPr>
          <w:rFonts w:ascii="仿宋" w:eastAsia="仿宋" w:cs="仿宋" w:hint="eastAsia"/>
          <w:kern w:val="2"/>
          <w:sz w:val="32"/>
          <w:szCs w:val="32"/>
          <w:lang w:val="en-US" w:eastAsia="zh-CN"/>
        </w:rPr>
        <w:t>7.5</w:t>
      </w:r>
      <w:r>
        <w:rPr>
          <w:rFonts w:ascii="仿宋" w:eastAsia="仿宋" w:cs="仿宋" w:hint="eastAsia"/>
          <w:kern w:val="2"/>
          <w:sz w:val="32"/>
          <w:szCs w:val="32"/>
          <w:lang w:val="zh-CN"/>
        </w:rPr>
        <w:t>万元、</w:t>
      </w:r>
      <w:r>
        <w:rPr>
          <w:rFonts w:ascii="仿宋" w:eastAsia="仿宋" w:cs="仿宋" w:hint="eastAsia"/>
          <w:kern w:val="2"/>
          <w:sz w:val="32"/>
          <w:szCs w:val="32"/>
          <w:lang w:val="en-US" w:eastAsia="zh-CN"/>
        </w:rPr>
        <w:t>劳务费3万元、电费0.3万元、油水费0.3万元、</w:t>
      </w:r>
      <w:r>
        <w:rPr>
          <w:rFonts w:ascii="仿宋" w:eastAsia="仿宋" w:cs="仿宋" w:hint="eastAsia"/>
          <w:kern w:val="2"/>
          <w:sz w:val="32"/>
          <w:szCs w:val="32"/>
          <w:lang w:val="zh-CN"/>
        </w:rPr>
        <w:t>公务用车运行维护费</w:t>
      </w:r>
      <w:r>
        <w:rPr>
          <w:rFonts w:ascii="仿宋" w:eastAsia="仿宋" w:cs="仿宋" w:hint="eastAsia"/>
          <w:kern w:val="2"/>
          <w:sz w:val="32"/>
          <w:szCs w:val="32"/>
          <w:lang w:val="en-US" w:eastAsia="zh-CN"/>
        </w:rPr>
        <w:t>5</w:t>
      </w:r>
      <w:r>
        <w:rPr>
          <w:rFonts w:ascii="仿宋" w:eastAsia="仿宋" w:cs="仿宋" w:hint="eastAsia"/>
          <w:kern w:val="2"/>
          <w:sz w:val="32"/>
          <w:szCs w:val="32"/>
          <w:lang w:val="zh-CN"/>
        </w:rPr>
        <w:t>万元。</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财政拨款支出主要用于保障本部门机构正常运转、完成日常工作任务。基本人员支出，是用于</w:t>
      </w:r>
      <w:r>
        <w:rPr>
          <w:rFonts w:ascii="仿宋_GB2312" w:eastAsia="仿宋_GB2312" w:cs="仿宋"/>
          <w:color w:val="000000"/>
          <w:kern w:val="0"/>
          <w:sz w:val="32"/>
          <w:szCs w:val="32"/>
        </w:rPr>
        <w:t>世外梨园景区服务中心</w:t>
      </w:r>
      <w:r>
        <w:rPr>
          <w:rFonts w:ascii="仿宋_GB2312" w:eastAsia="仿宋_GB2312" w:cs="仿宋" w:hint="eastAsia"/>
          <w:color w:val="000000"/>
          <w:kern w:val="0"/>
          <w:sz w:val="32"/>
          <w:szCs w:val="32"/>
        </w:rPr>
        <w:t>单位人员工资和社保就业保障经费。日常公用支出包括办公费、印刷费、水电费、“三公经费”等日常公用经费</w:t>
      </w:r>
      <w:r>
        <w:rPr>
          <w:rFonts w:ascii="仿宋_GB2312" w:eastAsia="仿宋_GB2312" w:cs="仿宋"/>
          <w:color w:val="000000"/>
          <w:kern w:val="0"/>
          <w:sz w:val="32"/>
          <w:szCs w:val="32"/>
        </w:rPr>
        <w:t>。</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三、部门财政支出管理情况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（一）预算编制情况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按照综合预算的编制原则，保证预算编制质量，</w:t>
      </w:r>
      <w:r>
        <w:rPr>
          <w:rFonts w:ascii="仿宋_GB2312" w:eastAsia="仿宋_GB2312" w:cs="仿宋"/>
          <w:color w:val="000000"/>
          <w:kern w:val="0"/>
          <w:sz w:val="32"/>
          <w:szCs w:val="32"/>
        </w:rPr>
        <w:t>世外梨园景区服务中心</w:t>
      </w:r>
      <w:r>
        <w:rPr>
          <w:rFonts w:ascii="仿宋_GB2312" w:eastAsia="仿宋_GB2312" w:cs="仿宋" w:hint="eastAsia"/>
          <w:color w:val="000000"/>
          <w:kern w:val="0"/>
          <w:sz w:val="32"/>
          <w:szCs w:val="32"/>
        </w:rPr>
        <w:t>所有收入和支出均纳入财政预算管理，公用经费按人员数进行编制，</w:t>
      </w:r>
      <w:r>
        <w:rPr>
          <w:rFonts w:ascii="仿宋_GB2312" w:eastAsia="仿宋_GB2312" w:cs="仿宋" w:hint="eastAsia"/>
          <w:color w:val="000000"/>
          <w:kern w:val="0"/>
          <w:sz w:val="32"/>
          <w:szCs w:val="32"/>
          <w:lang w:eastAsia="zh-CN"/>
        </w:rPr>
        <w:t>其他</w:t>
      </w:r>
      <w:r>
        <w:rPr>
          <w:rFonts w:ascii="仿宋_GB2312" w:eastAsia="仿宋_GB2312" w:cs="仿宋" w:hint="eastAsia"/>
          <w:color w:val="000000"/>
          <w:kern w:val="0"/>
          <w:sz w:val="32"/>
          <w:szCs w:val="32"/>
        </w:rPr>
        <w:t>经费严格按照有关预算法执行。</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1、20</w:t>
      </w:r>
      <w:r>
        <w:rPr>
          <w:rFonts w:ascii="仿宋_GB2312" w:eastAsia="仿宋_GB2312" w:cs="仿宋"/>
          <w:color w:val="000000"/>
          <w:kern w:val="0"/>
          <w:sz w:val="32"/>
          <w:szCs w:val="32"/>
        </w:rPr>
        <w:t>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年预算按当年10月实有人数</w:t>
      </w:r>
      <w:r>
        <w:rPr>
          <w:rFonts w:ascii="仿宋_GB2312" w:eastAsia="仿宋_GB2312" w:cs="仿宋"/>
          <w:color w:val="000000"/>
          <w:kern w:val="0"/>
          <w:sz w:val="32"/>
          <w:szCs w:val="32"/>
          <w:lang w:val="en-US" w:eastAsia="zh-CN"/>
        </w:rPr>
        <w:t>8</w:t>
      </w:r>
      <w:r>
        <w:rPr>
          <w:rFonts w:ascii="仿宋_GB2312" w:eastAsia="仿宋_GB2312" w:cs="仿宋" w:hint="eastAsia"/>
          <w:color w:val="000000"/>
          <w:kern w:val="0"/>
          <w:sz w:val="32"/>
          <w:szCs w:val="32"/>
        </w:rPr>
        <w:t>人，20</w:t>
      </w:r>
      <w:r>
        <w:rPr>
          <w:rFonts w:ascii="仿宋_GB2312" w:eastAsia="仿宋_GB2312" w:cs="仿宋"/>
          <w:color w:val="000000"/>
          <w:kern w:val="0"/>
          <w:sz w:val="32"/>
          <w:szCs w:val="32"/>
        </w:rPr>
        <w:t>20</w:t>
      </w:r>
      <w:r>
        <w:rPr>
          <w:rFonts w:ascii="仿宋_GB2312" w:eastAsia="仿宋_GB2312" w:cs="仿宋" w:hint="eastAsia"/>
          <w:color w:val="000000"/>
          <w:kern w:val="0"/>
          <w:sz w:val="32"/>
          <w:szCs w:val="32"/>
        </w:rPr>
        <w:t>年公用经费</w:t>
      </w:r>
      <w:r>
        <w:rPr>
          <w:rFonts w:ascii="仿宋_GB2312" w:eastAsia="仿宋_GB2312" w:cs="仿宋"/>
          <w:color w:val="000000"/>
          <w:kern w:val="0"/>
          <w:sz w:val="32"/>
          <w:szCs w:val="32"/>
          <w:lang w:val="en-US" w:eastAsia="zh-CN"/>
        </w:rPr>
        <w:t>32.34152</w:t>
      </w:r>
      <w:r>
        <w:rPr>
          <w:rFonts w:ascii="仿宋_GB2312" w:eastAsia="仿宋_GB2312" w:cs="仿宋" w:hint="eastAsia"/>
          <w:color w:val="000000"/>
          <w:kern w:val="0"/>
          <w:sz w:val="32"/>
          <w:szCs w:val="32"/>
        </w:rPr>
        <w:t>万元。</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（二）执行预算情况。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cs="仿宋" w:hint="eastAsia"/>
          <w:color w:val="000000"/>
          <w:kern w:val="0"/>
          <w:sz w:val="32"/>
          <w:szCs w:val="32"/>
          <w:lang w:val="zh-CN"/>
        </w:rPr>
        <w:t>部门预算在财政部门批复后及时填报预算公示报表报财政审核在政府信息公开网上公示。</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2、三公经费预算执行情况：</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年“三公”经费：202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年公务接待费</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万元，202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年公务用车运行维护费</w:t>
      </w:r>
      <w:r>
        <w:rPr>
          <w:rFonts w:ascii="仿宋_GB2312" w:eastAsia="仿宋_GB2312" w:cs="仿宋"/>
          <w:color w:val="000000"/>
          <w:kern w:val="0"/>
          <w:sz w:val="32"/>
          <w:szCs w:val="32"/>
        </w:rPr>
        <w:t>5</w:t>
      </w:r>
      <w:r>
        <w:rPr>
          <w:rFonts w:ascii="仿宋_GB2312" w:eastAsia="仿宋_GB2312" w:cs="仿宋" w:hint="eastAsia"/>
          <w:color w:val="000000"/>
          <w:kern w:val="0"/>
          <w:sz w:val="32"/>
          <w:szCs w:val="32"/>
        </w:rPr>
        <w:t>万元。公务接待费决算数为0万元和预算数不一致，是因为我</w:t>
      </w:r>
      <w:r>
        <w:rPr>
          <w:rFonts w:ascii="仿宋_GB2312" w:eastAsia="仿宋_GB2312" w:cs="仿宋"/>
          <w:color w:val="000000"/>
          <w:kern w:val="0"/>
          <w:sz w:val="32"/>
          <w:szCs w:val="32"/>
        </w:rPr>
        <w:t>中心</w:t>
      </w:r>
      <w:r>
        <w:rPr>
          <w:rFonts w:ascii="仿宋_GB2312" w:eastAsia="仿宋_GB2312" w:cs="仿宋" w:hint="eastAsia"/>
          <w:color w:val="000000"/>
          <w:kern w:val="0"/>
          <w:sz w:val="32"/>
          <w:szCs w:val="32"/>
        </w:rPr>
        <w:t>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年未产生有公务接待。</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（三）综合管理情况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1</w:t>
      </w:r>
      <w:r>
        <w:rPr>
          <w:rFonts w:ascii="仿宋_GB2312" w:eastAsia="仿宋_GB2312" w:cs="仿宋" w:hint="eastAsia"/>
          <w:color w:val="000000"/>
          <w:kern w:val="0"/>
          <w:sz w:val="32"/>
          <w:szCs w:val="32"/>
        </w:rPr>
        <w:t>、固定资产管理方面：本单位固定资产按科学合理、优化资产结构、勤俭节约的原则和专门的资产管理系统进行管理，固定资产账面数据和固定资产管理系统数据一致。</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2</w:t>
      </w:r>
      <w:r>
        <w:rPr>
          <w:rFonts w:ascii="仿宋_GB2312" w:eastAsia="仿宋_GB2312" w:cs="仿宋" w:hint="eastAsia"/>
          <w:color w:val="000000"/>
          <w:kern w:val="0"/>
          <w:sz w:val="32"/>
          <w:szCs w:val="32"/>
        </w:rPr>
        <w:t>、内控制度方面:为进一步做好行政事业单位内部控制基础性工作，结合我</w:t>
      </w:r>
      <w:r>
        <w:rPr>
          <w:rFonts w:ascii="仿宋_GB2312" w:eastAsia="仿宋_GB2312" w:cs="仿宋"/>
          <w:color w:val="000000"/>
          <w:kern w:val="0"/>
          <w:sz w:val="32"/>
          <w:szCs w:val="32"/>
        </w:rPr>
        <w:t>中心</w:t>
      </w:r>
      <w:r>
        <w:rPr>
          <w:rFonts w:ascii="仿宋_GB2312" w:eastAsia="仿宋_GB2312" w:cs="仿宋" w:hint="eastAsia"/>
          <w:color w:val="000000"/>
          <w:kern w:val="0"/>
          <w:sz w:val="32"/>
          <w:szCs w:val="32"/>
        </w:rPr>
        <w:t>实际，特制订预算管理、财务收支管理、采购及管理、资产管理</w:t>
      </w:r>
      <w:r>
        <w:rPr>
          <w:rFonts w:ascii="仿宋_GB2312" w:eastAsia="仿宋_GB2312" w:cs="仿宋"/>
          <w:color w:val="000000"/>
          <w:kern w:val="0"/>
          <w:sz w:val="32"/>
          <w:szCs w:val="32"/>
        </w:rPr>
        <w:t>、</w:t>
      </w:r>
      <w:r>
        <w:rPr>
          <w:rFonts w:ascii="仿宋_GB2312" w:eastAsia="仿宋_GB2312" w:cs="仿宋" w:hint="eastAsia"/>
          <w:color w:val="000000"/>
          <w:kern w:val="0"/>
          <w:sz w:val="32"/>
          <w:szCs w:val="32"/>
        </w:rPr>
        <w:t>合同管理、财务管理、差旅费报销、公务接待和陪餐、工作岗位职责、考勤请销假、下乡和车辆管理、驾驶员管理工作、会务工作、内部联席工作、保密工作、办公室首问、公室印章管理使用、学习会议等制度草案。</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3</w:t>
      </w:r>
      <w:r>
        <w:rPr>
          <w:rFonts w:ascii="仿宋_GB2312" w:eastAsia="仿宋_GB2312" w:cs="仿宋" w:hint="eastAsia"/>
          <w:color w:val="000000"/>
          <w:kern w:val="0"/>
          <w:sz w:val="32"/>
          <w:szCs w:val="32"/>
        </w:rPr>
        <w:t>、信息公开方面：预算决算公开按财政局的要求在收到财政批复后20个工作日在金川县</w:t>
      </w:r>
      <w:r>
        <w:rPr>
          <w:rFonts w:ascii="仿宋_GB2312" w:eastAsia="仿宋_GB2312" w:cs="仿宋"/>
          <w:color w:val="000000"/>
          <w:kern w:val="0"/>
          <w:sz w:val="32"/>
          <w:szCs w:val="32"/>
        </w:rPr>
        <w:t>世外梨园景区服务中心</w:t>
      </w:r>
      <w:r>
        <w:rPr>
          <w:rFonts w:ascii="仿宋_GB2312" w:eastAsia="仿宋_GB2312" w:cs="仿宋" w:hint="eastAsia"/>
          <w:color w:val="000000"/>
          <w:kern w:val="0"/>
          <w:sz w:val="32"/>
          <w:szCs w:val="32"/>
        </w:rPr>
        <w:t>的信息网站进行公开。</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4</w:t>
      </w:r>
      <w:r>
        <w:rPr>
          <w:rFonts w:ascii="仿宋_GB2312" w:eastAsia="仿宋_GB2312" w:cs="仿宋" w:hint="eastAsia"/>
          <w:color w:val="000000"/>
          <w:kern w:val="0"/>
          <w:sz w:val="32"/>
          <w:szCs w:val="32"/>
        </w:rPr>
        <w:t>、绩效评价及财政监督情况:按部门支出绩效评价指标体系进行单位自评，按财政要求收支并接受财政的监督管理。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（四）、整体绩效</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根据部门支出绩效评价指标体系进行单位自评。</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1、预算编制总分</w:t>
      </w: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0分，自评得分</w:t>
      </w:r>
      <w:r>
        <w:rPr>
          <w:rFonts w:ascii="仿宋_GB2312" w:eastAsia="仿宋_GB2312" w:cs="仿宋" w:hint="eastAsia"/>
          <w:color w:val="000000"/>
          <w:kern w:val="0"/>
          <w:sz w:val="32"/>
          <w:szCs w:val="32"/>
          <w:lang w:val="en-US" w:eastAsia="zh-CN"/>
        </w:rPr>
        <w:t>20</w:t>
      </w:r>
      <w:r>
        <w:rPr>
          <w:rFonts w:ascii="仿宋_GB2312" w:eastAsia="仿宋_GB2312" w:cs="仿宋" w:hint="eastAsia"/>
          <w:color w:val="000000"/>
          <w:kern w:val="0"/>
          <w:sz w:val="32"/>
          <w:szCs w:val="32"/>
        </w:rPr>
        <w:t>分，</w:t>
      </w:r>
      <w:r>
        <w:rPr>
          <w:rFonts w:ascii="仿宋_GB2312" w:eastAsia="仿宋_GB2312" w:cs="仿宋"/>
          <w:color w:val="000000"/>
          <w:kern w:val="0"/>
          <w:sz w:val="32"/>
          <w:szCs w:val="32"/>
        </w:rPr>
        <w:t>世外梨园中心</w:t>
      </w:r>
      <w:r>
        <w:rPr>
          <w:rFonts w:ascii="仿宋_GB2312" w:eastAsia="仿宋_GB2312" w:cs="仿宋" w:hint="eastAsia"/>
          <w:color w:val="000000"/>
          <w:kern w:val="0"/>
          <w:sz w:val="32"/>
          <w:szCs w:val="32"/>
        </w:rPr>
        <w:t>有</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项</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分不在本单位评价内容中。</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2、预算执行总分</w:t>
      </w: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rPr>
        <w:t>0分，自评得分</w:t>
      </w:r>
      <w:r>
        <w:rPr>
          <w:rFonts w:ascii="仿宋_GB2312" w:eastAsia="仿宋_GB2312" w:cs="仿宋"/>
          <w:color w:val="000000"/>
          <w:kern w:val="0"/>
          <w:sz w:val="32"/>
          <w:szCs w:val="32"/>
          <w:lang w:val="en-US" w:eastAsia="zh-CN"/>
        </w:rPr>
        <w:t>42</w:t>
      </w:r>
      <w:r>
        <w:rPr>
          <w:rFonts w:ascii="仿宋_GB2312" w:eastAsia="仿宋_GB2312" w:cs="仿宋" w:hint="eastAsia"/>
          <w:color w:val="000000"/>
          <w:kern w:val="0"/>
          <w:sz w:val="32"/>
          <w:szCs w:val="32"/>
        </w:rPr>
        <w:t>分，</w:t>
      </w:r>
      <w:r>
        <w:rPr>
          <w:rFonts w:ascii="仿宋_GB2312" w:eastAsia="仿宋_GB2312" w:cs="仿宋"/>
          <w:color w:val="000000"/>
          <w:kern w:val="0"/>
          <w:sz w:val="32"/>
          <w:szCs w:val="32"/>
        </w:rPr>
        <w:t>世外梨园中心</w:t>
      </w:r>
      <w:r>
        <w:rPr>
          <w:rFonts w:ascii="仿宋_GB2312" w:eastAsia="仿宋_GB2312" w:cs="仿宋" w:hint="eastAsia"/>
          <w:color w:val="000000"/>
          <w:kern w:val="0"/>
          <w:sz w:val="32"/>
          <w:szCs w:val="32"/>
        </w:rPr>
        <w:t>有常公用经费中手会议费、培训费等科目年初预算数与决算数存在差异，偏差度控制住100.00%，故不得分</w:t>
      </w:r>
      <w:r>
        <w:rPr>
          <w:rFonts w:ascii="仿宋_GB2312" w:eastAsia="仿宋_GB2312" w:cs="仿宋" w:hint="eastAsia"/>
          <w:color w:val="000000"/>
          <w:kern w:val="0"/>
          <w:sz w:val="32"/>
          <w:szCs w:val="32"/>
          <w:lang w:val="en-US" w:eastAsia="zh-CN"/>
        </w:rPr>
        <w:t>,预算执行进度未达到100%，按照实际进度量化计算得分</w:t>
      </w:r>
      <w:r>
        <w:rPr>
          <w:rFonts w:ascii="仿宋_GB2312" w:eastAsia="仿宋_GB2312" w:cs="仿宋" w:hint="eastAsia"/>
          <w:color w:val="000000"/>
          <w:kern w:val="0"/>
          <w:sz w:val="32"/>
          <w:szCs w:val="32"/>
        </w:rPr>
        <w:t>。扣分</w:t>
      </w:r>
      <w:r>
        <w:rPr>
          <w:rFonts w:ascii="仿宋_GB2312" w:eastAsia="仿宋_GB2312" w:cs="仿宋"/>
          <w:color w:val="000000"/>
          <w:kern w:val="0"/>
          <w:sz w:val="32"/>
          <w:szCs w:val="32"/>
          <w:lang w:val="en-US" w:eastAsia="zh-CN"/>
        </w:rPr>
        <w:t>8</w:t>
      </w:r>
      <w:r>
        <w:rPr>
          <w:rFonts w:ascii="仿宋_GB2312" w:eastAsia="仿宋_GB2312" w:cs="仿宋" w:hint="eastAsia"/>
          <w:color w:val="000000"/>
          <w:kern w:val="0"/>
          <w:sz w:val="32"/>
          <w:szCs w:val="32"/>
        </w:rPr>
        <w:t>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3、综合管理总分</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分，自评得</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0分。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4、整体效益总分</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分，自评得分</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0分。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四、评价结论及建议</w:t>
      </w:r>
    </w:p>
    <w:p>
      <w:pPr>
        <w:snapToGrid w:val="0"/>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（一）、评价结论。根据部门支出绩效评价指标体系进行单位自评，圆满完成绩效自评工作，圆满完成中央、省、州委和县的重要工作、目标任务。</w:t>
      </w:r>
    </w:p>
    <w:p>
      <w:pPr>
        <w:spacing w:line="560" w:lineRule="exact"/>
        <w:ind w:firstLineChars="200" w:firstLine="640"/>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本单位总体评价内容内实际得分</w:t>
      </w:r>
      <w:r>
        <w:rPr>
          <w:rFonts w:ascii="仿宋_GB2312" w:eastAsia="仿宋_GB2312" w:cs="仿宋"/>
          <w:color w:val="000000"/>
          <w:kern w:val="0"/>
          <w:sz w:val="32"/>
          <w:szCs w:val="32"/>
          <w:lang w:val="en-US" w:eastAsia="zh-CN"/>
        </w:rPr>
        <w:t>82</w:t>
      </w:r>
      <w:r>
        <w:rPr>
          <w:rFonts w:ascii="仿宋_GB2312" w:eastAsia="仿宋_GB2312" w:cs="仿宋" w:hint="eastAsia"/>
          <w:color w:val="000000"/>
          <w:kern w:val="0"/>
          <w:sz w:val="32"/>
          <w:szCs w:val="32"/>
        </w:rPr>
        <w:t>分，按计算本单位最后得分</w:t>
      </w:r>
      <w:r>
        <w:rPr>
          <w:rFonts w:ascii="仿宋_GB2312" w:eastAsia="仿宋_GB2312" w:cs="仿宋"/>
          <w:color w:val="000000"/>
          <w:kern w:val="0"/>
          <w:sz w:val="32"/>
          <w:szCs w:val="32"/>
          <w:lang w:val="en-US" w:eastAsia="zh-CN"/>
        </w:rPr>
        <w:t>91</w:t>
      </w:r>
      <w:r>
        <w:rPr>
          <w:rFonts w:ascii="仿宋_GB2312" w:eastAsia="仿宋_GB2312" w:cs="仿宋" w:hint="eastAsia"/>
          <w:color w:val="000000"/>
          <w:kern w:val="0"/>
          <w:sz w:val="32"/>
          <w:szCs w:val="32"/>
        </w:rPr>
        <w:t>分（注:本单位本次自评总分={</w:t>
      </w:r>
      <w:r>
        <w:rPr>
          <w:rFonts w:ascii="仿宋_GB2312" w:eastAsia="仿宋_GB2312" w:cs="仿宋"/>
          <w:color w:val="000000"/>
          <w:kern w:val="0"/>
          <w:sz w:val="32"/>
          <w:szCs w:val="32"/>
        </w:rPr>
        <w:t>82</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）}100=</w:t>
      </w:r>
      <w:r>
        <w:rPr>
          <w:rFonts w:ascii="仿宋_GB2312" w:eastAsia="仿宋_GB2312" w:cs="仿宋"/>
          <w:color w:val="000000"/>
          <w:kern w:val="0"/>
          <w:sz w:val="32"/>
          <w:szCs w:val="32"/>
          <w:lang w:val="en-US" w:eastAsia="zh-CN"/>
        </w:rPr>
        <w:t>91</w:t>
      </w:r>
      <w:r>
        <w:rPr>
          <w:rFonts w:ascii="仿宋_GB2312" w:eastAsia="仿宋_GB2312" w:cs="仿宋" w:hint="eastAsia"/>
          <w:color w:val="000000"/>
          <w:kern w:val="0"/>
          <w:sz w:val="32"/>
          <w:szCs w:val="32"/>
        </w:rPr>
        <w:t>分）。</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Chars="200" w:firstLine="640"/>
        <w:jc w:val="left"/>
        <w:textAlignment w:val="auto"/>
        <w:rPr>
          <w:lang w:val="en-US"/>
        </w:rPr>
      </w:pPr>
      <w:r>
        <w:rPr>
          <w:rFonts w:ascii="仿宋_GB2312" w:eastAsia="仿宋_GB2312" w:cs="仿宋_GB2312" w:hint="eastAsia"/>
          <w:kern w:val="2"/>
          <w:sz w:val="32"/>
          <w:szCs w:val="32"/>
          <w:lang w:val="zh-CN" w:eastAsia="zh-CN" w:bidi="ar-SA"/>
        </w:rPr>
        <w:t>我单位财务管理制度健全，执行制度严格合规，会计核算符合相关规定，资金专款专用，资金支付依据和开支标准合法合规，严格执行政府采购。</w:t>
      </w:r>
      <w:r>
        <w:rPr>
          <w:rFonts w:ascii="仿宋_GB2312" w:eastAsia="仿宋_GB2312" w:cs="仿宋_GB2312" w:hint="eastAsia"/>
          <w:kern w:val="2"/>
          <w:sz w:val="32"/>
          <w:szCs w:val="32"/>
          <w:lang w:val="en-US" w:eastAsia="zh-CN" w:bidi="ar-SA"/>
        </w:rPr>
        <w:t>在日常工作中，保证</w:t>
      </w:r>
      <w:r>
        <w:rPr>
          <w:rFonts w:ascii="仿宋_GB2312" w:eastAsia="仿宋_GB2312" w:cs="仿宋_GB2312"/>
          <w:kern w:val="2"/>
          <w:sz w:val="32"/>
          <w:szCs w:val="32"/>
          <w:lang w:val="en-US" w:eastAsia="zh-CN" w:bidi="ar-SA"/>
        </w:rPr>
        <w:t>工作</w:t>
      </w:r>
      <w:r>
        <w:rPr>
          <w:rFonts w:ascii="仿宋_GB2312" w:eastAsia="仿宋_GB2312" w:cs="仿宋_GB2312" w:hint="eastAsia"/>
          <w:kern w:val="2"/>
          <w:sz w:val="32"/>
          <w:szCs w:val="32"/>
          <w:lang w:val="en-US" w:eastAsia="zh-CN" w:bidi="ar-SA"/>
        </w:rPr>
        <w:t>渠道畅通，做好特殊时期的工作，提高群众的满意度，使得各项资金落实到位。</w:t>
      </w:r>
    </w:p>
    <w:p>
      <w:pPr>
        <w:spacing w:afterAutospacing="0" w:line="576" w:lineRule="exact"/>
        <w:ind w:firstLineChars="200" w:firstLine="640"/>
        <w:rPr>
          <w:rFonts w:ascii="黑体" w:eastAsia="黑体" w:cs="黑体" w:hint="eastAsia"/>
          <w:color w:val="333333"/>
          <w:spacing w:val="8"/>
          <w:sz w:val="32"/>
          <w:szCs w:val="32"/>
          <w:shd w:val="clear" w:color="auto" w:fill="FFFFFF"/>
        </w:rPr>
      </w:pPr>
      <w:r>
        <w:rPr>
          <w:rFonts w:ascii="黑体" w:eastAsia="黑体" w:cs="黑体" w:hint="eastAsia"/>
          <w:sz w:val="32"/>
          <w:szCs w:val="32"/>
        </w:rPr>
        <w:t>四、存在主要问题</w:t>
      </w:r>
    </w:p>
    <w:p>
      <w:pPr>
        <w:keepNext w:val="0"/>
        <w:keepLines w:val="0"/>
        <w:pageBreakBefore w:val="0"/>
        <w:widowControl/>
        <w:kinsoku/>
        <w:wordWrap/>
        <w:overflowPunct/>
        <w:topLinePunct w:val="0"/>
        <w:autoSpaceDE/>
        <w:autoSpaceDN/>
        <w:bidi w:val="0"/>
        <w:adjustRightInd w:val="0"/>
        <w:snapToGrid w:val="0"/>
        <w:spacing w:beforeLines="27" w:before="84" w:beforeAutospacing="0" w:afterLines="27" w:after="84" w:afterAutospacing="0" w:line="576" w:lineRule="exact"/>
        <w:ind w:firstLineChars="200" w:firstLine="640"/>
        <w:jc w:val="left"/>
        <w:textAlignment w:val="auto"/>
        <w:rPr>
          <w:rFonts w:ascii="仿宋_GB2312" w:eastAsia="仿宋_GB2312" w:cs="仿宋_GB2312" w:hint="eastAsia"/>
          <w:kern w:val="0"/>
          <w:sz w:val="32"/>
          <w:szCs w:val="32"/>
          <w:lang w:val="zh-CN" w:eastAsia="zh-CN" w:bidi="ar-SA"/>
        </w:rPr>
      </w:pPr>
      <w:r>
        <w:rPr>
          <w:rFonts w:ascii="仿宋_GB2312" w:eastAsia="仿宋_GB2312" w:cs="仿宋_GB2312" w:hint="eastAsia"/>
          <w:b/>
          <w:bCs/>
          <w:kern w:val="2"/>
          <w:sz w:val="32"/>
          <w:szCs w:val="32"/>
          <w:lang w:val="en-US" w:eastAsia="zh-CN" w:bidi="ar-SA"/>
        </w:rPr>
        <w:t>一</w:t>
      </w:r>
      <w:r>
        <w:rPr>
          <w:rFonts w:ascii="仿宋_GB2312" w:eastAsia="仿宋_GB2312" w:cs="仿宋_GB2312" w:hint="eastAsia"/>
          <w:b/>
          <w:bCs/>
          <w:kern w:val="0"/>
          <w:sz w:val="32"/>
          <w:szCs w:val="32"/>
          <w:lang w:val="en-US" w:eastAsia="zh-CN" w:bidi="ar-SA"/>
        </w:rPr>
        <w:t>是</w:t>
      </w:r>
      <w:r>
        <w:rPr>
          <w:rFonts w:ascii="仿宋_GB2312" w:eastAsia="仿宋_GB2312" w:cs="仿宋_GB2312" w:hint="eastAsia"/>
          <w:kern w:val="0"/>
          <w:sz w:val="32"/>
          <w:szCs w:val="32"/>
          <w:lang w:val="en-US" w:eastAsia="zh-CN" w:bidi="ar-SA"/>
        </w:rPr>
        <w:t>资金使用效益有待进一步提高。</w:t>
      </w:r>
      <w:r>
        <w:rPr>
          <w:rFonts w:ascii="仿宋_GB2312" w:eastAsia="仿宋_GB2312" w:cs="仿宋_GB2312" w:hint="eastAsia"/>
          <w:b/>
          <w:bCs/>
          <w:kern w:val="0"/>
          <w:sz w:val="32"/>
          <w:szCs w:val="32"/>
          <w:lang w:val="en-US" w:eastAsia="zh-CN" w:bidi="ar-SA"/>
        </w:rPr>
        <w:t>二是</w:t>
      </w:r>
      <w:r>
        <w:rPr>
          <w:rFonts w:ascii="仿宋_GB2312" w:eastAsia="仿宋_GB2312" w:cs="仿宋_GB2312" w:hint="eastAsia"/>
          <w:kern w:val="0"/>
          <w:sz w:val="32"/>
          <w:szCs w:val="32"/>
          <w:lang w:val="en-US" w:eastAsia="zh-CN" w:bidi="ar-SA"/>
        </w:rPr>
        <w:t>绩效目标设立不够明确、细化和量化。</w:t>
      </w:r>
      <w:r>
        <w:rPr>
          <w:rFonts w:ascii="仿宋_GB2312" w:eastAsia="仿宋_GB2312" w:cs="仿宋_GB2312" w:hint="eastAsia"/>
          <w:b/>
          <w:bCs/>
          <w:kern w:val="0"/>
          <w:sz w:val="32"/>
          <w:szCs w:val="32"/>
          <w:lang w:val="en-US" w:eastAsia="zh-CN" w:bidi="ar-SA"/>
        </w:rPr>
        <w:t>三是</w:t>
      </w:r>
      <w:r>
        <w:rPr>
          <w:rFonts w:ascii="仿宋_GB2312" w:eastAsia="仿宋_GB2312" w:cs="仿宋_GB2312" w:hint="eastAsia"/>
          <w:kern w:val="0"/>
          <w:sz w:val="32"/>
          <w:szCs w:val="32"/>
          <w:lang w:val="en-US" w:eastAsia="zh-CN" w:bidi="ar-SA"/>
        </w:rPr>
        <w:t>存在预算编制和执行偏差问题。</w:t>
      </w:r>
      <w:r>
        <w:rPr>
          <w:rFonts w:ascii="仿宋_GB2312" w:eastAsia="仿宋_GB2312" w:cs="仿宋_GB2312" w:hint="eastAsia"/>
          <w:kern w:val="0"/>
          <w:sz w:val="32"/>
          <w:szCs w:val="32"/>
          <w:lang w:val="zh-CN" w:eastAsia="zh-CN" w:bidi="ar-SA"/>
        </w:rPr>
        <w:t>预算编制还需进一步细化，需要加强内部控制制度的执行，</w:t>
      </w:r>
      <w:r>
        <w:rPr>
          <w:rFonts w:ascii="仿宋_GB2312" w:eastAsia="仿宋_GB2312" w:cs="仿宋_GB2312" w:hint="eastAsia"/>
          <w:kern w:val="0"/>
          <w:sz w:val="32"/>
          <w:szCs w:val="32"/>
          <w:lang w:val="en-US" w:eastAsia="zh-CN" w:bidi="ar-SA"/>
        </w:rPr>
        <w:t>编制预算时无法准确预计，必须由当年追加费用，因而造成预决算间存在差异。</w:t>
      </w:r>
    </w:p>
    <w:p>
      <w:pPr>
        <w:pStyle w:val="36"/>
        <w:spacing w:beforeAutospacing="0" w:line="576" w:lineRule="exact"/>
        <w:ind w:left="730" w:firstLineChars="0" w:firstLine="0"/>
        <w:jc w:val="left"/>
        <w:rPr>
          <w:rFonts w:ascii="黑体" w:eastAsia="黑体" w:cs="黑体" w:hint="eastAsia"/>
          <w:sz w:val="32"/>
          <w:szCs w:val="32"/>
        </w:rPr>
      </w:pPr>
      <w:r>
        <w:rPr>
          <w:rFonts w:ascii="黑体" w:eastAsia="黑体" w:cs="黑体" w:hint="eastAsia"/>
          <w:sz w:val="32"/>
          <w:szCs w:val="32"/>
        </w:rPr>
        <w:t>五、整改措施及建议</w:t>
      </w:r>
    </w:p>
    <w:p>
      <w:pPr>
        <w:pStyle w:val="24"/>
        <w:widowControl/>
        <w:shd w:val="clear" w:color="auto" w:fill="FFFFFF"/>
        <w:spacing w:beforeAutospacing="0" w:afterAutospacing="0" w:line="576" w:lineRule="exact"/>
        <w:ind w:firstLineChars="200" w:firstLine="640"/>
        <w:rPr>
          <w:rFonts w:ascii="仿宋_GB2312" w:eastAsia="仿宋_GB2312" w:cs="仿宋_GB2312" w:hint="eastAsia"/>
          <w:kern w:val="2"/>
          <w:sz w:val="32"/>
          <w:szCs w:val="32"/>
        </w:rPr>
      </w:pPr>
      <w:r>
        <w:rPr>
          <w:rFonts w:ascii="仿宋_GB2312" w:eastAsia="仿宋_GB2312" w:cs="仿宋_GB2312" w:hint="eastAsia"/>
          <w:b/>
          <w:bCs/>
          <w:kern w:val="2"/>
          <w:sz w:val="32"/>
          <w:szCs w:val="32"/>
        </w:rPr>
        <w:t>一是</w:t>
      </w:r>
      <w:r>
        <w:rPr>
          <w:rFonts w:ascii="仿宋_GB2312" w:eastAsia="仿宋_GB2312" w:cs="仿宋_GB2312" w:hint="eastAsia"/>
          <w:sz w:val="32"/>
          <w:szCs w:val="32"/>
          <w:lang w:val="zh-CN"/>
        </w:rPr>
        <w:t>遵循先有预算、后有支出的原则，加强财务管理和内部控制监督制度。严禁超预算和无预算安排支出，严格开支范围和标准，严格支出报销审核，不报销任何超范围、超标准的费用</w:t>
      </w:r>
      <w:r>
        <w:rPr>
          <w:rFonts w:ascii="仿宋_GB2312" w:cs="仿宋_GB2312" w:hAnsi="仿宋_GB2312" w:hint="eastAsia"/>
          <w:sz w:val="32"/>
          <w:szCs w:val="32"/>
          <w:lang w:val="zh-CN"/>
        </w:rPr>
        <w:t>，</w:t>
      </w:r>
      <w:r>
        <w:rPr>
          <w:rFonts w:ascii="仿宋_GB2312" w:eastAsia="仿宋_GB2312" w:cs="仿宋_GB2312" w:hint="eastAsia"/>
          <w:kern w:val="2"/>
          <w:sz w:val="32"/>
          <w:szCs w:val="32"/>
        </w:rPr>
        <w:t>并重视对财政资金的追踪问效，提高财政资金的使用效益。</w:t>
      </w:r>
      <w:r>
        <w:rPr>
          <w:rFonts w:ascii="仿宋_GB2312" w:eastAsia="仿宋_GB2312" w:cs="仿宋_GB2312" w:hint="eastAsia"/>
          <w:b/>
          <w:bCs/>
          <w:kern w:val="2"/>
          <w:sz w:val="32"/>
          <w:szCs w:val="32"/>
        </w:rPr>
        <w:t>二是</w:t>
      </w:r>
      <w:r>
        <w:rPr>
          <w:rFonts w:ascii="仿宋_GB2312" w:eastAsia="仿宋_GB2312" w:cs="仿宋_GB2312" w:hint="eastAsia"/>
          <w:sz w:val="32"/>
          <w:szCs w:val="32"/>
          <w:lang w:val="zh-CN"/>
        </w:rPr>
        <w:t>严格控制“三公”经费。认真贯彻落实中央、省委省政府和县委县政府相关规定，严格“三公”经费支出的审核和审批，合理压缩“三公”经费支出。</w:t>
      </w:r>
      <w:r>
        <w:rPr>
          <w:rFonts w:ascii="仿宋_GB2312" w:cs="仿宋_GB2312" w:hAnsi="仿宋_GB2312" w:hint="eastAsia"/>
          <w:b/>
          <w:bCs/>
          <w:kern w:val="2"/>
          <w:sz w:val="32"/>
          <w:szCs w:val="32"/>
          <w:lang w:val="en-US" w:eastAsia="zh-CN"/>
        </w:rPr>
        <w:t>三</w:t>
      </w:r>
      <w:r>
        <w:rPr>
          <w:rFonts w:ascii="仿宋_GB2312" w:eastAsia="仿宋_GB2312" w:cs="仿宋_GB2312" w:hint="eastAsia"/>
          <w:b/>
          <w:bCs/>
          <w:kern w:val="2"/>
          <w:sz w:val="32"/>
          <w:szCs w:val="32"/>
        </w:rPr>
        <w:t>是</w:t>
      </w:r>
      <w:r>
        <w:rPr>
          <w:rFonts w:ascii="仿宋_GB2312" w:eastAsia="仿宋_GB2312" w:cs="仿宋_GB2312" w:hint="eastAsia"/>
          <w:kern w:val="2"/>
          <w:sz w:val="32"/>
          <w:szCs w:val="32"/>
        </w:rPr>
        <w:t>进一步规范绩效目标编制。在编制项目资金绩效目标时要求指向明确、细化量化、合理可行、相应匹配。</w:t>
      </w:r>
    </w:p>
    <w:p>
      <w:pPr>
        <w:pStyle w:val="27"/>
        <w:spacing w:line="560" w:lineRule="exact"/>
        <w:ind w:firstLineChars="200" w:firstLine="640"/>
        <w:rPr>
          <w:rFonts w:ascii="仿宋_GB2312" w:eastAsia="仿宋_GB2312" w:hint="eastAsia"/>
          <w:sz w:val="32"/>
          <w:szCs w:val="32"/>
        </w:rPr>
      </w:pPr>
    </w:p>
    <w:p>
      <w:pPr>
        <w:spacing w:line="600" w:lineRule="exact"/>
        <w:ind w:firstLineChars="600" w:firstLine="2640"/>
        <w:outlineLvl w:val="0"/>
        <w:rPr>
          <w:rStyle w:val="1Char"/>
          <w:rFonts w:ascii="黑体" w:eastAsia="黑体"/>
          <w:b w:val="0"/>
        </w:rPr>
      </w:pPr>
      <w:bookmarkStart w:id="52" w:name="_Toc994"/>
      <w:r>
        <w:rPr>
          <w:rFonts w:ascii="黑体" w:eastAsia="黑体" w:hint="eastAsia"/>
          <w:color w:val="000000"/>
          <w:sz w:val="44"/>
          <w:szCs w:val="44"/>
        </w:rPr>
        <w:t>第</w:t>
      </w:r>
      <w:r>
        <w:rPr>
          <w:rStyle w:val="1Char"/>
          <w:rFonts w:ascii="黑体" w:eastAsia="黑体" w:hint="eastAsia"/>
          <w:b w:val="0"/>
        </w:rPr>
        <w:t>五部分 附表</w:t>
      </w:r>
      <w:bookmarkEnd w:id="52"/>
    </w:p>
    <w:p>
      <w:pPr>
        <w:pStyle w:val="2"/>
        <w:rPr>
          <w:rFonts w:ascii="仿宋" w:eastAsia="仿宋"/>
          <w:color w:val="000000"/>
        </w:rPr>
      </w:pPr>
      <w:bookmarkStart w:id="53" w:name="_Toc12803"/>
      <w:r>
        <w:rPr>
          <w:rFonts w:ascii="仿宋" w:eastAsia="仿宋" w:hint="eastAsia"/>
          <w:b w:val="0"/>
          <w:color w:val="000000"/>
        </w:rPr>
        <w:t>一、收</w:t>
      </w:r>
      <w:r>
        <w:rPr>
          <w:rStyle w:val="2Char"/>
          <w:rFonts w:ascii="仿宋" w:eastAsia="仿宋" w:hint="eastAsia"/>
          <w:b w:val="0"/>
          <w:bCs w:val="0"/>
        </w:rPr>
        <w:t>入支出决算总表</w:t>
      </w:r>
      <w:bookmarkEnd w:id="53"/>
    </w:p>
    <w:p>
      <w:pPr>
        <w:pStyle w:val="2"/>
        <w:rPr>
          <w:rFonts w:ascii="仿宋" w:eastAsia="仿宋"/>
          <w:color w:val="000000"/>
        </w:rPr>
      </w:pPr>
      <w:bookmarkStart w:id="54" w:name="_Toc5174"/>
      <w:r>
        <w:rPr>
          <w:rFonts w:ascii="仿宋" w:eastAsia="仿宋" w:hint="eastAsia"/>
          <w:b w:val="0"/>
          <w:color w:val="000000"/>
        </w:rPr>
        <w:t>二、收</w:t>
      </w:r>
      <w:r>
        <w:rPr>
          <w:rStyle w:val="2Char"/>
          <w:rFonts w:ascii="仿宋" w:eastAsia="仿宋" w:hint="eastAsia"/>
          <w:b w:val="0"/>
          <w:bCs w:val="0"/>
        </w:rPr>
        <w:t>入总表</w:t>
      </w:r>
      <w:bookmarkEnd w:id="54"/>
    </w:p>
    <w:p>
      <w:pPr>
        <w:pStyle w:val="2"/>
        <w:rPr>
          <w:rFonts w:ascii="仿宋" w:eastAsia="仿宋"/>
          <w:color w:val="000000"/>
        </w:rPr>
      </w:pPr>
      <w:bookmarkStart w:id="55" w:name="_Toc1671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55"/>
    </w:p>
    <w:p>
      <w:pPr>
        <w:pStyle w:val="2"/>
        <w:rPr>
          <w:rFonts w:ascii="仿宋" w:eastAsia="仿宋"/>
          <w:b w:val="0"/>
          <w:color w:val="000000"/>
        </w:rPr>
      </w:pPr>
      <w:bookmarkStart w:id="56" w:name="_Toc13000"/>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56"/>
    </w:p>
    <w:p>
      <w:pPr>
        <w:pStyle w:val="2"/>
        <w:rPr>
          <w:rFonts w:ascii="仿宋" w:eastAsia="仿宋"/>
          <w:color w:val="000000"/>
        </w:rPr>
      </w:pPr>
      <w:bookmarkStart w:id="57" w:name="_Toc22808"/>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57"/>
    </w:p>
    <w:p>
      <w:pPr>
        <w:pStyle w:val="2"/>
        <w:rPr>
          <w:rFonts w:ascii="仿宋" w:eastAsia="仿宋"/>
          <w:color w:val="000000"/>
        </w:rPr>
      </w:pPr>
      <w:bookmarkStart w:id="58" w:name="_Toc1759"/>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58"/>
    </w:p>
    <w:p>
      <w:pPr>
        <w:pStyle w:val="2"/>
        <w:rPr>
          <w:rFonts w:ascii="仿宋" w:eastAsia="仿宋"/>
          <w:color w:val="000000"/>
        </w:rPr>
      </w:pPr>
      <w:bookmarkStart w:id="59" w:name="_Toc1019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59"/>
    </w:p>
    <w:p>
      <w:pPr>
        <w:pStyle w:val="2"/>
        <w:rPr>
          <w:rFonts w:ascii="仿宋" w:eastAsia="仿宋"/>
          <w:color w:val="000000"/>
        </w:rPr>
      </w:pPr>
      <w:bookmarkStart w:id="60" w:name="_Toc24785"/>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60"/>
    </w:p>
    <w:p>
      <w:pPr>
        <w:pStyle w:val="2"/>
        <w:rPr>
          <w:rFonts w:ascii="仿宋" w:eastAsia="仿宋"/>
          <w:color w:val="000000"/>
        </w:rPr>
      </w:pPr>
      <w:bookmarkStart w:id="61" w:name="_Toc21045"/>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61"/>
    </w:p>
    <w:p>
      <w:pPr>
        <w:pStyle w:val="2"/>
        <w:rPr>
          <w:rFonts w:ascii="仿宋" w:eastAsia="仿宋"/>
          <w:color w:val="000000"/>
        </w:rPr>
      </w:pPr>
      <w:bookmarkStart w:id="62" w:name="_Toc6430"/>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62"/>
    </w:p>
    <w:p>
      <w:pPr>
        <w:pStyle w:val="2"/>
        <w:rPr>
          <w:rFonts w:ascii="仿宋" w:eastAsia="仿宋"/>
          <w:color w:val="000000"/>
        </w:rPr>
      </w:pPr>
      <w:bookmarkStart w:id="63" w:name="_Toc25237"/>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63"/>
    </w:p>
    <w:p>
      <w:pPr>
        <w:pStyle w:val="2"/>
        <w:rPr>
          <w:rFonts w:ascii="仿宋" w:eastAsia="仿宋"/>
          <w:color w:val="000000"/>
        </w:rPr>
      </w:pPr>
      <w:bookmarkStart w:id="64" w:name="_Toc15396630"/>
      <w:bookmarkStart w:id="65" w:name="_Toc7502"/>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64"/>
      <w:bookmarkEnd w:id="65"/>
    </w:p>
    <w:p>
      <w:pPr>
        <w:pStyle w:val="2"/>
        <w:rPr>
          <w:rFonts w:ascii="仿宋" w:eastAsia="仿宋"/>
          <w:color w:val="000000"/>
        </w:rPr>
      </w:pPr>
      <w:bookmarkStart w:id="66" w:name="_Toc4792"/>
      <w:bookmarkStart w:id="67"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财政拨款收入</w:t>
      </w:r>
      <w:r>
        <w:rPr>
          <w:rStyle w:val="2Char"/>
          <w:rFonts w:ascii="仿宋" w:eastAsia="仿宋" w:hint="eastAsia"/>
          <w:b w:val="0"/>
          <w:bCs w:val="0"/>
        </w:rPr>
        <w:t>支出决算表</w:t>
      </w:r>
      <w:bookmarkEnd w:id="66"/>
      <w:bookmarkEnd w:id="67"/>
    </w:p>
    <w:p>
      <w:pPr>
        <w:pStyle w:val="2"/>
        <w:rPr>
          <w:rFonts w:ascii="仿宋" w:eastAsia="仿宋"/>
          <w:color w:val="000000"/>
        </w:rPr>
      </w:pPr>
      <w:r>
        <w:rPr>
          <w:rStyle w:val="2Char"/>
          <w:rFonts w:ascii="仿宋" w:eastAsia="仿宋" w:hint="eastAsia"/>
          <w:b w:val="0"/>
          <w:bCs w:val="0"/>
        </w:rPr>
        <w:t>十</w:t>
      </w:r>
      <w:r>
        <w:rPr>
          <w:rStyle w:val="2Char"/>
          <w:rFonts w:ascii="仿宋" w:eastAsia="仿宋"/>
          <w:b w:val="0"/>
          <w:bCs w:val="0"/>
        </w:rPr>
        <w:t>四</w:t>
      </w:r>
      <w:r>
        <w:rPr>
          <w:rStyle w:val="2Char"/>
          <w:rFonts w:ascii="仿宋" w:eastAsia="仿宋" w:hint="eastAsia"/>
          <w:b w:val="0"/>
          <w:bCs w:val="0"/>
        </w:rPr>
        <w:t>、</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w:t>
      </w:r>
      <w:r>
        <w:rPr>
          <w:rStyle w:val="2Char"/>
          <w:rFonts w:ascii="仿宋" w:eastAsia="仿宋" w:hint="eastAsia"/>
          <w:b w:val="0"/>
          <w:bCs w:val="0"/>
        </w:rPr>
        <w:t>支出决算表</w:t>
      </w:r>
    </w:p>
    <w:p>
      <w:pPr>
        <w:pStyle w:val="2"/>
        <w:rPr>
          <w:rFonts w:ascii="仿宋" w:eastAsia="仿宋"/>
          <w:color w:val="000000"/>
        </w:rPr>
      </w:pPr>
    </w:p>
    <w:p>
      <w:pPr>
        <w:pStyle w:val="27"/>
        <w:spacing w:line="560" w:lineRule="exact"/>
        <w:ind w:firstLineChars="200" w:firstLine="640"/>
        <w:rPr>
          <w:rFonts w:ascii="仿宋_GB2312" w:eastAsia="仿宋_GB2312"/>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3000509000000000000"/>
    <w:charset w:val="86"/>
    <w:family w:val="script"/>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方正仿宋_GBK">
    <w:altName w:val="微软雅黑"/>
    <w:panose1 w:val="00000000000000000000"/>
    <w:charset w:val="86"/>
    <w:family w:val="auto"/>
    <w:pitch w:val="variable"/>
    <w:sig w:usb0="00000000" w:usb1="0000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
    <w:altName w:val="Segoe Print"/>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0546482"/>
      <w:docPartList>
        <w:docPartGallery w:val="Quick Parts"/>
      </w:docPartList>
    </w:sdtPr>
    <w:sdtContent>
      <w:p>
        <w:pPr>
          <w:pStyle w:val="20"/>
          <w:tabs>
            <w:tab w:val="center" w:pos="4153"/>
            <w:tab w:val="right" w:pos="8306"/>
          </w:tabs>
          <w:jc w:val="center"/>
        </w:pPr>
        <w:r>
          <w:fldChar w:fldCharType="begin"/>
        </w:r>
        <w:r>
          <w:instrText>PAGE   \* MERGEFORMAT</w:instrText>
        </w:r>
        <w:r>
          <w:fldChar w:fldCharType="separate"/>
        </w:r>
        <w:r>
          <w:rPr>
            <w:lang w:val="zh-CN"/>
          </w:rPr>
          <w:t>3</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4FED152"/>
    <w:multiLevelType w:val="singleLevel"/>
    <w:tmpl w:val="04FED152"/>
    <w:lvl w:ilvl="0">
      <w:start w:val="1"/>
      <w:numFmt w:val="chineseCounting"/>
      <w:lvlRestart w:val="0"/>
      <w:suff w:val="space"/>
      <w:lvlText w:val="第%1部分"/>
      <w:lvlJc w:val="left"/>
      <w:pPr>
        <w:ind w:left="0" w:hanging="0"/>
      </w:pPr>
      <w:rPr>
        <w:rFonts w:hint="eastAsia"/>
      </w:rPr>
    </w:lvl>
  </w:abstractNum>
  <w:abstractNum w:abstractNumId="1">
    <w:nsid w:val="A91603D3"/>
    <w:multiLevelType w:val="singleLevel"/>
    <w:tmpl w:val="A91603D3"/>
    <w:lvl w:ilvl="0">
      <w:start w:val="1"/>
      <w:numFmt w:val="chineseCounting"/>
      <w:lvlRestart w:val="0"/>
      <w:suff w:val="nothing"/>
      <w:lvlText w:val="%1、"/>
      <w:lvlJc w:val="left"/>
      <w:pPr>
        <w:ind w:left="0" w:hanging="0"/>
      </w:pPr>
      <w:rPr>
        <w:rFonts w:hint="eastAsia"/>
      </w:rPr>
    </w:lvl>
  </w:abstractNum>
  <w:abstractNum w:abstractNumId="2">
    <w:nsid w:val="78D72DD4"/>
    <w:multiLevelType w:val="singleLevel"/>
    <w:tmpl w:val="78D72DD4"/>
    <w:lvl w:ilvl="0">
      <w:start w:val="3"/>
      <w:numFmt w:val="decimal"/>
      <w:lvlRestart w:val="0"/>
      <w:lvlText w:val="%1."/>
      <w:lvlJc w:val="left"/>
      <w:pPr>
        <w:ind w:left="0" w:hanging="0"/>
      </w:pPr>
    </w:lvl>
  </w:abstractNum>
  <w:abstractNum w:abstractNumId="3">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D6C24F1F"/>
    <w:multiLevelType w:val="multilevel"/>
    <w:tmpl w:val="D6C24F1F"/>
    <w:lvl w:ilvl="0">
      <w:start w:val="1"/>
      <w:numFmt w:val="chineseCountingThousand"/>
      <w:lvlRestart w:val="0"/>
      <w:lvlText w:val="（%1）"/>
      <w:lvlJc w:val="left"/>
      <w:pPr>
        <w:ind w:left="1609" w:hanging="969"/>
      </w:pPr>
      <w:rPr>
        <w:rFonts w:ascii="仿宋" w:hAnsi="仿宋" w:eastAsia="仿宋" w:hint="default"/>
        <w:b/>
        <w:i w:val="0"/>
        <w:color w:val="000000"/>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7">
    <w:nsid w:val="1540C536"/>
    <w:multiLevelType w:val="singleLevel"/>
    <w:tmpl w:val="1540C536"/>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7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Dk3YmE2ZTQ5OWE3ZjIwNTE2YjZiMmJjODlkMGU4OT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100" w:beforeAutospacing="1" w:after="100" w:afterAutospacing="1"/>
      <w:ind w:leftChars="200" w:left="400" w:hangingChars="200" w:hanging="200"/>
    </w:pPr>
  </w:style>
  <w:style w:type="paragraph" w:styleId="16">
    <w:name w:val="Salutation"/>
    <w:basedOn w:val="0"/>
    <w:next w:val="0"/>
    <w:rPr>
      <w:rFonts w:eastAsia="仿宋_GB2312"/>
      <w:sz w:val="32"/>
    </w:r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b/>
    </w:rPr>
  </w:style>
  <w:style w:type="character" w:styleId="26">
    <w:name w:val="Hyperlink"/>
    <w:basedOn w:val="10"/>
    <w:rPr>
      <w:color w:val="0000FF"/>
      <w:u w:val="single"/>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图表目录11"/>
    <w:basedOn w:val="0"/>
    <w:next w:val="0"/>
    <w:pPr>
      <w:spacing w:beforeAutospacing="1" w:afterAutospacing="1"/>
      <w:ind w:leftChars="200" w:left="400" w:hangingChars="200" w:hanging="200"/>
    </w:p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 w:type="paragraph" w:customStyle="1" w:styleId="35">
    <w:name w:val="四号正文"/>
    <w:basedOn w:val="0"/>
    <w:pPr>
      <w:spacing w:line="360" w:lineRule="auto"/>
    </w:pPr>
    <w:rPr>
      <w:rFonts w:ascii="??" w:hAnsi="??"/>
      <w:color w:val="000000"/>
      <w:kern w:val="0"/>
      <w:sz w:val="28"/>
      <w:szCs w:val="21"/>
      <w:lang w:val="zh-CN"/>
    </w:rPr>
  </w:style>
  <w:style w:type="paragraph" w:customStyle="1" w:styleId="36">
    <w:name w:val="列出段落1"/>
    <w:basedOn w:val="0"/>
    <w:pPr>
      <w:ind w:firstLineChars="200" w:firstLine="200"/>
    </w:pPr>
  </w:style>
  <w:style w:type="character" w:customStyle="1" w:styleId="37">
    <w:name w:val="NormalCharacter"/>
    <w:rPr>
      <w:rFonts w:ascii="Calibri" w:eastAsia="宋体" w:cs="Times New Roman"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0" b="0" i="0" u="none" strike="noStrike" baseline="0">
                <a:solidFill>
                  <a:srgbClr val="595959"/>
                </a:solidFill>
                <a:latin typeface="仿宋"/>
                <a:ea typeface="仿宋"/>
                <a:cs typeface="Arial"/>
              </a:defRPr>
            </a:pPr>
            <a:r>
              <a:rPr lang="zh-CN"/>
              <a:t>收、支决算结构图</a:t>
            </a:r>
          </a:p>
        </c:rich>
      </c:tx>
      <c:layout/>
      <c:overlay val="0"/>
      <c:spPr>
        <a:noFill/>
        <a:ln>
          <a:noFill/>
        </a:ln>
      </c:spPr>
    </c:title>
    <c:autoTitleDeleted val="1"/>
    <c:plotArea>
      <c:layout>
        <c:manualLayout>
          <c:layoutTarget val="inner"/>
          <c:xMode val="edge"/>
          <c:yMode val="edge"/>
          <c:x val="0.07131886"/>
          <c:y val="0.19295992"/>
          <c:w val="0.8995498"/>
          <c:h val="0.56356627"/>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spPr>
                <a:noFill/>
                <a:ln>
                  <a:noFill/>
                </a:ln>
              </c:spPr>
              <c:txPr>
                <a:bodyPr vert="horz"/>
                <a:lstStyle/>
                <a:p>
                  <a:pPr>
                    <a:defRPr sz="1200" b="0" i="0" u="none" strike="noStrike" baseline="0">
                      <a:solidFill>
                        <a:srgbClr val="000000"/>
                      </a:solidFill>
                      <a:latin typeface="仿宋"/>
                      <a:ea typeface="仿宋"/>
                      <a:cs typeface="Arial"/>
                    </a:defRPr>
                  </a:pPr>
                  <a:endParaRPr lang="zh-CN"/>
                </a:p>
              </c:txPr>
              <c:dLblPos val="outEnd"/>
              <c:delete val="1"/>
            </c:dLbl>
            <c:dLbl>
              <c:idx val="1"/>
              <c:spPr>
                <a:noFill/>
                <a:ln>
                  <a:noFill/>
                </a:ln>
              </c:spPr>
              <c:txPr>
                <a:bodyPr vert="horz"/>
                <a:lstStyle/>
                <a:p>
                  <a:pPr>
                    <a:defRPr sz="1200" b="0" i="0" u="none" strike="noStrike" baseline="0">
                      <a:solidFill>
                        <a:srgbClr val="000000"/>
                      </a:solidFill>
                      <a:latin typeface="仿宋"/>
                      <a:ea typeface="仿宋"/>
                      <a:cs typeface="Arial"/>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pt idx="0">
                  <c:v>2020</c:v>
                </c:pt>
                <c:pt idx="1">
                  <c:v>2021</c:v>
                </c:pt>
              </c:numCache>
            </c:numRef>
          </c:cat>
          <c:val>
            <c:numRef>
              <c:f>'Sheet1'!$B$2:$B$3</c:f>
              <c:numCache>
                <c:formatCode>General</c:formatCode>
                <c:ptCount val="2"/>
                <c:pt idx="0">
                  <c:v>398.408684</c:v>
                </c:pt>
                <c:pt idx="1">
                  <c:v>250.601675</c:v>
                </c:pt>
              </c:numCache>
            </c:numRef>
          </c:val>
        </c:ser>
        <c:ser>
          <c:idx val="1"/>
          <c:order val="1"/>
          <c:tx>
            <c:strRef>
              <c:f>'Sheet1'!$C$1</c:f>
              <c:strCache>
                <c:ptCount val="1"/>
                <c:pt idx="0">
                  <c:v>总支出</c:v>
                </c:pt>
              </c:strCache>
            </c:strRef>
          </c:tx>
          <c:spPr>
            <a:solidFill>
              <a:srgbClr val="C0504D"/>
            </a:solidFill>
            <a:ln>
              <a:noFill/>
            </a:ln>
          </c:spPr>
          <c:invertIfNegative val="0"/>
          <c:dLbls>
            <c:dLbl>
              <c:idx val="0"/>
              <c:spPr>
                <a:noFill/>
                <a:ln>
                  <a:noFill/>
                </a:ln>
              </c:spPr>
              <c:txPr>
                <a:bodyPr vert="horz"/>
                <a:lstStyle/>
                <a:p>
                  <a:pPr>
                    <a:defRPr sz="1200" b="0" i="0" u="none" strike="noStrike" baseline="0">
                      <a:solidFill>
                        <a:srgbClr val="000000"/>
                      </a:solidFill>
                      <a:latin typeface="仿宋"/>
                      <a:ea typeface="仿宋"/>
                      <a:cs typeface="Arial"/>
                    </a:defRPr>
                  </a:pPr>
                  <a:endParaRPr lang="zh-CN"/>
                </a:p>
              </c:txPr>
              <c:dLblPos val="outEnd"/>
              <c:delete val="1"/>
            </c:dLbl>
            <c:dLbl>
              <c:idx val="1"/>
              <c:spPr>
                <a:noFill/>
                <a:ln>
                  <a:noFill/>
                </a:ln>
              </c:spPr>
              <c:txPr>
                <a:bodyPr vert="horz"/>
                <a:lstStyle/>
                <a:p>
                  <a:pPr>
                    <a:defRPr sz="1200" b="0" i="0" u="none" strike="noStrike" baseline="0">
                      <a:solidFill>
                        <a:srgbClr val="000000"/>
                      </a:solidFill>
                      <a:latin typeface="仿宋"/>
                      <a:ea typeface="仿宋"/>
                      <a:cs typeface="Arial"/>
                    </a:defRPr>
                  </a:pPr>
                  <a:endParaRPr lang="zh-CN"/>
                </a:p>
              </c:txPr>
              <c:dLblPos val="outEnd"/>
              <c:delete val="1"/>
            </c:dLbl>
            <c:dLblPos val="outEnd"/>
            <c:showLegendKey val="0"/>
            <c:showVal val="0"/>
            <c:showCatName val="0"/>
            <c:showSerName val="0"/>
            <c:showPercent val="0"/>
            <c:showBubbleSize val="0"/>
            <c:showLeaderLines val="0"/>
          </c:dLbls>
          <c:cat>
            <c:numRef>
              <c:f>'Sheet1'!$A$2:$A$3</c:f>
              <c:numCache>
                <c:ptCount val="2"/>
                <c:pt idx="0">
                  <c:v>2020</c:v>
                </c:pt>
                <c:pt idx="1">
                  <c:v>2021</c:v>
                </c:pt>
              </c:numCache>
            </c:numRef>
          </c:cat>
          <c:val>
            <c:numRef>
              <c:f>'Sheet1'!$C$2:$C$3</c:f>
              <c:numCache>
                <c:formatCode>General</c:formatCode>
                <c:ptCount val="2"/>
                <c:pt idx="0">
                  <c:v>398.408684</c:v>
                </c:pt>
                <c:pt idx="1">
                  <c:v>250.601675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1200" b="0" i="0" u="none" strike="noStrike" baseline="0">
                <a:solidFill>
                  <a:srgbClr val="595959"/>
                </a:solidFill>
                <a:latin typeface="仿宋"/>
                <a:ea typeface="仿宋"/>
                <a:cs typeface="Arial"/>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1200" b="0" i="0" u="none" strike="noStrike" baseline="0">
                <a:solidFill>
                  <a:srgbClr val="595959"/>
                </a:solidFill>
                <a:latin typeface="仿宋"/>
                <a:ea typeface="仿宋"/>
                <a:cs typeface="Arial"/>
              </a:defRPr>
            </a:pPr>
            <a:endParaRPr lang="zh-CN"/>
          </a:p>
        </c:txPr>
        <c:crossesAt val="1.0"/>
        <c:crossBetween val="between"/>
        <c:majorUnit val="500.0"/>
        <c:minorUnit val="100.0"/>
        <c:crossAx val="0"/>
      </c:valAx>
      <c:spPr>
        <a:noFill/>
        <a:ln>
          <a:noFill/>
        </a:ln>
      </c:spPr>
    </c:plotArea>
    <c:legend>
      <c:legendPos val="b"/>
      <c:layout/>
      <c:overlay val="0"/>
      <c:spPr>
        <a:noFill/>
        <a:ln>
          <a:noFill/>
        </a:ln>
      </c:spPr>
      <c:txPr>
        <a:bodyPr/>
        <a:lstStyle/>
        <a:p>
          <a:pPr>
            <a:defRPr sz="1200" b="0" i="0" u="none" strike="noStrike" baseline="0">
              <a:solidFill>
                <a:srgbClr val="595959"/>
              </a:solidFill>
              <a:latin typeface="仿宋"/>
              <a:ea typeface="仿宋"/>
              <a:cs typeface="Arial"/>
            </a:defRPr>
          </a:pPr>
          <a:endParaRPr lang="zh-CN"/>
        </a:p>
      </c:txPr>
      <c:legendEntry>
        <c:idx val="0"/>
        <c:txPr>
          <a:bodyPr/>
          <a:lstStyle/>
          <a:p>
            <a:pPr>
              <a:defRPr sz="1200" b="0" i="0" u="none" strike="noStrike" baseline="0">
                <a:solidFill>
                  <a:srgbClr val="595959"/>
                </a:solidFill>
                <a:latin typeface="仿宋"/>
                <a:ea typeface="仿宋"/>
                <a:cs typeface="Arial"/>
              </a:defRPr>
            </a:pPr>
            <a:endParaRPr lang="zh-CN"/>
          </a:p>
        </c:txPr>
      </c:legendEntry>
      <c:legendEntry>
        <c:idx val="1"/>
        <c:txPr>
          <a:bodyPr/>
          <a:lstStyle/>
          <a:p>
            <a:pPr>
              <a:defRPr sz="1200" b="0" i="0" u="none" strike="noStrike" baseline="0">
                <a:solidFill>
                  <a:srgbClr val="595959"/>
                </a:solidFill>
                <a:latin typeface="仿宋"/>
                <a:ea typeface="仿宋"/>
                <a:cs typeface="Arial"/>
              </a:defRPr>
            </a:pPr>
            <a:endParaRPr lang="zh-CN"/>
          </a:p>
        </c:txPr>
      </c:legendEntry>
    </c:legend>
    <c:plotVisOnly val="1"/>
    <c:dispBlanksAs val="gap"/>
    <c:showDLblsOverMax val="0"/>
  </c:chart>
  <c:spPr>
    <a:solidFill>
      <a:srgbClr val="FFFFFF"/>
    </a:solidFill>
    <a:ln w="6350">
      <a:solidFill>
        <a:srgbClr val="D9D9D9"/>
      </a:solidFill>
      <a:prstDash val="solid"/>
    </a:ln>
  </c:spPr>
  <c:txPr>
    <a:bodyPr/>
    <a:lstStyle/>
    <a:p>
      <a:pPr>
        <a:defRPr sz="1200" b="0" i="0" u="none" strike="noStrike" baseline="0">
          <a:solidFill>
            <a:srgbClr val="000000"/>
          </a:solidFill>
          <a:latin typeface="仿宋"/>
          <a:ea typeface="仿宋"/>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收入决算结构图</a:t>
            </a:r>
          </a:p>
        </c:rich>
      </c:tx>
      <c:layout/>
      <c:overlay val="0"/>
      <c:spPr>
        <a:noFill/>
        <a:ln>
          <a:noFill/>
        </a:ln>
      </c:spPr>
    </c:title>
    <c:autoTitleDeleted val="1"/>
    <c:plotArea>
      <c:layout>
        <c:manualLayout>
          <c:layoutTarget val="inner"/>
          <c:xMode val="edge"/>
          <c:yMode val="edge"/>
          <c:x val="0.2174375"/>
          <c:y val="0.12516667"/>
          <c:w val="0.570625"/>
          <c:h val="0.7608333"/>
        </c:manualLayout>
      </c:layout>
      <c:pieChart>
        <c:varyColors val="1"/>
        <c:ser>
          <c:idx val="0"/>
          <c:order val="0"/>
          <c:tx>
            <c:strRef>
              <c:f>'Sheet1 (2)'!$B$1</c:f>
              <c:strCache>
                <c:ptCount val="1"/>
                <c:pt idx="0">
                  <c:v>销售额</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250.601675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支出决算结构图</a:t>
            </a:r>
          </a:p>
        </c:rich>
      </c:tx>
      <c:layout/>
      <c:overlay val="0"/>
      <c:spPr>
        <a:noFill/>
        <a:ln>
          <a:noFill/>
        </a:ln>
      </c:spPr>
    </c:title>
    <c:autoTitleDeleted val="1"/>
    <c:plotArea>
      <c:layout>
        <c:manualLayout>
          <c:layoutTarget val="inner"/>
          <c:xMode val="edge"/>
          <c:yMode val="edge"/>
          <c:x val="0.3459355"/>
          <c:y val="0.26042378"/>
          <c:w val="0.31380644"/>
          <c:h val="0.41558442"/>
        </c:manualLayout>
      </c:layout>
      <c:pieChart>
        <c:varyColors val="1"/>
        <c:ser>
          <c:idx val="0"/>
          <c:order val="0"/>
          <c:tx>
            <c:strRef>
              <c:f>'Sheet1 (3)'!$B$1</c:f>
              <c:strCache>
                <c:ptCount val="1"/>
                <c:pt idx="0">
                  <c:v>销售额</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250.301675</c:v>
                </c:pt>
                <c:pt idx="1">
                  <c:v>0.0</c:v>
                </c:pt>
              </c:numCache>
            </c:numRef>
          </c:val>
        </c:ser>
        <c:firstSliceAng val="0"/>
      </c:pieChart>
      <c:spPr>
        <a:noFill/>
        <a:ln>
          <a:noFill/>
        </a:ln>
      </c:spPr>
    </c:plotArea>
    <c:legend>
      <c:legendPos val="b"/>
      <c:layout>
        <c:manualLayout>
          <c:xMode val="edge"/>
          <c:yMode val="edge"/>
          <c:x val="0.24593548"/>
          <c:y val="0.84894055"/>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2020年</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一般公共预算财政拨款收入</c:v>
                </c:pt>
                <c:pt idx="1">
                  <c:v>一般公共预算财政拨款支出</c:v>
                </c:pt>
              </c:strCache>
            </c:strRef>
          </c:cat>
          <c:val>
            <c:numRef>
              <c:f>'Sheet1 (4)'!$B$2:$B$3</c:f>
              <c:numCache>
                <c:formatCode>General</c:formatCode>
                <c:ptCount val="2"/>
                <c:pt idx="0">
                  <c:v>398.408684</c:v>
                </c:pt>
                <c:pt idx="1">
                  <c:v>398.408684</c:v>
                </c:pt>
              </c:numCache>
            </c:numRef>
          </c:val>
        </c:ser>
        <c:ser>
          <c:idx val="1"/>
          <c:order val="1"/>
          <c:tx>
            <c:strRef>
              <c:f>'Sheet1 (4)'!$C$1</c:f>
              <c:strCache>
                <c:ptCount val="1"/>
                <c:pt idx="0">
                  <c:v>2021年</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一般公共预算财政拨款收入</c:v>
                </c:pt>
                <c:pt idx="1">
                  <c:v>一般公共预算财政拨款支出</c:v>
                </c:pt>
              </c:strCache>
            </c:strRef>
          </c:cat>
          <c:val>
            <c:numRef>
              <c:f>'Sheet1 (4)'!$C$2:$C$3</c:f>
              <c:numCache>
                <c:formatCode>General</c:formatCode>
                <c:ptCount val="2"/>
                <c:pt idx="0">
                  <c:v>250.601075</c:v>
                </c:pt>
                <c:pt idx="1">
                  <c:v>250.601675</c:v>
                </c:pt>
              </c:numCache>
            </c:numRef>
          </c:val>
        </c:ser>
        <c:ser>
          <c:idx val="2"/>
          <c:order val="2"/>
          <c:spPr>
            <a:solidFill>
              <a:srgbClr val="9BBB59"/>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一般公共预算财政拨款收入</c:v>
                </c:pt>
                <c:pt idx="1">
                  <c:v>一般公共预算财政拨款支出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majorUnit val="500.0"/>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2020年</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 (5)'!$A$2</c:f>
              <c:strCache>
                <c:ptCount val="1"/>
                <c:pt idx="0">
                  <c:v>一般公共预算财政拨款支出决算变动情况</c:v>
                </c:pt>
              </c:strCache>
            </c:strRef>
          </c:cat>
          <c:val>
            <c:numRef>
              <c:f>Sheet1 (5)!$B$2</c:f>
              <c:numCache>
                <c:formatCode>General</c:formatCode>
                <c:ptCount val="1"/>
                <c:pt idx="0">
                  <c:v>398.408684</c:v>
                </c:pt>
              </c:numCache>
            </c:numRef>
          </c:val>
        </c:ser>
        <c:ser>
          <c:idx val="1"/>
          <c:order val="1"/>
          <c:tx>
            <c:strRef>
              <c:f>'Sheet1 (5)'!$C$1</c:f>
              <c:strCache>
                <c:ptCount val="1"/>
                <c:pt idx="0">
                  <c:v>2021年</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 (5)'!$A$2</c:f>
              <c:strCache>
                <c:ptCount val="1"/>
                <c:pt idx="0">
                  <c:v>一般公共预算财政拨款支出决算变动情况</c:v>
                </c:pt>
              </c:strCache>
            </c:strRef>
          </c:cat>
          <c:val>
            <c:numRef>
              <c:f>Sheet1 (5)!$C$2</c:f>
              <c:numCache>
                <c:formatCode>General</c:formatCode>
                <c:ptCount val="1"/>
                <c:pt idx="0">
                  <c:v>216.09605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majorUnit val="500.0"/>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支出结构表</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ln>
              <a:noFill/>
            </a:ln>
          </c:spPr>
          <c:dPt>
            <c:idx val="0"/>
            <c:bubble3D val="0"/>
            <c:spPr>
              <a:solidFill>
                <a:srgbClr val="4F81BD"/>
              </a:solidFill>
              <a:ln w="19050">
                <a:solidFill>
                  <a:srgbClr val="FFFFFF"/>
                </a:solidFill>
                <a:prstDash val="solid"/>
              </a:ln>
            </c:spPr>
          </c:dPt>
          <c:dPt>
            <c:idx val="1"/>
            <c:bubble3D val="0"/>
            <c:spPr>
              <a:solidFill>
                <a:srgbClr val="9BBB59"/>
              </a:solidFill>
              <a:ln w="19050">
                <a:solidFill>
                  <a:srgbClr val="FFFFFF"/>
                </a:solidFill>
                <a:prstDash val="solid"/>
              </a:ln>
            </c:spPr>
          </c:dPt>
          <c:dPt>
            <c:idx val="2"/>
            <c:bubble3D val="0"/>
            <c:spPr>
              <a:solidFill>
                <a:srgbClr val="4BACC6"/>
              </a:solidFill>
              <a:ln w="19050">
                <a:solidFill>
                  <a:srgbClr val="FFFFFF"/>
                </a:solidFill>
                <a:prstDash val="solid"/>
              </a:ln>
            </c:spPr>
          </c:dPt>
          <c:dPt>
            <c:idx val="3"/>
            <c:bubble3D val="0"/>
            <c:spPr>
              <a:solidFill>
                <a:srgbClr val="2C4D75"/>
              </a:solidFill>
              <a:ln w="19050">
                <a:solidFill>
                  <a:srgbClr val="FFFFFF"/>
                </a:solidFill>
                <a:prstDash val="solid"/>
              </a:ln>
            </c:spPr>
          </c:dPt>
          <c:dPt>
            <c:idx val="4"/>
            <c:bubble3D val="0"/>
            <c:spPr>
              <a:solidFill>
                <a:srgbClr val="5F7530"/>
              </a:solidFill>
              <a:ln w="19050">
                <a:solidFill>
                  <a:srgbClr val="FFFFFF"/>
                </a:solidFill>
                <a:prstDash val="solid"/>
              </a:ln>
            </c:spPr>
          </c:dPt>
          <c:dPt>
            <c:idx val="5"/>
            <c:bubble3D val="0"/>
            <c:spPr>
              <a:solidFill>
                <a:srgbClr val="276A7C"/>
              </a:solidFill>
              <a:ln w="19050">
                <a:solidFill>
                  <a:srgbClr val="FFFFFF"/>
                </a:solidFill>
                <a:prstDash val="solid"/>
              </a:ln>
            </c:spPr>
          </c:dPt>
          <c:dPt>
            <c:idx val="6"/>
            <c:bubble3D val="0"/>
            <c:spPr>
              <a:solidFill>
                <a:srgbClr val="729ACA"/>
              </a:solidFill>
              <a:ln w="19050">
                <a:solidFill>
                  <a:srgbClr val="FFFFFF"/>
                </a:solidFill>
                <a:prstDash val="solid"/>
              </a:ln>
            </c:spPr>
          </c:dPt>
          <c:dPt>
            <c:idx val="7"/>
            <c:bubble3D val="0"/>
            <c:spPr>
              <a:solidFill>
                <a:srgbClr val="AFC97A"/>
              </a:solidFill>
              <a:ln w="19050">
                <a:solidFill>
                  <a:srgbClr val="FFFFFF"/>
                </a:solidFill>
                <a:prstDash val="solid"/>
              </a:ln>
            </c:spPr>
          </c:dPt>
          <c:dPt>
            <c:idx val="8"/>
            <c:bubble3D val="0"/>
            <c:spPr>
              <a:solidFill>
                <a:srgbClr val="6FBDD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(6)'!$A$2:$A$10</c:f>
              <c:strCache>
                <c:ptCount val="9"/>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pt idx="8">
                  <c:v>文化旅游体育与传媒支出</c:v>
                </c:pt>
              </c:strCache>
            </c:strRef>
          </c:cat>
          <c:val>
            <c:numRef>
              <c:f>'Sheet1 (6)'!$B$2:$B$10</c:f>
              <c:numCache>
                <c:formatCode>General</c:formatCode>
                <c:ptCount val="9"/>
                <c:pt idx="0">
                  <c:v>0.0</c:v>
                </c:pt>
                <c:pt idx="1">
                  <c:v>34.288848</c:v>
                </c:pt>
                <c:pt idx="2">
                  <c:v>14.32511</c:v>
                </c:pt>
                <c:pt idx="3">
                  <c:v>0.0</c:v>
                </c:pt>
                <c:pt idx="4">
                  <c:v>0.0</c:v>
                </c:pt>
                <c:pt idx="6">
                  <c:v>22.5582</c:v>
                </c:pt>
                <c:pt idx="7">
                  <c:v>0.3</c:v>
                </c:pt>
                <c:pt idx="8">
                  <c:v>179.129517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ln>
              <a:noFill/>
            </a:ln>
          </c:spPr>
          <c:dPt>
            <c:idx val="0"/>
            <c:bubble3D val="0"/>
            <c:spPr>
              <a:solidFill>
                <a:srgbClr val="406A9C"/>
              </a:soli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AABAD7"/>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(7)'!$A$2:$A$4</c:f>
              <c:strCache>
                <c:ptCount val="3"/>
                <c:pt idx="0">
                  <c:v>因公出国（境）经费</c:v>
                </c:pt>
                <c:pt idx="1">
                  <c:v>公务用车运行维护费</c:v>
                </c:pt>
                <c:pt idx="2">
                  <c:v>公务接待费支出</c:v>
                </c:pt>
              </c:strCache>
            </c:strRef>
          </c:cat>
          <c:val>
            <c:numRef>
              <c:f>'Sheet1 (7)'!$B$2:$B$4</c:f>
              <c:numCache>
                <c:formatCode>General</c:formatCode>
                <c:ptCount val="3"/>
                <c:pt idx="0">
                  <c:v>0.0</c:v>
                </c:pt>
                <c:pt idx="1">
                  <c:v>1.0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24</TotalTime>
  <Application>Yozo_Office27021597764231179</Application>
  <Pages>22</Pages>
  <Words>7679</Words>
  <Characters>8823</Characters>
  <Lines>428</Lines>
  <Paragraphs>189</Paragraphs>
  <CharactersWithSpaces>8902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HP</cp:lastModifiedBy>
  <cp:revision>5</cp:revision>
  <cp:lastPrinted>2022-08-29T06:36:50Z</cp:lastPrinted>
  <dcterms:created xsi:type="dcterms:W3CDTF">2021-09-18T03:28:00Z</dcterms:created>
  <dcterms:modified xsi:type="dcterms:W3CDTF">2022-08-29T06:38:05Z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C53BCD4111E04BEEA6B463CFCB1BBD27</vt:lpwstr>
  </property>
</Properties>
</file>