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金川县2026年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社工部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年，我单位部门预算525.18万元 ，均严格按绩效管理要求实现项目绩效目标管理，其中重点项目预算4个，现将情况说明如下：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年本级部门预算整体绩效目标申报和4个项目预算绩效目标申报，并编报4个项目预算事前绩效评估报告。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研究相关理论、政策和规划，拟定相关地方性法规草案及规范性文件并组织实施。深入调查研究，及时向县委报告工作情况并提出建议。指导乡镇开展相关工作。深入调查研究，及时向县委报告工作情况并提出建议。指导乡镇开展相关工作。统筹指导全县群众利益协调、诉求表达、矛盾调处、权益保障等人民信访工作，协调解决人民群众急难愁盼的重大问题。指导人民建议征集工作，负责征集、办理公民、法人和其他组织提出的意见建议，向县委、县政府及时反映公民、法人和其他组织提出的意见建议，向县委、县政府及时反映公民、法人和其他组织对党和国家事业发展提出的重要意见建议。统筹推进党建引领基层治理和基层政权建设，协调推进城乡社区治理体系、服务体系和治理能力建设，推动基层民主政治建设，指导监督基层群众自治制度的有效实施，健全基层群众自治机制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重点项目1：两新组织党建工作经费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项目年度绩效目标：该项目资金为两新组织非公企业党组织开展党建活动的工作经费，进一步丰富两新组织非公企业党建活动内容。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重点项目2：志愿者服务工作经费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为有需要的个人、群体或社区提供各类援助，改善他们的生活状况。拉近不同阶层、不同群体之间的距离，增进社会成员间的理解与信任，减少矛盾冲突，营造和谐友爱的社会氛围。参与环保、文化传承、教育普及等公益活动，助力解决社会问题，推动社会在各方面不断进步。志愿者的奉献精神能感染他人，激发更多人参与公益，形成良好的社会风气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重点项目3：社工服务工作经费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促进家庭成员、邻里、社区居民等之间的和谐相处，调解矛盾冲突。促进社会融入：使弱势群体如残障人士、新移民等更好融入社会主流，参与社会生活。推动社区发展：提升社区凝聚力，组织居民参与社区建设、改善社区环境等。关注弱势群体权益，为其发声争取合理资源与待遇，确保社会资源分配更公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重点项目4：基层治理工作经费</w:t>
        <w:br/>
      </w:r>
      <w:r>
        <w:rPr>
          <w:rFonts w:ascii="宋体" w:cs="宋体" w:hint="eastAsia"/>
          <w:sz w:val="24"/>
          <w:szCs w:val="24"/>
          <w:lang w:val="en-US" w:eastAsia="zh-CN"/>
        </w:rPr>
        <w:t xml:space="preserve">     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使社区更好地适应社会发展变化，维护社会稳定和谐。搭建沟通平台，能够让居民充分表达自身诉求，参与社区事务决策；开展文化活动，丰富居民的精神文化生活，拉近居民之间的距离，营造良好的社区氛围，让社区成为一个有文化底蕴和情感纽带的有机整体；工作人员更好地应对复杂的基层问题，提高治理效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3</Pages>
  <Words>1246</Words>
  <Characters>1260</Characters>
  <Lines>60</Lines>
  <Paragraphs>19</Paragraphs>
  <CharactersWithSpaces>1267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2026-03-17T06:48:16Z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1BB1F6C216E442A1B273BB5477437E89_13</vt:lpwstr>
  </property>
  <property fmtid="{D5CDD505-2E9C-101B-9397-08002B2CF9AE}" pid="4" name="KSOTemplateDocerSaveRecord">
    <vt:lpwstr>eyJoZGlkIjoiZTg5ZTUxNWEzMTgzMzIxZDQ4MjBmNWFkYjIxYjI1NDAiLCJ1c2VySWQiOiIzNDA4OTU1MDUifQ==</vt:lpwstr>
  </property>
</Properties>
</file>