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9383"/>
      <w:bookmarkStart w:id="3" w:name="_Toc15377425"/>
      <w:bookmarkStart w:id="4" w:name="_Toc12095"/>
      <w:bookmarkStart w:id="5" w:name="_Toc31923"/>
      <w:bookmarkStart w:id="6" w:name="_Toc15377193"/>
      <w:bookmarkStart w:id="7" w:name="_Toc5808"/>
      <w:bookmarkStart w:id="8" w:name="_Toc3749"/>
      <w:bookmarkStart w:id="9" w:name="_Toc15396597"/>
      <w:bookmarkStart w:id="10" w:name="_Toc15378441"/>
      <w:r>
        <w:rPr>
          <w:rFonts w:ascii="黑体" w:eastAsia="黑体"/>
          <w:color w:val="000000"/>
          <w:sz w:val="72"/>
          <w:szCs w:val="72"/>
        </w:rPr>
        <w:t>202</w:t>
      </w:r>
      <w:r>
        <w:rPr>
          <w:rFonts w:hint="eastAsia" w:ascii="黑体" w:eastAsia="黑体"/>
          <w:color w:val="000000"/>
          <w:sz w:val="72"/>
          <w:szCs w:val="72"/>
          <w:lang w:val="en-US" w:eastAsia="zh-CN"/>
        </w:rPr>
        <w:t>4</w:t>
      </w:r>
      <w:r>
        <w:rPr>
          <w:rFonts w:hint="eastAsia" w:ascii="方正小标宋简体" w:eastAsia="方正小标宋简体"/>
          <w:color w:val="000000"/>
          <w:sz w:val="72"/>
          <w:szCs w:val="72"/>
        </w:rPr>
        <w:t>年度</w:t>
      </w:r>
      <w:bookmarkEnd w:id="1"/>
      <w:bookmarkEnd w:id="2"/>
      <w:bookmarkEnd w:id="3"/>
      <w:bookmarkEnd w:id="4"/>
      <w:bookmarkEnd w:id="5"/>
      <w:bookmarkEnd w:id="6"/>
      <w:bookmarkEnd w:id="7"/>
      <w:bookmarkEnd w:id="8"/>
      <w:bookmarkEnd w:id="9"/>
      <w:bookmarkEnd w:id="10"/>
    </w:p>
    <w:bookmarkEnd w:id="0"/>
    <w:p>
      <w:pPr>
        <w:adjustRightInd w:val="0"/>
        <w:snapToGrid w:val="0"/>
        <w:spacing w:line="360" w:lineRule="auto"/>
        <w:jc w:val="center"/>
        <w:outlineLvl w:val="0"/>
        <w:rPr>
          <w:rFonts w:ascii="方正小标宋简体" w:eastAsia="方正小标宋简体" w:cs="方正小标宋简体"/>
          <w:sz w:val="72"/>
          <w:szCs w:val="72"/>
        </w:rPr>
      </w:pPr>
      <w:bookmarkStart w:id="11" w:name="_Toc15396598"/>
      <w:bookmarkStart w:id="12" w:name="_Toc15377194"/>
      <w:bookmarkStart w:id="13" w:name="_Toc10367"/>
      <w:bookmarkStart w:id="14" w:name="_Toc15396476"/>
      <w:bookmarkStart w:id="15" w:name="_Toc8046"/>
      <w:bookmarkStart w:id="16" w:name="_Toc11376"/>
      <w:bookmarkStart w:id="17" w:name="_Toc15306268"/>
      <w:bookmarkStart w:id="18" w:name="_Toc15378442"/>
      <w:bookmarkStart w:id="19" w:name="_Toc25993"/>
      <w:bookmarkStart w:id="20" w:name="_Toc15377426"/>
      <w:bookmarkStart w:id="21" w:name="_Toc31507"/>
      <w:r>
        <w:rPr>
          <w:rFonts w:hint="eastAsia" w:ascii="方正小标宋简体" w:eastAsia="方正小标宋简体"/>
          <w:color w:val="000000"/>
          <w:sz w:val="72"/>
          <w:szCs w:val="72"/>
          <w:lang w:val="en-US" w:eastAsia="zh-CN"/>
        </w:rPr>
        <w:t>中共金川县委社会工作部</w:t>
      </w:r>
      <w:bookmarkEnd w:id="11"/>
      <w:bookmarkEnd w:id="12"/>
      <w:bookmarkEnd w:id="13"/>
      <w:bookmarkEnd w:id="14"/>
      <w:bookmarkEnd w:id="15"/>
      <w:bookmarkEnd w:id="16"/>
      <w:bookmarkEnd w:id="17"/>
      <w:bookmarkEnd w:id="18"/>
      <w:bookmarkEnd w:id="19"/>
      <w:bookmarkEnd w:id="20"/>
      <w:bookmarkEnd w:id="21"/>
      <w:r>
        <w:rPr>
          <w:rFonts w:hint="eastAsia" w:ascii="方正小标宋简体" w:eastAsia="方正小标宋简体" w:cs="方正小标宋简体"/>
          <w:sz w:val="72"/>
          <w:szCs w:val="72"/>
        </w:rPr>
        <w:t>部门决算</w:t>
      </w:r>
    </w:p>
    <w:p>
      <w:pPr>
        <w:adjustRightInd w:val="0"/>
        <w:snapToGrid w:val="0"/>
        <w:spacing w:line="360" w:lineRule="auto"/>
        <w:jc w:val="center"/>
        <w:outlineLvl w:val="0"/>
        <w:rPr>
          <w:rFonts w:ascii="方正小标宋简体" w:eastAsia="方正小标宋简体"/>
          <w:sz w:val="52"/>
          <w:szCs w:val="52"/>
        </w:rPr>
      </w:pPr>
      <w:r>
        <w:rPr>
          <w:rFonts w:hint="eastAsia" w:ascii="方正小标宋简体" w:eastAsia="方正小标宋简体"/>
          <w:sz w:val="52"/>
          <w:szCs w:val="52"/>
        </w:rPr>
        <w:t>(部门公开)</w:t>
      </w:r>
    </w:p>
    <w:p>
      <w:pPr>
        <w:adjustRightInd w:val="0"/>
        <w:snapToGrid w:val="0"/>
        <w:spacing w:line="360" w:lineRule="auto"/>
        <w:jc w:val="center"/>
        <w:outlineLvl w:val="0"/>
        <w:rPr>
          <w:rFonts w:hint="eastAsia" w:eastAsia="方正小标宋简体"/>
          <w:sz w:val="72"/>
          <w:szCs w:val="72"/>
          <w:lang w:eastAsia="zh-CN"/>
        </w:rPr>
      </w:pPr>
    </w:p>
    <w:p>
      <w:pPr>
        <w:adjustRightInd w:val="0"/>
        <w:snapToGrid w:val="0"/>
        <w:spacing w:line="360" w:lineRule="auto"/>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3"/>
        <w:rPr>
          <w:color w:val="000000"/>
        </w:rPr>
      </w:pPr>
      <w:r>
        <w:rPr>
          <w:rFonts w:hint="eastAsia" w:ascii="仿宋_GB2312" w:eastAsia="仿宋_GB2312"/>
          <w:color w:val="000000"/>
          <w:sz w:val="21"/>
          <w:szCs w:val="21"/>
        </w:rPr>
        <w:t>公开时间：2025年8月25日</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3"/>
        <w:tabs>
          <w:tab w:val="right" w:leader="dot" w:pos="8306"/>
          <w:tab w:val="clear" w:pos="8296"/>
        </w:tabs>
        <w:jc w:val="both"/>
      </w:pPr>
      <w:r>
        <w:fldChar w:fldCharType="begin"/>
      </w:r>
      <w:r>
        <w:instrText xml:space="preserve"> HYPERLINK \l "_Toc15465" </w:instrText>
      </w:r>
      <w:r>
        <w:fldChar w:fldCharType="separate"/>
      </w:r>
      <w:r>
        <w:rPr>
          <w:rFonts w:hint="eastAsia" w:ascii="黑体" w:eastAsia="黑体"/>
        </w:rPr>
        <w:t>第一部分 部门概况</w:t>
      </w:r>
      <w:r>
        <w:tab/>
      </w:r>
      <w:r>
        <w:rPr>
          <w:rFonts w:hint="default"/>
        </w:rPr>
        <w:t>4</w:t>
      </w:r>
      <w:r>
        <w:fldChar w:fldCharType="end"/>
      </w:r>
    </w:p>
    <w:p>
      <w:pPr>
        <w:pStyle w:val="14"/>
        <w:tabs>
          <w:tab w:val="right" w:leader="dot" w:pos="8306"/>
          <w:tab w:val="clear" w:pos="8296"/>
        </w:tabs>
        <w:rPr>
          <w:sz w:val="28"/>
          <w:szCs w:val="28"/>
        </w:rPr>
      </w:pPr>
      <w:r>
        <w:fldChar w:fldCharType="begin"/>
      </w:r>
      <w:r>
        <w:instrText xml:space="preserve"> HYPERLINK \l "_Toc20260" </w:instrText>
      </w:r>
      <w:r>
        <w:fldChar w:fldCharType="separate"/>
      </w:r>
      <w:r>
        <w:rPr>
          <w:rFonts w:hint="eastAsia" w:ascii="黑体" w:eastAsia="黑体"/>
          <w:sz w:val="28"/>
          <w:szCs w:val="28"/>
        </w:rPr>
        <w:t>一、基本职能及主要工作</w:t>
      </w:r>
      <w:r>
        <w:rPr>
          <w:sz w:val="28"/>
          <w:szCs w:val="28"/>
        </w:rPr>
        <w:tab/>
      </w:r>
      <w:r>
        <w:rPr>
          <w:rFonts w:hint="default"/>
          <w:sz w:val="28"/>
          <w:szCs w:val="28"/>
        </w:rPr>
        <w:t>4</w:t>
      </w:r>
      <w:r>
        <w:rPr>
          <w:sz w:val="28"/>
          <w:szCs w:val="28"/>
        </w:rPr>
        <w:fldChar w:fldCharType="end"/>
      </w:r>
    </w:p>
    <w:p>
      <w:pPr>
        <w:pStyle w:val="14"/>
        <w:tabs>
          <w:tab w:val="right" w:leader="dot" w:pos="8306"/>
          <w:tab w:val="clear" w:pos="8296"/>
        </w:tabs>
        <w:rPr>
          <w:sz w:val="28"/>
          <w:szCs w:val="28"/>
        </w:rPr>
      </w:pPr>
      <w:r>
        <w:fldChar w:fldCharType="begin"/>
      </w:r>
      <w:r>
        <w:instrText xml:space="preserve"> HYPERLINK \l "_Toc11875" </w:instrText>
      </w:r>
      <w:r>
        <w:fldChar w:fldCharType="separate"/>
      </w:r>
      <w:r>
        <w:rPr>
          <w:rFonts w:hint="eastAsia" w:ascii="楷体" w:eastAsia="楷体" w:cs="楷体"/>
          <w:sz w:val="28"/>
          <w:szCs w:val="28"/>
        </w:rPr>
        <w:t>（一）主要职能</w:t>
      </w:r>
      <w:r>
        <w:rPr>
          <w:sz w:val="28"/>
          <w:szCs w:val="28"/>
        </w:rPr>
        <w:tab/>
      </w:r>
      <w:r>
        <w:rPr>
          <w:rFonts w:hint="default"/>
          <w:sz w:val="28"/>
          <w:szCs w:val="28"/>
        </w:rPr>
        <w:t>4</w:t>
      </w:r>
      <w:r>
        <w:rPr>
          <w:sz w:val="28"/>
          <w:szCs w:val="28"/>
        </w:rPr>
        <w:fldChar w:fldCharType="end"/>
      </w:r>
    </w:p>
    <w:p>
      <w:pPr>
        <w:pStyle w:val="14"/>
        <w:tabs>
          <w:tab w:val="right" w:leader="dot" w:pos="8306"/>
          <w:tab w:val="clear" w:pos="8296"/>
        </w:tabs>
        <w:rPr>
          <w:sz w:val="28"/>
          <w:szCs w:val="28"/>
        </w:rPr>
      </w:pPr>
      <w:r>
        <w:fldChar w:fldCharType="begin"/>
      </w:r>
      <w:r>
        <w:instrText xml:space="preserve"> HYPERLINK \l "_Toc29688" </w:instrText>
      </w:r>
      <w:r>
        <w:fldChar w:fldCharType="separate"/>
      </w:r>
      <w:r>
        <w:rPr>
          <w:rFonts w:hint="eastAsia" w:ascii="楷体" w:eastAsia="楷体" w:cs="楷体"/>
          <w:sz w:val="28"/>
          <w:szCs w:val="28"/>
        </w:rPr>
        <w:t>（二）</w:t>
      </w:r>
      <w:r>
        <w:rPr>
          <w:rFonts w:ascii="楷体" w:eastAsia="楷体" w:cs="楷体"/>
          <w:sz w:val="28"/>
          <w:szCs w:val="28"/>
        </w:rPr>
        <w:t>202</w:t>
      </w:r>
      <w:r>
        <w:rPr>
          <w:rFonts w:hint="eastAsia" w:ascii="楷体" w:eastAsia="楷体" w:cs="楷体"/>
          <w:sz w:val="28"/>
          <w:szCs w:val="28"/>
          <w:lang w:val="en-US" w:eastAsia="zh-CN"/>
        </w:rPr>
        <w:t>4</w:t>
      </w:r>
      <w:r>
        <w:rPr>
          <w:rFonts w:hint="eastAsia" w:ascii="楷体" w:eastAsia="楷体" w:cs="楷体"/>
          <w:sz w:val="28"/>
          <w:szCs w:val="28"/>
        </w:rPr>
        <w:t>年重点工作完成情况</w:t>
      </w:r>
      <w:r>
        <w:rPr>
          <w:sz w:val="28"/>
          <w:szCs w:val="28"/>
        </w:rPr>
        <w:tab/>
      </w:r>
      <w:r>
        <w:rPr>
          <w:rFonts w:hint="default"/>
          <w:sz w:val="28"/>
          <w:szCs w:val="28"/>
        </w:rPr>
        <w:t>4</w:t>
      </w:r>
      <w:r>
        <w:rPr>
          <w:sz w:val="28"/>
          <w:szCs w:val="28"/>
        </w:rPr>
        <w:fldChar w:fldCharType="end"/>
      </w:r>
    </w:p>
    <w:p>
      <w:pPr>
        <w:pStyle w:val="14"/>
        <w:tabs>
          <w:tab w:val="right" w:leader="dot" w:pos="8306"/>
          <w:tab w:val="clear" w:pos="8296"/>
        </w:tabs>
        <w:rPr>
          <w:sz w:val="28"/>
          <w:szCs w:val="28"/>
        </w:rPr>
      </w:pPr>
      <w:r>
        <w:fldChar w:fldCharType="begin"/>
      </w:r>
      <w:r>
        <w:instrText xml:space="preserve"> HYPERLINK \l "_Toc3779" </w:instrText>
      </w:r>
      <w:r>
        <w:fldChar w:fldCharType="separate"/>
      </w:r>
      <w:r>
        <w:rPr>
          <w:rFonts w:hint="eastAsia" w:ascii="黑体" w:eastAsia="黑体"/>
          <w:sz w:val="28"/>
          <w:szCs w:val="28"/>
        </w:rPr>
        <w:t>二、机构设置</w:t>
      </w:r>
      <w:r>
        <w:rPr>
          <w:sz w:val="28"/>
          <w:szCs w:val="28"/>
        </w:rPr>
        <w:tab/>
      </w:r>
      <w:r>
        <w:rPr>
          <w:rFonts w:hint="default"/>
          <w:sz w:val="28"/>
          <w:szCs w:val="28"/>
        </w:rPr>
        <w:t>8</w:t>
      </w:r>
      <w:r>
        <w:rPr>
          <w:sz w:val="28"/>
          <w:szCs w:val="28"/>
        </w:rPr>
        <w:fldChar w:fldCharType="end"/>
      </w:r>
    </w:p>
    <w:p>
      <w:pPr>
        <w:pStyle w:val="13"/>
        <w:tabs>
          <w:tab w:val="right" w:leader="dot" w:pos="8306"/>
          <w:tab w:val="clear" w:pos="8296"/>
        </w:tabs>
      </w:pPr>
      <w:r>
        <w:fldChar w:fldCharType="begin"/>
      </w:r>
      <w:r>
        <w:instrText xml:space="preserve"> HYPERLINK \l "_Toc1757" </w:instrText>
      </w:r>
      <w:r>
        <w:fldChar w:fldCharType="separate"/>
      </w:r>
      <w:r>
        <w:rPr>
          <w:rFonts w:hint="eastAsia" w:ascii="黑体" w:eastAsia="黑体"/>
        </w:rPr>
        <w:t xml:space="preserve">第二部分 </w:t>
      </w:r>
      <w:r>
        <w:rPr>
          <w:rFonts w:ascii="黑体" w:eastAsia="黑体"/>
        </w:rPr>
        <w:t>202</w:t>
      </w:r>
      <w:r>
        <w:rPr>
          <w:rFonts w:hint="eastAsia" w:ascii="黑体" w:eastAsia="黑体"/>
          <w:lang w:val="en-US" w:eastAsia="zh-CN"/>
        </w:rPr>
        <w:t>4</w:t>
      </w:r>
      <w:r>
        <w:rPr>
          <w:rFonts w:hint="eastAsia" w:ascii="黑体" w:eastAsia="黑体"/>
        </w:rPr>
        <w:t>年度部门决算情况说明</w:t>
      </w:r>
      <w:r>
        <w:tab/>
      </w:r>
      <w:r>
        <w:rPr>
          <w:rFonts w:hint="default"/>
        </w:rPr>
        <w:t>8</w:t>
      </w:r>
      <w:r>
        <w:fldChar w:fldCharType="end"/>
      </w:r>
    </w:p>
    <w:p>
      <w:pPr>
        <w:pStyle w:val="14"/>
        <w:tabs>
          <w:tab w:val="right" w:leader="dot" w:pos="8306"/>
          <w:tab w:val="clear" w:pos="8296"/>
        </w:tabs>
        <w:rPr>
          <w:sz w:val="28"/>
          <w:szCs w:val="28"/>
        </w:rPr>
      </w:pPr>
      <w:r>
        <w:fldChar w:fldCharType="begin"/>
      </w:r>
      <w:r>
        <w:instrText xml:space="preserve"> HYPERLINK \l "_Toc24269" </w:instrText>
      </w:r>
      <w:r>
        <w:fldChar w:fldCharType="separate"/>
      </w:r>
      <w:r>
        <w:rPr>
          <w:rFonts w:ascii="黑体" w:eastAsia="黑体"/>
          <w:sz w:val="28"/>
          <w:szCs w:val="28"/>
        </w:rPr>
        <w:t xml:space="preserve">一、 </w:t>
      </w:r>
      <w:r>
        <w:rPr>
          <w:rFonts w:hint="eastAsia" w:ascii="黑体" w:eastAsia="黑体"/>
          <w:sz w:val="28"/>
          <w:szCs w:val="28"/>
        </w:rPr>
        <w:t>收入支出决算总体情况说明</w:t>
      </w:r>
      <w:r>
        <w:rPr>
          <w:sz w:val="28"/>
          <w:szCs w:val="28"/>
        </w:rPr>
        <w:tab/>
      </w:r>
      <w:r>
        <w:rPr>
          <w:rFonts w:hint="default"/>
          <w:sz w:val="28"/>
          <w:szCs w:val="28"/>
        </w:rPr>
        <w:t>8</w:t>
      </w:r>
      <w:r>
        <w:rPr>
          <w:sz w:val="28"/>
          <w:szCs w:val="28"/>
        </w:rPr>
        <w:fldChar w:fldCharType="end"/>
      </w:r>
    </w:p>
    <w:p>
      <w:pPr>
        <w:pStyle w:val="14"/>
        <w:tabs>
          <w:tab w:val="right" w:leader="dot" w:pos="8306"/>
          <w:tab w:val="clear" w:pos="8296"/>
        </w:tabs>
        <w:rPr>
          <w:rFonts w:hint="default"/>
          <w:sz w:val="28"/>
          <w:szCs w:val="28"/>
        </w:rPr>
      </w:pPr>
      <w:r>
        <w:fldChar w:fldCharType="begin"/>
      </w:r>
      <w:r>
        <w:instrText xml:space="preserve"> HYPERLINK \l "_Toc2350" </w:instrText>
      </w:r>
      <w:r>
        <w:fldChar w:fldCharType="separate"/>
      </w:r>
      <w:r>
        <w:rPr>
          <w:rFonts w:hint="eastAsia" w:ascii="黑体" w:eastAsia="黑体"/>
          <w:sz w:val="28"/>
          <w:szCs w:val="28"/>
        </w:rPr>
        <w:t>二、收入决算情况说明</w:t>
      </w:r>
      <w:r>
        <w:rPr>
          <w:sz w:val="28"/>
          <w:szCs w:val="28"/>
        </w:rPr>
        <w:tab/>
      </w:r>
      <w:r>
        <w:rPr>
          <w:rFonts w:hint="default"/>
          <w:sz w:val="28"/>
          <w:szCs w:val="28"/>
        </w:rPr>
        <w:t>9</w:t>
      </w:r>
      <w:r>
        <w:rPr>
          <w:sz w:val="28"/>
          <w:szCs w:val="28"/>
        </w:rPr>
        <w:fldChar w:fldCharType="end"/>
      </w:r>
    </w:p>
    <w:p>
      <w:pPr>
        <w:pStyle w:val="14"/>
        <w:tabs>
          <w:tab w:val="right" w:leader="dot" w:pos="8306"/>
          <w:tab w:val="clear" w:pos="8296"/>
        </w:tabs>
        <w:rPr>
          <w:rFonts w:hint="default"/>
          <w:sz w:val="28"/>
          <w:szCs w:val="28"/>
        </w:rPr>
      </w:pPr>
      <w:r>
        <w:fldChar w:fldCharType="begin"/>
      </w:r>
      <w:r>
        <w:instrText xml:space="preserve"> HYPERLINK \l "_Toc32450" </w:instrText>
      </w:r>
      <w:r>
        <w:fldChar w:fldCharType="separate"/>
      </w:r>
      <w:r>
        <w:rPr>
          <w:rFonts w:hint="eastAsia" w:ascii="黑体" w:eastAsia="黑体"/>
          <w:sz w:val="28"/>
          <w:szCs w:val="28"/>
        </w:rPr>
        <w:t>三、支出决算情况说明</w:t>
      </w:r>
      <w:r>
        <w:rPr>
          <w:sz w:val="28"/>
          <w:szCs w:val="28"/>
        </w:rPr>
        <w:tab/>
      </w:r>
      <w:r>
        <w:rPr>
          <w:rFonts w:hint="default"/>
          <w:sz w:val="28"/>
          <w:szCs w:val="28"/>
        </w:rPr>
        <w:t>1</w:t>
      </w:r>
      <w:r>
        <w:rPr>
          <w:sz w:val="28"/>
          <w:szCs w:val="28"/>
        </w:rPr>
        <w:fldChar w:fldCharType="end"/>
      </w:r>
      <w:r>
        <w:rPr>
          <w:rFonts w:hint="default"/>
          <w:sz w:val="28"/>
          <w:szCs w:val="28"/>
        </w:rPr>
        <w:t>0</w:t>
      </w:r>
    </w:p>
    <w:p>
      <w:pPr>
        <w:pStyle w:val="14"/>
        <w:tabs>
          <w:tab w:val="right" w:leader="dot" w:pos="8306"/>
          <w:tab w:val="clear" w:pos="8296"/>
        </w:tabs>
        <w:rPr>
          <w:rFonts w:hint="default"/>
          <w:sz w:val="28"/>
          <w:szCs w:val="28"/>
        </w:rPr>
      </w:pPr>
      <w:r>
        <w:fldChar w:fldCharType="begin"/>
      </w:r>
      <w:r>
        <w:instrText xml:space="preserve"> HYPERLINK \l "_Toc27007" </w:instrText>
      </w:r>
      <w:r>
        <w:fldChar w:fldCharType="separate"/>
      </w:r>
      <w:r>
        <w:rPr>
          <w:rFonts w:hint="eastAsia" w:ascii="黑体" w:eastAsia="黑体"/>
          <w:sz w:val="28"/>
          <w:szCs w:val="28"/>
        </w:rPr>
        <w:t>四、财政拨款收入支出决算总体情况说明</w:t>
      </w:r>
      <w:r>
        <w:rPr>
          <w:sz w:val="28"/>
          <w:szCs w:val="28"/>
        </w:rPr>
        <w:tab/>
      </w:r>
      <w:r>
        <w:rPr>
          <w:rFonts w:hint="default"/>
          <w:sz w:val="28"/>
          <w:szCs w:val="28"/>
        </w:rPr>
        <w:t>1</w:t>
      </w:r>
      <w:r>
        <w:rPr>
          <w:sz w:val="28"/>
          <w:szCs w:val="28"/>
        </w:rPr>
        <w:fldChar w:fldCharType="end"/>
      </w:r>
      <w:r>
        <w:rPr>
          <w:rFonts w:hint="default"/>
          <w:sz w:val="28"/>
          <w:szCs w:val="28"/>
        </w:rPr>
        <w:t>0</w:t>
      </w:r>
    </w:p>
    <w:p>
      <w:pPr>
        <w:pStyle w:val="14"/>
        <w:tabs>
          <w:tab w:val="right" w:leader="dot" w:pos="8306"/>
          <w:tab w:val="clear" w:pos="8296"/>
        </w:tabs>
        <w:rPr>
          <w:rFonts w:hint="default"/>
          <w:sz w:val="28"/>
          <w:szCs w:val="28"/>
        </w:rPr>
      </w:pPr>
      <w:r>
        <w:fldChar w:fldCharType="begin"/>
      </w:r>
      <w:r>
        <w:instrText xml:space="preserve"> HYPERLINK \l "_Toc571" </w:instrText>
      </w:r>
      <w:r>
        <w:fldChar w:fldCharType="separate"/>
      </w:r>
      <w:r>
        <w:rPr>
          <w:rFonts w:hint="eastAsia" w:ascii="黑体" w:eastAsia="黑体"/>
          <w:sz w:val="28"/>
          <w:szCs w:val="28"/>
        </w:rPr>
        <w:t>五、一般公共预算财政拨款支出决算情况说明</w:t>
      </w:r>
      <w:r>
        <w:rPr>
          <w:sz w:val="28"/>
          <w:szCs w:val="28"/>
        </w:rPr>
        <w:tab/>
      </w:r>
      <w:r>
        <w:rPr>
          <w:rFonts w:hint="default"/>
          <w:sz w:val="28"/>
          <w:szCs w:val="28"/>
        </w:rPr>
        <w:t>1</w:t>
      </w:r>
      <w:r>
        <w:rPr>
          <w:sz w:val="28"/>
          <w:szCs w:val="28"/>
        </w:rPr>
        <w:fldChar w:fldCharType="end"/>
      </w:r>
      <w:r>
        <w:rPr>
          <w:rFonts w:hint="default"/>
          <w:sz w:val="28"/>
          <w:szCs w:val="28"/>
        </w:rPr>
        <w:t>0</w:t>
      </w:r>
    </w:p>
    <w:p>
      <w:pPr>
        <w:pStyle w:val="14"/>
        <w:tabs>
          <w:tab w:val="right" w:leader="dot" w:pos="8306"/>
          <w:tab w:val="clear" w:pos="8296"/>
        </w:tabs>
        <w:rPr>
          <w:rFonts w:hint="default"/>
          <w:sz w:val="28"/>
          <w:szCs w:val="28"/>
        </w:rPr>
      </w:pPr>
      <w:r>
        <w:fldChar w:fldCharType="begin"/>
      </w:r>
      <w:r>
        <w:instrText xml:space="preserve"> HYPERLINK \l "_Toc21339" </w:instrText>
      </w:r>
      <w:r>
        <w:fldChar w:fldCharType="separate"/>
      </w:r>
      <w:r>
        <w:rPr>
          <w:rFonts w:hint="eastAsia" w:ascii="黑体" w:eastAsia="黑体"/>
          <w:sz w:val="28"/>
          <w:szCs w:val="28"/>
        </w:rPr>
        <w:t>六、一般公共预算财政拨款基本支出决算情况说明</w:t>
      </w:r>
      <w:r>
        <w:rPr>
          <w:sz w:val="28"/>
          <w:szCs w:val="28"/>
        </w:rPr>
        <w:tab/>
      </w:r>
      <w:r>
        <w:rPr>
          <w:rFonts w:hint="default"/>
          <w:sz w:val="28"/>
          <w:szCs w:val="28"/>
        </w:rPr>
        <w:t>1</w:t>
      </w:r>
      <w:r>
        <w:rPr>
          <w:sz w:val="28"/>
          <w:szCs w:val="28"/>
        </w:rPr>
        <w:fldChar w:fldCharType="end"/>
      </w:r>
      <w:r>
        <w:rPr>
          <w:rFonts w:hint="default"/>
          <w:sz w:val="28"/>
          <w:szCs w:val="28"/>
        </w:rPr>
        <w:t>1</w:t>
      </w:r>
    </w:p>
    <w:p>
      <w:pPr>
        <w:pStyle w:val="14"/>
        <w:tabs>
          <w:tab w:val="right" w:leader="dot" w:pos="8306"/>
          <w:tab w:val="clear" w:pos="8296"/>
        </w:tabs>
        <w:rPr>
          <w:sz w:val="28"/>
          <w:szCs w:val="28"/>
        </w:rPr>
      </w:pPr>
      <w:r>
        <w:fldChar w:fldCharType="begin"/>
      </w:r>
      <w:r>
        <w:instrText xml:space="preserve"> HYPERLINK \l "_Toc23406" </w:instrText>
      </w:r>
      <w:r>
        <w:fldChar w:fldCharType="separate"/>
      </w:r>
      <w:r>
        <w:rPr>
          <w:rFonts w:hint="eastAsia" w:ascii="黑体" w:eastAsia="黑体"/>
          <w:sz w:val="28"/>
          <w:szCs w:val="28"/>
        </w:rPr>
        <w:t>七、“三公”经费财政拨款支出决算情况说明</w:t>
      </w:r>
      <w:r>
        <w:rPr>
          <w:sz w:val="28"/>
          <w:szCs w:val="28"/>
        </w:rPr>
        <w:tab/>
      </w:r>
      <w:r>
        <w:rPr>
          <w:sz w:val="28"/>
          <w:szCs w:val="28"/>
        </w:rPr>
        <w:fldChar w:fldCharType="begin"/>
      </w:r>
      <w:r>
        <w:rPr>
          <w:sz w:val="28"/>
          <w:szCs w:val="28"/>
        </w:rPr>
        <w:instrText xml:space="preserve"> PAGEREF _Toc23406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4"/>
        <w:tabs>
          <w:tab w:val="right" w:leader="dot" w:pos="8306"/>
          <w:tab w:val="clear" w:pos="8296"/>
        </w:tabs>
        <w:rPr>
          <w:sz w:val="28"/>
          <w:szCs w:val="28"/>
        </w:rPr>
      </w:pPr>
      <w:r>
        <w:fldChar w:fldCharType="begin"/>
      </w:r>
      <w:r>
        <w:instrText xml:space="preserve"> HYPERLINK \l "_Toc10384" </w:instrText>
      </w:r>
      <w:r>
        <w:fldChar w:fldCharType="separate"/>
      </w:r>
      <w:r>
        <w:rPr>
          <w:rFonts w:hint="eastAsia" w:ascii="黑体" w:eastAsia="黑体"/>
          <w:sz w:val="28"/>
          <w:szCs w:val="28"/>
        </w:rPr>
        <w:t>八、政府性基金预算支出决算情况说明</w:t>
      </w:r>
      <w:r>
        <w:rPr>
          <w:sz w:val="28"/>
          <w:szCs w:val="28"/>
        </w:rPr>
        <w:tab/>
      </w:r>
      <w:r>
        <w:rPr>
          <w:sz w:val="28"/>
          <w:szCs w:val="28"/>
        </w:rPr>
        <w:fldChar w:fldCharType="begin"/>
      </w:r>
      <w:r>
        <w:rPr>
          <w:sz w:val="28"/>
          <w:szCs w:val="28"/>
        </w:rPr>
        <w:instrText xml:space="preserve"> PAGEREF _Toc10384 </w:instrText>
      </w:r>
      <w:r>
        <w:rPr>
          <w:sz w:val="28"/>
          <w:szCs w:val="28"/>
        </w:rPr>
        <w:fldChar w:fldCharType="separate"/>
      </w:r>
      <w:r>
        <w:rPr>
          <w:sz w:val="28"/>
          <w:szCs w:val="28"/>
        </w:rPr>
        <w:t>12</w:t>
      </w:r>
      <w:r>
        <w:rPr>
          <w:sz w:val="28"/>
          <w:szCs w:val="28"/>
        </w:rPr>
        <w:fldChar w:fldCharType="end"/>
      </w:r>
      <w:r>
        <w:rPr>
          <w:sz w:val="28"/>
          <w:szCs w:val="28"/>
        </w:rPr>
        <w:fldChar w:fldCharType="end"/>
      </w:r>
    </w:p>
    <w:p>
      <w:pPr>
        <w:pStyle w:val="14"/>
        <w:tabs>
          <w:tab w:val="right" w:leader="dot" w:pos="8306"/>
          <w:tab w:val="clear" w:pos="8296"/>
        </w:tabs>
        <w:rPr>
          <w:sz w:val="28"/>
          <w:szCs w:val="28"/>
        </w:rPr>
      </w:pPr>
      <w:r>
        <w:fldChar w:fldCharType="begin"/>
      </w:r>
      <w:r>
        <w:instrText xml:space="preserve"> HYPERLINK \l "_Toc18955" </w:instrText>
      </w:r>
      <w:r>
        <w:fldChar w:fldCharType="separate"/>
      </w:r>
      <w:r>
        <w:rPr>
          <w:rFonts w:hint="eastAsia" w:ascii="黑体" w:eastAsia="黑体"/>
          <w:sz w:val="28"/>
          <w:szCs w:val="28"/>
        </w:rPr>
        <w:t>九、 国有资本经营预算支出决算情况说明</w:t>
      </w:r>
      <w:r>
        <w:rPr>
          <w:sz w:val="28"/>
          <w:szCs w:val="28"/>
        </w:rPr>
        <w:tab/>
      </w:r>
      <w:r>
        <w:rPr>
          <w:sz w:val="28"/>
          <w:szCs w:val="28"/>
        </w:rPr>
        <w:fldChar w:fldCharType="begin"/>
      </w:r>
      <w:r>
        <w:rPr>
          <w:sz w:val="28"/>
          <w:szCs w:val="28"/>
        </w:rPr>
        <w:instrText xml:space="preserve"> PAGEREF _Toc18955 </w:instrText>
      </w:r>
      <w:r>
        <w:rPr>
          <w:sz w:val="28"/>
          <w:szCs w:val="28"/>
        </w:rPr>
        <w:fldChar w:fldCharType="separate"/>
      </w:r>
      <w:r>
        <w:rPr>
          <w:sz w:val="28"/>
          <w:szCs w:val="28"/>
        </w:rPr>
        <w:t>12</w:t>
      </w:r>
      <w:r>
        <w:rPr>
          <w:sz w:val="28"/>
          <w:szCs w:val="28"/>
        </w:rPr>
        <w:fldChar w:fldCharType="end"/>
      </w:r>
      <w:r>
        <w:rPr>
          <w:sz w:val="28"/>
          <w:szCs w:val="28"/>
        </w:rPr>
        <w:fldChar w:fldCharType="end"/>
      </w:r>
    </w:p>
    <w:p>
      <w:pPr>
        <w:pStyle w:val="14"/>
        <w:tabs>
          <w:tab w:val="right" w:leader="dot" w:pos="8306"/>
          <w:tab w:val="clear" w:pos="8296"/>
        </w:tabs>
        <w:rPr>
          <w:sz w:val="28"/>
          <w:szCs w:val="28"/>
        </w:rPr>
      </w:pPr>
      <w:r>
        <w:fldChar w:fldCharType="begin"/>
      </w:r>
      <w:r>
        <w:instrText xml:space="preserve"> HYPERLINK \l "_Toc24608" </w:instrText>
      </w:r>
      <w:r>
        <w:fldChar w:fldCharType="separate"/>
      </w:r>
      <w:r>
        <w:rPr>
          <w:rFonts w:ascii="黑体" w:eastAsia="黑体"/>
          <w:sz w:val="28"/>
          <w:szCs w:val="28"/>
        </w:rPr>
        <w:t xml:space="preserve">十、 </w:t>
      </w:r>
      <w:r>
        <w:rPr>
          <w:rFonts w:hint="eastAsia" w:ascii="黑体" w:eastAsia="黑体"/>
          <w:sz w:val="28"/>
          <w:szCs w:val="28"/>
        </w:rPr>
        <w:t>预算绩效情况说明</w:t>
      </w:r>
      <w:r>
        <w:rPr>
          <w:sz w:val="28"/>
          <w:szCs w:val="28"/>
        </w:rPr>
        <w:tab/>
      </w:r>
      <w:r>
        <w:rPr>
          <w:sz w:val="28"/>
          <w:szCs w:val="28"/>
        </w:rPr>
        <w:fldChar w:fldCharType="begin"/>
      </w:r>
      <w:r>
        <w:rPr>
          <w:sz w:val="28"/>
          <w:szCs w:val="28"/>
        </w:rPr>
        <w:instrText xml:space="preserve"> PAGEREF _Toc24608 </w:instrText>
      </w:r>
      <w:r>
        <w:rPr>
          <w:sz w:val="28"/>
          <w:szCs w:val="28"/>
        </w:rPr>
        <w:fldChar w:fldCharType="separate"/>
      </w:r>
      <w:r>
        <w:rPr>
          <w:sz w:val="28"/>
          <w:szCs w:val="28"/>
        </w:rPr>
        <w:t>12</w:t>
      </w:r>
      <w:r>
        <w:rPr>
          <w:sz w:val="28"/>
          <w:szCs w:val="28"/>
        </w:rPr>
        <w:fldChar w:fldCharType="end"/>
      </w:r>
      <w:r>
        <w:rPr>
          <w:sz w:val="28"/>
          <w:szCs w:val="28"/>
        </w:rPr>
        <w:fldChar w:fldCharType="end"/>
      </w:r>
    </w:p>
    <w:p>
      <w:pPr>
        <w:pStyle w:val="14"/>
        <w:tabs>
          <w:tab w:val="right" w:leader="dot" w:pos="8306"/>
          <w:tab w:val="clear" w:pos="8296"/>
        </w:tabs>
        <w:rPr>
          <w:rFonts w:hint="default"/>
          <w:sz w:val="28"/>
          <w:szCs w:val="28"/>
        </w:rPr>
      </w:pPr>
      <w:r>
        <w:fldChar w:fldCharType="begin"/>
      </w:r>
      <w:r>
        <w:instrText xml:space="preserve"> HYPERLINK \l "_Toc11969" </w:instrText>
      </w:r>
      <w:r>
        <w:fldChar w:fldCharType="separate"/>
      </w:r>
      <w:r>
        <w:rPr>
          <w:rFonts w:hint="eastAsia" w:ascii="黑体" w:eastAsia="黑体"/>
          <w:sz w:val="28"/>
          <w:szCs w:val="28"/>
        </w:rPr>
        <w:t>十一、其他重要事项的情况说明</w:t>
      </w:r>
      <w:r>
        <w:rPr>
          <w:sz w:val="28"/>
          <w:szCs w:val="28"/>
        </w:rPr>
        <w:tab/>
      </w:r>
      <w:r>
        <w:rPr>
          <w:rFonts w:hint="default"/>
          <w:sz w:val="28"/>
          <w:szCs w:val="28"/>
        </w:rPr>
        <w:t>1</w:t>
      </w:r>
      <w:r>
        <w:rPr>
          <w:sz w:val="28"/>
          <w:szCs w:val="28"/>
        </w:rPr>
        <w:fldChar w:fldCharType="end"/>
      </w:r>
      <w:r>
        <w:rPr>
          <w:rFonts w:hint="default"/>
          <w:sz w:val="28"/>
          <w:szCs w:val="28"/>
        </w:rPr>
        <w:t>3</w:t>
      </w:r>
    </w:p>
    <w:p>
      <w:pPr>
        <w:pStyle w:val="13"/>
        <w:tabs>
          <w:tab w:val="right" w:leader="dot" w:pos="8306"/>
          <w:tab w:val="clear" w:pos="8296"/>
        </w:tabs>
        <w:jc w:val="both"/>
        <w:rPr>
          <w:rFonts w:hint="default"/>
        </w:rPr>
      </w:pPr>
      <w:r>
        <w:fldChar w:fldCharType="begin"/>
      </w:r>
      <w:r>
        <w:instrText xml:space="preserve"> HYPERLINK \l "_Toc20207" </w:instrText>
      </w:r>
      <w:r>
        <w:fldChar w:fldCharType="separate"/>
      </w:r>
      <w:r>
        <w:rPr>
          <w:rFonts w:hint="eastAsia" w:ascii="黑体" w:eastAsia="黑体"/>
        </w:rPr>
        <w:t>第三部分 名词解释</w:t>
      </w:r>
      <w:r>
        <w:tab/>
      </w:r>
      <w:r>
        <w:rPr>
          <w:rFonts w:hint="default"/>
        </w:rPr>
        <w:t>1</w:t>
      </w:r>
      <w:r>
        <w:fldChar w:fldCharType="end"/>
      </w:r>
      <w:r>
        <w:rPr>
          <w:rFonts w:hint="default"/>
        </w:rPr>
        <w:t>5</w:t>
      </w:r>
    </w:p>
    <w:p>
      <w:pPr>
        <w:pStyle w:val="13"/>
        <w:tabs>
          <w:tab w:val="right" w:leader="middleDot" w:pos="7980"/>
        </w:tabs>
        <w:adjustRightInd w:val="0"/>
        <w:snapToGrid w:val="0"/>
        <w:spacing w:before="0" w:line="560" w:lineRule="exact"/>
        <w:jc w:val="left"/>
        <w:rPr>
          <w:rFonts w:hint="default"/>
        </w:rPr>
      </w:pPr>
      <w:r>
        <w:rPr>
          <w:color w:val="000000"/>
        </w:rPr>
        <w:fldChar w:fldCharType="end"/>
      </w:r>
      <w:bookmarkStart w:id="22" w:name="_Toc15377196"/>
      <w:r>
        <w:rPr>
          <w:rFonts w:hint="eastAsia" w:ascii="黑体" w:eastAsia="黑体"/>
        </w:rPr>
        <w:t>第四部分 附件</w:t>
      </w:r>
      <w:r>
        <w:rPr>
          <w:rFonts w:hint="default" w:ascii="黑体" w:eastAsia="黑体"/>
        </w:rPr>
        <w:t xml:space="preserve"> </w:t>
      </w:r>
      <w:r>
        <w:tab/>
      </w:r>
      <w:r>
        <w:rPr>
          <w:rFonts w:hint="default" w:ascii="黑体" w:eastAsia="黑体"/>
        </w:rPr>
        <w:t xml:space="preserve"> </w:t>
      </w:r>
      <w:r>
        <w:rPr>
          <w:rFonts w:hint="default"/>
        </w:rPr>
        <w:t>18</w:t>
      </w:r>
    </w:p>
    <w:p>
      <w:pPr>
        <w:pStyle w:val="13"/>
        <w:tabs>
          <w:tab w:val="right" w:leader="middleDot" w:pos="7980"/>
        </w:tabs>
        <w:adjustRightInd w:val="0"/>
        <w:snapToGrid w:val="0"/>
        <w:spacing w:before="0" w:line="560" w:lineRule="exact"/>
        <w:jc w:val="left"/>
        <w:rPr>
          <w:rFonts w:hint="default" w:ascii="Times New Roman" w:hAnsi="Times New Roman" w:eastAsia="黑体" w:cs="黑体"/>
          <w:sz w:val="32"/>
          <w:szCs w:val="32"/>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rPr>
        <w:tab/>
      </w:r>
      <w:r>
        <w:rPr>
          <w:rFonts w:hint="default" w:ascii="Times New Roman" w:eastAsia="黑体" w:cs="黑体"/>
          <w:sz w:val="32"/>
          <w:szCs w:val="32"/>
        </w:rPr>
        <w:t>24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十一、国有资本经营预算财政拨款收入支出决算表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4"/>
        <w:tabs>
          <w:tab w:val="right" w:leader="middleDot" w:pos="798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default" w:eastAsia="仿宋_GB2312" w:cs="仿宋_GB2312"/>
          <w:sz w:val="32"/>
          <w:szCs w:val="32"/>
        </w:rPr>
        <w:t>2</w:t>
      </w:r>
      <w:r>
        <w:rPr>
          <w:rFonts w:hint="eastAsia" w:eastAsia="仿宋_GB2312" w:cs="仿宋_GB2312"/>
          <w:sz w:val="32"/>
          <w:szCs w:val="32"/>
        </w:rPr>
        <w:t>4</w:t>
      </w:r>
    </w:p>
    <w:p>
      <w:pPr>
        <w:pStyle w:val="13"/>
        <w:tabs>
          <w:tab w:val="right" w:leader="dot" w:pos="8306"/>
          <w:tab w:val="clear" w:pos="8296"/>
        </w:tabs>
        <w:jc w:val="both"/>
      </w:pPr>
    </w:p>
    <w:p>
      <w:pPr>
        <w:pStyle w:val="5"/>
        <w:jc w:val="center"/>
        <w:rPr>
          <w:rFonts w:ascii="黑体" w:eastAsia="黑体"/>
          <w:color w:val="000000"/>
          <w:sz w:val="32"/>
          <w:szCs w:val="32"/>
        </w:rPr>
      </w:pPr>
      <w:bookmarkStart w:id="23" w:name="_Toc15465"/>
      <w:r>
        <w:rPr>
          <w:rFonts w:hint="eastAsia" w:ascii="黑体" w:eastAsia="黑体"/>
          <w:b w:val="0"/>
        </w:rPr>
        <w:t xml:space="preserve">第一部分 </w:t>
      </w:r>
      <w:r>
        <w:rPr>
          <w:rStyle w:val="20"/>
          <w:rFonts w:hint="eastAsia" w:ascii="黑体" w:eastAsia="黑体"/>
          <w:b w:val="0"/>
          <w:bCs w:val="0"/>
        </w:rPr>
        <w:t>部门概况</w:t>
      </w:r>
      <w:bookmarkEnd w:id="22"/>
      <w:bookmarkEnd w:id="23"/>
    </w:p>
    <w:p>
      <w:pPr>
        <w:pStyle w:val="6"/>
        <w:spacing w:before="0" w:after="0" w:line="240" w:lineRule="auto"/>
        <w:ind w:left="640" w:hanging="640" w:hangingChars="200"/>
        <w:rPr>
          <w:rStyle w:val="21"/>
          <w:rFonts w:ascii="黑体" w:eastAsia="黑体"/>
          <w:b w:val="0"/>
          <w:bCs w:val="0"/>
        </w:rPr>
      </w:pPr>
      <w:bookmarkStart w:id="24" w:name="_Toc20260"/>
      <w:bookmarkStart w:id="25" w:name="_Toc15377197"/>
      <w:r>
        <w:rPr>
          <w:rFonts w:hint="eastAsia" w:ascii="黑体" w:eastAsia="黑体"/>
          <w:b w:val="0"/>
          <w:color w:val="000000"/>
        </w:rPr>
        <w:t>一、基</w:t>
      </w:r>
      <w:r>
        <w:rPr>
          <w:rStyle w:val="21"/>
          <w:rFonts w:hint="eastAsia" w:ascii="黑体" w:eastAsia="黑体"/>
          <w:b w:val="0"/>
          <w:bCs w:val="0"/>
        </w:rPr>
        <w:t>本职能及主要工作</w:t>
      </w:r>
      <w:bookmarkEnd w:id="24"/>
      <w:bookmarkEnd w:id="25"/>
      <w:bookmarkStart w:id="26" w:name="_Toc15377198"/>
      <w:bookmarkStart w:id="27" w:name="_Toc15378445"/>
    </w:p>
    <w:p>
      <w:pPr>
        <w:pStyle w:val="6"/>
        <w:spacing w:before="0" w:after="0" w:line="240" w:lineRule="auto"/>
        <w:ind w:firstLine="321" w:firstLineChars="100"/>
        <w:rPr>
          <w:rFonts w:ascii="楷体" w:eastAsia="楷体" w:cs="楷体"/>
          <w:color w:val="000000"/>
        </w:rPr>
      </w:pPr>
      <w:bookmarkStart w:id="28" w:name="_Toc11875"/>
      <w:r>
        <w:rPr>
          <w:rFonts w:hint="eastAsia" w:ascii="楷体" w:eastAsia="楷体" w:cs="楷体"/>
          <w:color w:val="000000"/>
        </w:rPr>
        <w:t>（一）主要职能</w:t>
      </w:r>
      <w:bookmarkEnd w:id="26"/>
      <w:bookmarkEnd w:id="27"/>
      <w:bookmarkEnd w:id="28"/>
      <w:bookmarkStart w:id="29" w:name="_Toc15377199"/>
      <w:bookmarkStart w:id="30" w:name="_Toc15378446"/>
    </w:p>
    <w:p>
      <w:pPr>
        <w:pStyle w:val="6"/>
        <w:spacing w:before="0" w:after="0" w:line="240" w:lineRule="auto"/>
        <w:ind w:firstLine="640" w:firstLineChars="200"/>
        <w:rPr>
          <w:rFonts w:hint="eastAsia" w:ascii="仿宋_GB2312" w:eastAsia="仿宋_GB2312" w:cs="仿宋_GB2312"/>
          <w:b w:val="0"/>
          <w:bCs w:val="0"/>
          <w:kern w:val="0"/>
          <w:sz w:val="32"/>
          <w:szCs w:val="32"/>
          <w:shd w:val="clear" w:color="auto" w:fill="FFFFFF"/>
          <w:lang w:val="en-US" w:eastAsia="zh-CN" w:bidi="ar-SA"/>
        </w:rPr>
      </w:pPr>
      <w:bookmarkStart w:id="31" w:name="_Toc29688"/>
      <w:r>
        <w:rPr>
          <w:rFonts w:hint="eastAsia" w:ascii="仿宋_GB2312" w:eastAsia="仿宋_GB2312" w:cs="仿宋_GB2312"/>
          <w:b w:val="0"/>
          <w:bCs w:val="0"/>
          <w:kern w:val="0"/>
          <w:sz w:val="32"/>
          <w:szCs w:val="32"/>
          <w:shd w:val="clear" w:color="auto" w:fill="FFFFFF"/>
          <w:lang w:val="en-US" w:eastAsia="zh-CN" w:bidi="ar-SA"/>
        </w:rPr>
        <w:t>(一)研究相关理论、政策和规划，拟定相关地方性法规草案及规范性文件并组织实施。深入调查研究，及时向县委报告工作情况并提出建议。指导乡镇开展相关工作。</w:t>
      </w:r>
    </w:p>
    <w:p>
      <w:pPr>
        <w:pStyle w:val="6"/>
        <w:spacing w:before="0" w:after="0" w:line="240" w:lineRule="auto"/>
        <w:ind w:firstLine="640" w:firstLineChars="2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二)统筹指导全县群众利益协调、诉求表达、矛盾调处、权益保障等人民信访工作，协调解决人民群众急难愁盼的重大问题。指导人民建议征集工作，负责征集、办理公民、法人和其他组织提出的意见建议，向县委、县政府及时反映公民、法人和其他组织对党和国家事业发展提出的重要意见建议。</w:t>
      </w:r>
    </w:p>
    <w:p>
      <w:pPr>
        <w:pStyle w:val="6"/>
        <w:spacing w:before="0" w:after="0" w:line="240" w:lineRule="auto"/>
        <w:ind w:firstLine="640" w:firstLineChars="2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(三)统筹推进党建引领基层治理和基层政权建设，协调推进城乡社区治理体系、服务体系和治理能力建设，推动基层民主政治建设，指导监督基层群众自治制度的有效实施，健全基层群众自治机制。</w:t>
      </w:r>
    </w:p>
    <w:p>
      <w:pPr>
        <w:pStyle w:val="6"/>
        <w:spacing w:before="0" w:after="0" w:line="240" w:lineRule="auto"/>
        <w:ind w:firstLine="640" w:firstLineChars="2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(四)指导全县性社会组织党建工作，统一领导全县性行业协会商会党的工作，承办全县性行业协会商会负责人人选的审核。协调推动全县行业协会商会深化改革和转型发展，调查研究相关重大问题。</w:t>
      </w:r>
    </w:p>
    <w:p>
      <w:pPr>
        <w:pStyle w:val="6"/>
        <w:spacing w:before="0" w:after="0" w:line="240" w:lineRule="auto"/>
        <w:ind w:firstLine="640" w:firstLineChars="2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五)指导、推动落实全县混合所有制企业、非公有制企业和新经济组织、新社会组织、新就业群体(以下简称“两企三新”)党建工作，指导协调相关企业单位、社会组织、就业群体中党员的教育、管理、监督和服务工作，研究完善相关领域群众利益协调机制。</w:t>
      </w:r>
    </w:p>
    <w:p>
      <w:pPr>
        <w:pStyle w:val="6"/>
        <w:spacing w:before="0" w:after="0" w:line="240" w:lineRule="auto"/>
        <w:ind w:firstLine="640" w:firstLineChars="2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六)负责全县志愿服务工作的统筹规划、协调指导、督促检查，指导推动社会工作人才队伍建设、志愿服务人才队伍建设和阵地建设，以及志愿者服务组织的规范管理工作，协调推动社会工作服务体系和志愿服务体系建设。</w:t>
      </w:r>
    </w:p>
    <w:p>
      <w:pPr>
        <w:pStyle w:val="6"/>
        <w:spacing w:before="0" w:after="0" w:line="240" w:lineRule="auto"/>
        <w:ind w:firstLine="320" w:firstLineChars="1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(七)完成县委交办的其他任务。</w:t>
      </w:r>
    </w:p>
    <w:p>
      <w:pPr>
        <w:pStyle w:val="6"/>
        <w:spacing w:before="0" w:after="0" w:line="240" w:lineRule="auto"/>
        <w:ind w:firstLine="321" w:firstLineChars="100"/>
        <w:rPr>
          <w:rFonts w:ascii="楷体" w:eastAsia="楷体" w:cs="楷体"/>
          <w:color w:val="000000"/>
        </w:rPr>
      </w:pPr>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lang w:val="en-US" w:eastAsia="zh-CN"/>
        </w:rPr>
        <w:t>4</w:t>
      </w:r>
      <w:r>
        <w:rPr>
          <w:rFonts w:hint="eastAsia" w:ascii="楷体" w:eastAsia="楷体" w:cs="楷体"/>
          <w:color w:val="000000"/>
        </w:rPr>
        <w:t>年重点工作完成情况</w:t>
      </w:r>
      <w:bookmarkEnd w:id="29"/>
      <w:bookmarkEnd w:id="30"/>
      <w:bookmarkEnd w:id="31"/>
    </w:p>
    <w:p>
      <w:pPr>
        <w:keepNext w:val="0"/>
        <w:keepLines w:val="0"/>
        <w:pageBreakBefore w:val="0"/>
        <w:widowControl w:val="0"/>
        <w:numPr>
          <w:ilvl w:val="0"/>
          <w:numId w:val="1"/>
        </w:numPr>
        <w:kinsoku/>
        <w:wordWrap/>
        <w:overflowPunct/>
        <w:topLinePunct w:val="0"/>
        <w:autoSpaceDE/>
        <w:autoSpaceDN/>
        <w:bidi w:val="0"/>
        <w:adjustRightInd w:val="0"/>
        <w:snapToGrid/>
        <w:spacing w:line="576" w:lineRule="exact"/>
        <w:ind w:left="-223" w:firstLine="643"/>
        <w:textAlignment w:val="auto"/>
        <w:rPr>
          <w:rFonts w:ascii="Times New Roman" w:hAnsi="Times New Roman" w:eastAsia="仿宋_GB2312" w:cs="Times New Roman"/>
          <w:color w:val="auto"/>
          <w:sz w:val="32"/>
          <w:szCs w:val="32"/>
          <w:lang w:val="en-US" w:eastAsia="zh-CN"/>
        </w:rPr>
      </w:pPr>
      <w:bookmarkStart w:id="32" w:name="_Toc15377200"/>
      <w:bookmarkStart w:id="33" w:name="_Toc3779"/>
      <w:r>
        <w:rPr>
          <w:rFonts w:ascii="方正楷体_GBK" w:eastAsia="方正楷体_GBK" w:cs="方正楷体_GBK"/>
          <w:b/>
          <w:bCs/>
          <w:color w:val="auto"/>
          <w:kern w:val="0"/>
          <w:sz w:val="32"/>
          <w:szCs w:val="32"/>
          <w:shd w:val="clear" w:color="auto" w:fill="auto"/>
          <w:lang w:val="en-US" w:eastAsia="zh-CN"/>
        </w:rPr>
        <w:t>党建引领基层治理和基层政权建设工作方面。</w:t>
      </w:r>
      <w:r>
        <w:rPr>
          <w:rFonts w:hint="eastAsia" w:ascii="Times New Roman" w:hAnsi="Times New Roman" w:eastAsia="方正仿宋_GBK" w:cs="Times New Roman"/>
          <w:b/>
          <w:bCs/>
          <w:color w:val="auto"/>
          <w:kern w:val="0"/>
          <w:sz w:val="32"/>
          <w:szCs w:val="32"/>
          <w:lang w:val="en-US" w:eastAsia="zh-CN"/>
        </w:rPr>
        <w:t>一是</w:t>
      </w:r>
      <w:r>
        <w:rPr>
          <w:rFonts w:ascii="Times New Roman" w:hAnsi="Times New Roman" w:eastAsia="方正仿宋_GBK" w:cs="Times New Roman"/>
          <w:b w:val="0"/>
          <w:bCs w:val="0"/>
          <w:color w:val="auto"/>
          <w:kern w:val="0"/>
          <w:sz w:val="32"/>
          <w:szCs w:val="32"/>
          <w:lang w:val="en-US" w:eastAsia="zh-CN"/>
        </w:rPr>
        <w:t>锚定破解基层治理“小马拉大车”突出问题，制定</w:t>
      </w:r>
      <w:r>
        <w:rPr>
          <w:rFonts w:hint="eastAsia" w:ascii="Times New Roman" w:hAnsi="Times New Roman" w:eastAsia="方正仿宋_GBK" w:cs="Times New Roman"/>
          <w:b w:val="0"/>
          <w:bCs w:val="0"/>
          <w:color w:val="auto"/>
          <w:kern w:val="0"/>
          <w:sz w:val="32"/>
          <w:szCs w:val="32"/>
          <w:lang w:val="en-US" w:eastAsia="zh-CN"/>
        </w:rPr>
        <w:t>出台</w:t>
      </w:r>
      <w:r>
        <w:rPr>
          <w:rFonts w:ascii="Times New Roman" w:hAnsi="Times New Roman" w:eastAsia="方正仿宋_GBK" w:cs="Times New Roman"/>
          <w:b w:val="0"/>
          <w:bCs w:val="0"/>
          <w:color w:val="auto"/>
          <w:kern w:val="0"/>
          <w:sz w:val="32"/>
          <w:szCs w:val="32"/>
          <w:lang w:val="en-US" w:eastAsia="zh-CN"/>
        </w:rPr>
        <w:t>《金川县关于破解“小马拉大车”突出问题提升基层治理服务能力的任务清单》</w:t>
      </w:r>
      <w:r>
        <w:rPr>
          <w:rFonts w:hint="eastAsia" w:ascii="Times New Roman" w:hAnsi="Times New Roman" w:eastAsia="方正仿宋_GBK" w:cs="Times New Roman"/>
          <w:b w:val="0"/>
          <w:bCs w:val="0"/>
          <w:color w:val="auto"/>
          <w:kern w:val="0"/>
          <w:sz w:val="32"/>
          <w:szCs w:val="32"/>
          <w:lang w:val="en-US" w:eastAsia="zh-CN"/>
        </w:rPr>
        <w:t>，明确了职能职责</w:t>
      </w:r>
      <w:r>
        <w:rPr>
          <w:rFonts w:ascii="Times New Roman" w:hAnsi="Times New Roman" w:eastAsia="方正仿宋_GBK" w:cs="Times New Roman"/>
          <w:b w:val="0"/>
          <w:bCs w:val="0"/>
          <w:color w:val="auto"/>
          <w:kern w:val="0"/>
          <w:sz w:val="32"/>
          <w:szCs w:val="32"/>
          <w:lang w:val="en-US" w:eastAsia="zh-CN"/>
        </w:rPr>
        <w:t>，召开了全县关于破解基层治理“小马拉大车”突出问题工作推进会，树牢“大抓基层”工作导向，坚决扛起为基层减负重大责任；</w:t>
      </w:r>
      <w:r>
        <w:rPr>
          <w:rFonts w:hint="eastAsia" w:ascii="Times New Roman" w:hAnsi="Times New Roman" w:eastAsia="方正仿宋_GBK" w:cs="Times New Roman"/>
          <w:b/>
          <w:bCs/>
          <w:color w:val="auto"/>
          <w:kern w:val="0"/>
          <w:sz w:val="32"/>
          <w:szCs w:val="32"/>
          <w:lang w:val="en-US" w:eastAsia="zh-CN"/>
        </w:rPr>
        <w:t>二是</w:t>
      </w:r>
      <w:r>
        <w:rPr>
          <w:rFonts w:ascii="Times New Roman" w:hAnsi="Times New Roman" w:eastAsia="方正仿宋_GBK" w:cs="Times New Roman"/>
          <w:b w:val="0"/>
          <w:bCs w:val="0"/>
          <w:color w:val="auto"/>
          <w:kern w:val="0"/>
          <w:sz w:val="32"/>
          <w:szCs w:val="32"/>
          <w:lang w:val="en-US" w:eastAsia="zh-CN"/>
        </w:rPr>
        <w:t>对全县19个乡镇88个村进行全面摸排梳理，规范村级组织事务、机制牌子、证明事项和村务公开、村(社区)工作事务准入等工作</w:t>
      </w:r>
      <w:r>
        <w:rPr>
          <w:rFonts w:hint="eastAsia" w:ascii="Times New Roman" w:hAnsi="Times New Roman" w:eastAsia="方正仿宋_GBK" w:cs="Times New Roman"/>
          <w:b w:val="0"/>
          <w:bCs w:val="0"/>
          <w:color w:val="auto"/>
          <w:kern w:val="0"/>
          <w:sz w:val="32"/>
          <w:szCs w:val="32"/>
          <w:lang w:val="en-US" w:eastAsia="zh-CN"/>
        </w:rPr>
        <w:t>，</w:t>
      </w:r>
      <w:r>
        <w:rPr>
          <w:rFonts w:ascii="Times New Roman" w:hAnsi="Times New Roman" w:eastAsia="仿宋_GB2312" w:cs="Times New Roman"/>
          <w:color w:val="auto"/>
          <w:sz w:val="32"/>
          <w:szCs w:val="32"/>
          <w:lang w:val="en-US" w:eastAsia="zh-CN"/>
        </w:rPr>
        <w:t>全县清理88个村（社区）标牌、标识、指引牌880个，</w:t>
      </w:r>
      <w:r>
        <w:rPr>
          <w:rFonts w:hint="eastAsia" w:ascii="Times New Roman" w:hAnsi="Times New Roman" w:eastAsia="方正仿宋_GBK" w:cs="Times New Roman"/>
          <w:b/>
          <w:bCs/>
          <w:color w:val="auto"/>
          <w:kern w:val="0"/>
          <w:sz w:val="32"/>
          <w:szCs w:val="32"/>
          <w:lang w:val="en-US" w:eastAsia="zh-CN"/>
        </w:rPr>
        <w:t>三是</w:t>
      </w:r>
      <w:r>
        <w:rPr>
          <w:rFonts w:ascii="Times New Roman" w:hAnsi="Times New Roman" w:eastAsia="方正仿宋_GBK" w:cs="Times New Roman"/>
          <w:b w:val="0"/>
          <w:bCs w:val="0"/>
          <w:color w:val="auto"/>
          <w:kern w:val="0"/>
          <w:sz w:val="32"/>
          <w:szCs w:val="32"/>
          <w:lang w:val="en-US" w:eastAsia="zh-CN"/>
        </w:rPr>
        <w:t>加强村（社区）组织活动阵地建设，上报申请“提能力”“补短板”工程项目4个，资金体量 120 万。</w:t>
      </w:r>
    </w:p>
    <w:p>
      <w:pPr>
        <w:keepNext w:val="0"/>
        <w:keepLines w:val="0"/>
        <w:pageBreakBefore w:val="0"/>
        <w:widowControl w:val="0"/>
        <w:numPr>
          <w:ilvl w:val="0"/>
          <w:numId w:val="1"/>
        </w:numPr>
        <w:kinsoku/>
        <w:wordWrap/>
        <w:overflowPunct/>
        <w:topLinePunct w:val="0"/>
        <w:autoSpaceDE/>
        <w:autoSpaceDN/>
        <w:bidi w:val="0"/>
        <w:adjustRightInd w:val="0"/>
        <w:snapToGrid/>
        <w:spacing w:line="576" w:lineRule="exact"/>
        <w:ind w:left="-223" w:firstLine="643"/>
        <w:textAlignment w:val="auto"/>
        <w:rPr>
          <w:rFonts w:ascii="Times New Roman" w:hAnsi="Times New Roman" w:eastAsia="仿宋_GB2312" w:cs="Times New Roman"/>
          <w:color w:val="auto"/>
          <w:sz w:val="32"/>
          <w:szCs w:val="32"/>
          <w:lang w:val="en-US" w:eastAsia="zh-CN"/>
        </w:rPr>
      </w:pPr>
      <w:r>
        <w:rPr>
          <w:rFonts w:hint="eastAsia" w:ascii="方正楷体_GBK" w:eastAsia="方正楷体_GBK" w:cs="方正楷体_GBK"/>
          <w:b/>
          <w:bCs/>
          <w:color w:val="auto"/>
          <w:kern w:val="0"/>
          <w:sz w:val="32"/>
          <w:szCs w:val="32"/>
          <w:shd w:val="clear" w:color="auto" w:fill="auto"/>
          <w:lang w:val="en-US" w:eastAsia="zh-CN"/>
        </w:rPr>
        <w:t>统筹指导人民</w:t>
      </w:r>
      <w:r>
        <w:rPr>
          <w:rFonts w:ascii="方正楷体_GBK" w:eastAsia="方正楷体_GBK" w:cs="方正楷体_GBK"/>
          <w:b/>
          <w:bCs/>
          <w:color w:val="auto"/>
          <w:kern w:val="0"/>
          <w:sz w:val="32"/>
          <w:szCs w:val="32"/>
          <w:shd w:val="clear" w:color="auto" w:fill="auto"/>
          <w:lang w:val="en-US" w:eastAsia="zh-CN"/>
        </w:rPr>
        <w:t>信访与人民建议征集工作。</w:t>
      </w:r>
      <w:r>
        <w:rPr>
          <w:rFonts w:hint="eastAsia" w:ascii="仿宋_GB2312" w:eastAsia="仿宋_GB2312" w:cs="仿宋_GB2312"/>
          <w:b/>
          <w:bCs/>
          <w:color w:val="auto"/>
          <w:sz w:val="32"/>
          <w:szCs w:val="32"/>
          <w:lang w:val="en-US" w:eastAsia="zh-CN"/>
        </w:rPr>
        <w:t>1.指导人民信访工作。</w:t>
      </w:r>
      <w:r>
        <w:rPr>
          <w:rFonts w:hint="eastAsia" w:ascii="仿宋_GB2312" w:eastAsia="仿宋_GB2312" w:cs="仿宋_GB2312"/>
          <w:color w:val="auto"/>
          <w:sz w:val="32"/>
          <w:szCs w:val="32"/>
          <w:lang w:val="en-US" w:eastAsia="zh-CN"/>
        </w:rPr>
        <w:t>强化组织领导，切实提高政治站位，形成工作联动机制，进一步推进全县信访工作“五个法治化”建设，不断推动信访工作和社会工作相互融合、同频共振。2.</w:t>
      </w:r>
      <w:r>
        <w:rPr>
          <w:rFonts w:hint="eastAsia" w:ascii="仿宋_GB2312" w:eastAsia="仿宋_GB2312" w:cs="仿宋_GB2312"/>
          <w:b/>
          <w:bCs/>
          <w:color w:val="auto"/>
          <w:sz w:val="32"/>
          <w:szCs w:val="32"/>
          <w:lang w:val="en-US" w:eastAsia="zh-CN"/>
        </w:rPr>
        <w:t>指导人民建议征集工作。一是</w:t>
      </w:r>
      <w:r>
        <w:rPr>
          <w:rFonts w:hint="eastAsia" w:ascii="仿宋_GB2312" w:eastAsia="仿宋_GB2312" w:cs="仿宋_GB2312"/>
          <w:color w:val="auto"/>
          <w:sz w:val="32"/>
          <w:szCs w:val="32"/>
          <w:lang w:val="en-US" w:eastAsia="zh-CN"/>
        </w:rPr>
        <w:t>由县委社会工作部牵头，组织县委组织部、县政法委、信访局等部门召开推进协调会，先后印发了《关于开展人民建议征集工作的通知》、《关于设立人民建议征集窗口的通知》等文件，目前，全县已初步建立“征集-筛选-上报-交办-反馈-评价”的人民建议征集工作机制，明确了各环节的责任主体、工作流程和时限要求，确保了人民建议的及时收集、有效处理和及时反馈。</w:t>
      </w:r>
      <w:r>
        <w:rPr>
          <w:rFonts w:hint="eastAsia" w:ascii="仿宋_GB2312" w:eastAsia="仿宋_GB2312" w:cs="仿宋_GB2312"/>
          <w:b/>
          <w:bCs/>
          <w:color w:val="auto"/>
          <w:sz w:val="32"/>
          <w:szCs w:val="32"/>
          <w:lang w:val="en-US" w:eastAsia="zh-CN"/>
        </w:rPr>
        <w:t>二是</w:t>
      </w:r>
      <w:r>
        <w:rPr>
          <w:rFonts w:hint="eastAsia" w:ascii="仿宋_GB2312" w:eastAsia="仿宋_GB2312" w:cs="仿宋_GB2312"/>
          <w:color w:val="auto"/>
          <w:sz w:val="32"/>
          <w:szCs w:val="32"/>
          <w:lang w:val="en-US" w:eastAsia="zh-CN"/>
        </w:rPr>
        <w:t>通过增设“金川县人民建议征集”窗口、“双联双进”群众工作、全县村（社区）网格力量、“净土阿坝·平安微治理随手拍”小程序、12345政务服务热线等方式拓宽人民建议征集渠道，并在“微金川”平台发布《中共金川县委社会工作部关于征集人民建议的公告》，公开征集群众“金点子”、“新创意”和“好办法”，打通人民建议征集的“最后一公里”。截至目前，全县共增设20个“金川县人民建议征集”窗口，收集人民建议28条，上报县委2条建议、报州社工部1条建议。</w:t>
      </w:r>
    </w:p>
    <w:p>
      <w:pPr>
        <w:keepNext w:val="0"/>
        <w:keepLines w:val="0"/>
        <w:pageBreakBefore w:val="0"/>
        <w:widowControl w:val="0"/>
        <w:kinsoku/>
        <w:wordWrap/>
        <w:overflowPunct/>
        <w:topLinePunct w:val="0"/>
        <w:autoSpaceDE/>
        <w:autoSpaceDN/>
        <w:bidi w:val="0"/>
        <w:adjustRightInd w:val="0"/>
        <w:snapToGrid/>
        <w:spacing w:line="576" w:lineRule="exact"/>
        <w:ind w:firstLine="642" w:firstLineChars="200"/>
        <w:textAlignment w:val="auto"/>
        <w:rPr>
          <w:rFonts w:ascii="Times New Roman" w:hAnsi="Times New Roman" w:eastAsia="仿宋_GB2312" w:cs="Times New Roman"/>
          <w:color w:val="auto"/>
          <w:sz w:val="32"/>
          <w:szCs w:val="32"/>
          <w:lang w:val="en-US" w:eastAsia="zh-CN"/>
        </w:rPr>
      </w:pPr>
      <w:r>
        <w:rPr>
          <w:rFonts w:hint="eastAsia" w:ascii="方正楷体_GBK" w:eastAsia="方正楷体_GBK" w:cs="方正楷体_GBK"/>
          <w:b/>
          <w:bCs/>
          <w:color w:val="auto"/>
          <w:kern w:val="0"/>
          <w:sz w:val="32"/>
          <w:szCs w:val="32"/>
          <w:shd w:val="clear" w:color="auto" w:fill="auto"/>
          <w:lang w:val="en-US" w:eastAsia="zh-CN"/>
        </w:rPr>
        <w:t>（三）</w:t>
      </w:r>
      <w:r>
        <w:rPr>
          <w:rFonts w:ascii="方正楷体_GBK" w:eastAsia="方正楷体_GBK" w:cs="方正楷体_GBK"/>
          <w:b/>
          <w:bCs/>
          <w:color w:val="auto"/>
          <w:kern w:val="0"/>
          <w:sz w:val="32"/>
          <w:szCs w:val="32"/>
          <w:shd w:val="clear" w:color="auto" w:fill="auto"/>
          <w:lang w:val="en-US" w:eastAsia="zh-CN"/>
        </w:rPr>
        <w:t>在社会组织和行业协会商会工作方面。</w:t>
      </w:r>
      <w:r>
        <w:rPr>
          <w:rFonts w:ascii="Times New Roman" w:hAnsi="Times New Roman" w:eastAsia="仿宋_GB2312" w:cs="Times New Roman"/>
          <w:color w:val="auto"/>
          <w:sz w:val="32"/>
          <w:szCs w:val="32"/>
          <w:lang w:val="en-US" w:eastAsia="zh-CN"/>
        </w:rPr>
        <w:t>持续开展全县行业协会商会起底摸排，会同民政、工商联等部门摸清全县行业协会商会基本情况，重点推进交通教育、运输、卫生等行业党委党建工作。全面推行行业协会商会“党建入章”</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lang w:val="en-US" w:eastAsia="zh-CN"/>
        </w:rPr>
        <w:t>强化党组织在行业协会商会改革发展、内部治理中的重要作用。目前我县有行业协会商会38家，共有会员532人，其中党员67人</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lang w:val="en-US" w:eastAsia="zh-CN"/>
        </w:rPr>
        <w:t>成立交通行业党组、旅游协会支部、金川商会支部等行业协会商会支部共9个，实现了协会商会在组织架构、人员管理、财务等方面与行政机关分离，有效增强了其自主性与灵活性</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line="576" w:lineRule="exact"/>
        <w:ind w:firstLine="642" w:firstLineChars="200"/>
        <w:textAlignment w:val="auto"/>
        <w:rPr>
          <w:rFonts w:ascii="Times New Roman" w:hAnsi="Times New Roman" w:eastAsia="仿宋_GB2312" w:cs="Times New Roman"/>
          <w:color w:val="auto"/>
          <w:sz w:val="32"/>
          <w:szCs w:val="32"/>
          <w:lang w:val="en-US" w:eastAsia="zh-CN"/>
        </w:rPr>
      </w:pPr>
      <w:r>
        <w:rPr>
          <w:rFonts w:hint="eastAsia" w:ascii="方正楷体_GBK" w:eastAsia="方正楷体_GBK" w:cs="方正楷体_GBK"/>
          <w:b/>
          <w:bCs/>
          <w:color w:val="auto"/>
          <w:kern w:val="0"/>
          <w:sz w:val="32"/>
          <w:szCs w:val="32"/>
          <w:shd w:val="clear" w:color="auto" w:fill="auto"/>
          <w:lang w:val="en-US" w:eastAsia="zh-CN"/>
        </w:rPr>
        <w:t>（四）</w:t>
      </w:r>
      <w:r>
        <w:rPr>
          <w:rFonts w:ascii="方正楷体_GBK" w:eastAsia="方正楷体_GBK" w:cs="方正楷体_GBK"/>
          <w:b/>
          <w:bCs/>
          <w:color w:val="auto"/>
          <w:kern w:val="0"/>
          <w:sz w:val="32"/>
          <w:szCs w:val="32"/>
          <w:shd w:val="clear" w:color="auto" w:fill="auto"/>
          <w:lang w:val="en-US" w:eastAsia="zh-CN"/>
        </w:rPr>
        <w:t>在“两企三新”党建工作方面。</w:t>
      </w:r>
      <w:r>
        <w:rPr>
          <w:rFonts w:ascii="Times New Roman" w:hAnsi="Times New Roman" w:eastAsia="仿宋_GB2312" w:cs="Times New Roman"/>
          <w:color w:val="auto"/>
          <w:sz w:val="32"/>
          <w:szCs w:val="32"/>
          <w:lang w:val="en-US" w:eastAsia="zh-CN"/>
        </w:rPr>
        <w:t>紧扣职责定位，聚焦“两企三新”党建工作要点，进一步加强“两企三新”政治理论学习，强化党组织和党员发展力度，采取应建尽建、规范重建的方式，全面提升党的组织和党的工作覆盖质量。选派党建指导员对全县“两企三新”党组织开展业务指导，规范“三会一课”、主题党日等工作开展。同时，扎实开展“两企三新”培训工作，提高党建工作能力和水平。建部以来，已指导2个货运企业完成组建成立党支部。</w:t>
      </w:r>
      <w:r>
        <w:rPr>
          <w:rFonts w:hint="eastAsia" w:ascii="Times New Roman" w:hAnsi="Times New Roman" w:eastAsia="仿宋_GB2312" w:cs="Times New Roman"/>
          <w:color w:val="auto"/>
          <w:sz w:val="32"/>
          <w:szCs w:val="32"/>
          <w:lang w:val="en-US" w:eastAsia="zh-CN"/>
        </w:rPr>
        <w:t>截止目前，</w:t>
      </w:r>
      <w:r>
        <w:rPr>
          <w:rFonts w:ascii="Times New Roman" w:hAnsi="Times New Roman" w:eastAsia="仿宋_GB2312" w:cs="Times New Roman"/>
          <w:color w:val="auto"/>
          <w:sz w:val="32"/>
          <w:szCs w:val="32"/>
          <w:lang w:val="en-US" w:eastAsia="zh-CN"/>
        </w:rPr>
        <w:t>我县具有一定规模的非公有制企业13个</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lang w:val="en-US" w:eastAsia="zh-CN"/>
        </w:rPr>
        <w:t>新社会组织43个</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lang w:val="en-US" w:eastAsia="zh-CN"/>
        </w:rPr>
        <w:t>新就业群体10个。</w:t>
      </w:r>
    </w:p>
    <w:p>
      <w:pPr>
        <w:keepNext w:val="0"/>
        <w:keepLines w:val="0"/>
        <w:pageBreakBefore w:val="0"/>
        <w:widowControl w:val="0"/>
        <w:kinsoku/>
        <w:wordWrap/>
        <w:overflowPunct/>
        <w:topLinePunct w:val="0"/>
        <w:autoSpaceDE/>
        <w:autoSpaceDN/>
        <w:bidi w:val="0"/>
        <w:adjustRightInd w:val="0"/>
        <w:snapToGrid/>
        <w:spacing w:line="576" w:lineRule="exact"/>
        <w:ind w:firstLine="642" w:firstLineChars="200"/>
        <w:textAlignment w:val="auto"/>
        <w:rPr>
          <w:rFonts w:ascii="Times New Roman" w:hAnsi="Times New Roman" w:eastAsia="方正仿宋_GBK" w:cs="Times New Roman"/>
          <w:color w:val="auto"/>
          <w:sz w:val="32"/>
          <w:szCs w:val="32"/>
          <w:lang w:val="en-US" w:eastAsia="zh-CN"/>
        </w:rPr>
      </w:pPr>
      <w:r>
        <w:rPr>
          <w:rFonts w:hint="eastAsia" w:ascii="方正楷体_GBK" w:eastAsia="方正楷体_GBK" w:cs="方正楷体_GBK"/>
          <w:b/>
          <w:bCs/>
          <w:color w:val="auto"/>
          <w:kern w:val="0"/>
          <w:sz w:val="32"/>
          <w:szCs w:val="32"/>
          <w:shd w:val="clear" w:color="auto" w:fill="auto"/>
          <w:lang w:val="en-US" w:eastAsia="zh-CN"/>
        </w:rPr>
        <w:t>（五）</w:t>
      </w:r>
      <w:r>
        <w:rPr>
          <w:rFonts w:ascii="方正楷体_GBK" w:eastAsia="方正楷体_GBK" w:cs="方正楷体_GBK"/>
          <w:b/>
          <w:bCs/>
          <w:color w:val="auto"/>
          <w:kern w:val="0"/>
          <w:sz w:val="32"/>
          <w:szCs w:val="32"/>
          <w:shd w:val="clear" w:color="auto" w:fill="auto"/>
          <w:lang w:val="en-US" w:eastAsia="zh-CN"/>
        </w:rPr>
        <w:t>在志愿服务与社会工作人才队伍建设工作方面。1.志愿服务工作。</w:t>
      </w:r>
      <w:r>
        <w:rPr>
          <w:rFonts w:ascii="Times New Roman" w:hAnsi="Times New Roman" w:eastAsia="仿宋_GB2312" w:cs="Times New Roman"/>
          <w:color w:val="auto"/>
          <w:sz w:val="32"/>
          <w:szCs w:val="32"/>
          <w:lang w:val="en-US" w:eastAsia="zh-CN"/>
        </w:rPr>
        <w:t>扎实推进全县志愿服务工作，通过广泛宣传招募志愿者，组建了涵盖多个领域的志愿服务队伍。已成立1个志愿服务总队,15个志愿服务分队，有2个已登记注册协会（金川县东女之爱志愿者协会、金川县梨乡青年志愿者协会）；</w:t>
      </w:r>
      <w:r>
        <w:rPr>
          <w:rFonts w:hint="eastAsia" w:ascii="Times New Roman" w:hAnsi="Times New Roman" w:eastAsia="仿宋_GB2312" w:cs="Times New Roman"/>
          <w:color w:val="auto"/>
          <w:sz w:val="32"/>
          <w:szCs w:val="32"/>
          <w:lang w:val="en-US" w:eastAsia="zh-CN"/>
        </w:rPr>
        <w:t>统筹指导各部门</w:t>
      </w:r>
      <w:r>
        <w:rPr>
          <w:rFonts w:ascii="Times New Roman" w:hAnsi="Times New Roman" w:eastAsia="仿宋_GB2312" w:cs="Times New Roman"/>
          <w:color w:val="auto"/>
          <w:sz w:val="32"/>
          <w:szCs w:val="32"/>
          <w:lang w:val="en-US" w:eastAsia="zh-CN"/>
        </w:rPr>
        <w:t>积极开展各类志愿服务活动</w:t>
      </w:r>
      <w:r>
        <w:rPr>
          <w:rFonts w:hint="eastAsia" w:ascii="Times New Roman" w:hAnsi="Times New Roman" w:eastAsia="仿宋_GB2312" w:cs="Times New Roman"/>
          <w:color w:val="auto"/>
          <w:sz w:val="32"/>
          <w:szCs w:val="32"/>
          <w:lang w:val="en-US" w:eastAsia="zh-CN"/>
        </w:rPr>
        <w:t>，12.4宪法宣传日、12.5志愿者日、</w:t>
      </w:r>
      <w:r>
        <w:rPr>
          <w:rFonts w:ascii="Times New Roman" w:hAnsi="Times New Roman" w:eastAsia="仿宋_GB2312" w:cs="Times New Roman"/>
          <w:color w:val="auto"/>
          <w:sz w:val="32"/>
          <w:szCs w:val="32"/>
          <w:lang w:val="en-US" w:eastAsia="zh-CN"/>
        </w:rPr>
        <w:t>“暖冬行动”等志愿服务活动。</w:t>
      </w:r>
      <w:r>
        <w:rPr>
          <w:rFonts w:hint="eastAsia" w:ascii="Times New Roman" w:hAnsi="Times New Roman" w:eastAsia="仿宋_GB2312" w:cs="Times New Roman"/>
          <w:color w:val="auto"/>
          <w:sz w:val="32"/>
          <w:szCs w:val="32"/>
          <w:lang w:val="en-US" w:eastAsia="zh-CN"/>
        </w:rPr>
        <w:t>为灾区</w:t>
      </w:r>
      <w:r>
        <w:rPr>
          <w:rFonts w:ascii="Times New Roman" w:hAnsi="Times New Roman" w:eastAsia="仿宋_GB2312" w:cs="Times New Roman"/>
          <w:color w:val="auto"/>
          <w:sz w:val="32"/>
          <w:szCs w:val="32"/>
          <w:lang w:val="en-US" w:eastAsia="zh-CN"/>
        </w:rPr>
        <w:t>组织全县志愿者、两新组织、社区工作者、各行业协会共300余人到泥石流受灾区参与房屋淤泥清理、物资转运、心理疏导等志愿服务工作。</w:t>
      </w:r>
      <w:r>
        <w:rPr>
          <w:rFonts w:hint="eastAsia" w:ascii="Times New Roman" w:hAnsi="Times New Roman" w:eastAsia="仿宋_GB2312" w:cs="Times New Roman"/>
          <w:color w:val="auto"/>
          <w:sz w:val="32"/>
          <w:szCs w:val="32"/>
          <w:lang w:val="en-US" w:eastAsia="zh-CN"/>
        </w:rPr>
        <w:t>今年，</w:t>
      </w:r>
      <w:r>
        <w:rPr>
          <w:rFonts w:ascii="Times New Roman" w:hAnsi="Times New Roman" w:eastAsia="仿宋_GB2312" w:cs="Times New Roman"/>
          <w:color w:val="auto"/>
          <w:sz w:val="32"/>
          <w:szCs w:val="32"/>
          <w:lang w:val="en-US" w:eastAsia="zh-CN"/>
        </w:rPr>
        <w:t>组织</w:t>
      </w:r>
      <w:r>
        <w:rPr>
          <w:rFonts w:hint="eastAsia" w:ascii="Times New Roman" w:hAnsi="Times New Roman" w:eastAsia="仿宋_GB2312" w:cs="Times New Roman"/>
          <w:color w:val="auto"/>
          <w:sz w:val="32"/>
          <w:szCs w:val="32"/>
          <w:lang w:val="en-US" w:eastAsia="zh-CN"/>
        </w:rPr>
        <w:t>开展</w:t>
      </w:r>
      <w:r>
        <w:rPr>
          <w:rFonts w:ascii="Times New Roman" w:hAnsi="Times New Roman" w:eastAsia="仿宋_GB2312" w:cs="Times New Roman"/>
          <w:color w:val="auto"/>
          <w:sz w:val="32"/>
          <w:szCs w:val="32"/>
          <w:lang w:val="en-US" w:eastAsia="zh-CN"/>
        </w:rPr>
        <w:t>志愿服务148场次，参与志愿服务人员累计1784人次，累计服务时长约2260小时，发放宣传资料4000余份，开展宣讲30余次。</w:t>
      </w:r>
      <w:r>
        <w:rPr>
          <w:rFonts w:ascii="Times New Roman" w:hAnsi="Times New Roman" w:eastAsia="仿宋_GB2312" w:cs="Times New Roman"/>
          <w:b/>
          <w:bCs/>
          <w:color w:val="auto"/>
          <w:sz w:val="32"/>
          <w:szCs w:val="32"/>
          <w:lang w:val="en-US" w:eastAsia="zh-CN"/>
        </w:rPr>
        <w:t>2.社工服务工作。</w:t>
      </w:r>
      <w:r>
        <w:rPr>
          <w:rFonts w:ascii="Times New Roman" w:hAnsi="Times New Roman" w:eastAsia="方正仿宋_GBK" w:cs="Times New Roman"/>
          <w:color w:val="auto"/>
          <w:sz w:val="32"/>
          <w:szCs w:val="32"/>
          <w:lang w:val="en-US" w:eastAsia="zh-CN"/>
        </w:rPr>
        <w:t>社工部成立后，积极探索社会工作服务和志愿服务联动发展的机制模式，联合县总工会、县人社局、县民政局、县司法局等部门，加强推动社工人员参与司法矫正，未成年人保护，敬老助残、医疗服务、留守儿童等特殊困难群体的服务工作，推进县委县政府、社区、社工、社会组织资源共享、优势互补、相互促进的良好局面，为人民提供更加优质、高效的社会服务。目前，全县有持证社工28人，取得社会工作专业大专以上学历证书34人，有</w:t>
      </w:r>
      <w:r>
        <w:rPr>
          <w:rFonts w:hint="eastAsia" w:ascii="Times New Roman" w:hAnsi="Times New Roman" w:eastAsia="方正仿宋_GBK" w:cs="Times New Roman"/>
          <w:color w:val="auto"/>
          <w:sz w:val="32"/>
          <w:szCs w:val="32"/>
          <w:lang w:val="en-US" w:eastAsia="zh-CN"/>
        </w:rPr>
        <w:t>2</w:t>
      </w:r>
      <w:r>
        <w:rPr>
          <w:rFonts w:ascii="Times New Roman" w:hAnsi="Times New Roman" w:eastAsia="方正仿宋_GBK" w:cs="Times New Roman"/>
          <w:color w:val="auto"/>
          <w:sz w:val="32"/>
          <w:szCs w:val="32"/>
          <w:lang w:val="en-US" w:eastAsia="zh-CN"/>
        </w:rPr>
        <w:t>家登记注册的社会工作服务机构</w:t>
      </w:r>
      <w:r>
        <w:rPr>
          <w:rFonts w:hint="eastAsia" w:ascii="Times New Roman" w:hAnsi="Times New Roman" w:eastAsia="方正仿宋_GBK" w:cs="Times New Roman"/>
          <w:color w:val="auto"/>
          <w:sz w:val="32"/>
          <w:szCs w:val="32"/>
          <w:lang w:val="en-US" w:eastAsia="zh-CN"/>
        </w:rPr>
        <w:t>（金川梨之花社会工作服务中心、金川尚帮社会工作服务中心）。</w:t>
      </w:r>
      <w:r>
        <w:rPr>
          <w:rFonts w:ascii="Times New Roman" w:hAnsi="Times New Roman" w:eastAsia="方正仿宋_GBK" w:cs="Times New Roman"/>
          <w:color w:val="auto"/>
          <w:sz w:val="32"/>
          <w:szCs w:val="32"/>
          <w:lang w:val="en-US" w:eastAsia="zh-CN"/>
        </w:rPr>
        <w:t>扎实做好“三区”计划工作</w:t>
      </w:r>
      <w:r>
        <w:rPr>
          <w:rFonts w:hint="eastAsia" w:ascii="Times New Roman" w:hAnsi="Times New Roman" w:eastAsia="方正仿宋_GBK" w:cs="Times New Roman"/>
          <w:color w:val="auto"/>
          <w:sz w:val="32"/>
          <w:szCs w:val="32"/>
          <w:lang w:val="en-US" w:eastAsia="zh-CN"/>
        </w:rPr>
        <w:t>（</w:t>
      </w:r>
      <w:r>
        <w:rPr>
          <w:rFonts w:hint="eastAsia" w:ascii="仿宋_GB2312" w:eastAsia="仿宋_GB2312" w:cs="仿宋_GB2312"/>
          <w:color w:val="auto"/>
          <w:kern w:val="0"/>
          <w:sz w:val="32"/>
          <w:szCs w:val="32"/>
          <w:lang w:val="en-US" w:eastAsia="zh-CN"/>
        </w:rPr>
        <w:t>边疆地区、民族地区和革命老区社会工作专业人才支持计划</w:t>
      </w:r>
      <w:r>
        <w:rPr>
          <w:rFonts w:hint="eastAsia"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val="en-US" w:eastAsia="zh-CN"/>
        </w:rPr>
        <w:t>，与高校和区外机构就如何开展人才培训、机构赋能、资源链接、实施社区治理、群体服务、社会工作和志愿服务联动发展等方面制定了详细计划。截止目前，联合开展培训会1次，培训30余人。</w:t>
      </w:r>
    </w:p>
    <w:p>
      <w:pPr>
        <w:spacing w:line="578" w:lineRule="exact"/>
        <w:ind w:firstLine="640" w:firstLineChars="200"/>
        <w:rPr>
          <w:rStyle w:val="21"/>
          <w:b w:val="0"/>
          <w:bCs w:val="0"/>
        </w:rPr>
      </w:pPr>
      <w:r>
        <w:rPr>
          <w:rStyle w:val="21"/>
          <w:rFonts w:hint="eastAsia" w:ascii="黑体" w:eastAsia="黑体"/>
          <w:b w:val="0"/>
          <w:bCs w:val="0"/>
        </w:rPr>
        <w:t>二、机构设置</w:t>
      </w:r>
      <w:bookmarkEnd w:id="32"/>
    </w:p>
    <w:bookmarkEnd w:id="33"/>
    <w:p>
      <w:pPr>
        <w:snapToGrid w:val="0"/>
        <w:spacing w:line="520" w:lineRule="exact"/>
        <w:ind w:firstLine="640" w:firstLineChars="200"/>
        <w:rPr>
          <w:rFonts w:ascii="仿宋_GB2312" w:eastAsia="仿宋_GB2312" w:cs="仿宋_GB2312"/>
          <w:bCs/>
          <w:sz w:val="32"/>
        </w:rPr>
      </w:pPr>
      <w:bookmarkStart w:id="34" w:name="_Toc15377204"/>
      <w:r>
        <w:rPr>
          <w:rFonts w:hint="eastAsia" w:ascii="仿宋_GB2312" w:eastAsia="仿宋_GB2312" w:cs="仿宋_GB2312"/>
          <w:bCs/>
          <w:sz w:val="32"/>
        </w:rPr>
        <w:t>我</w:t>
      </w:r>
      <w:r>
        <w:rPr>
          <w:rFonts w:hint="eastAsia" w:ascii="仿宋_GB2312" w:eastAsia="仿宋_GB2312" w:cs="仿宋_GB2312"/>
          <w:bCs/>
          <w:sz w:val="32"/>
          <w:lang w:val="en-US" w:eastAsia="zh-CN"/>
        </w:rPr>
        <w:t>部</w:t>
      </w:r>
      <w:r>
        <w:rPr>
          <w:rFonts w:hint="eastAsia" w:ascii="仿宋_GB2312" w:eastAsia="仿宋_GB2312" w:cs="仿宋_GB2312"/>
          <w:bCs/>
          <w:sz w:val="32"/>
        </w:rPr>
        <w:t>202</w:t>
      </w:r>
      <w:r>
        <w:rPr>
          <w:rFonts w:hint="eastAsia" w:ascii="仿宋_GB2312" w:eastAsia="仿宋_GB2312" w:cs="仿宋_GB2312"/>
          <w:bCs/>
          <w:sz w:val="32"/>
          <w:lang w:val="en-US" w:eastAsia="zh-CN"/>
        </w:rPr>
        <w:t>4</w:t>
      </w:r>
      <w:r>
        <w:rPr>
          <w:rFonts w:hint="eastAsia" w:ascii="仿宋_GB2312" w:eastAsia="仿宋_GB2312" w:cs="仿宋_GB2312"/>
          <w:bCs/>
          <w:sz w:val="32"/>
        </w:rPr>
        <w:t>年年末在职</w:t>
      </w:r>
      <w:r>
        <w:rPr>
          <w:rFonts w:hint="eastAsia" w:ascii="仿宋_GB2312" w:eastAsia="仿宋_GB2312" w:cs="仿宋_GB2312"/>
          <w:bCs/>
          <w:sz w:val="32"/>
          <w:lang w:val="en-US" w:eastAsia="zh-CN"/>
        </w:rPr>
        <w:t>6</w:t>
      </w:r>
      <w:r>
        <w:rPr>
          <w:rFonts w:hint="eastAsia" w:ascii="仿宋_GB2312" w:eastAsia="仿宋_GB2312" w:cs="仿宋_GB2312"/>
          <w:bCs/>
          <w:sz w:val="32"/>
        </w:rPr>
        <w:t>人。</w:t>
      </w:r>
    </w:p>
    <w:p>
      <w:pPr>
        <w:pStyle w:val="5"/>
        <w:ind w:right="440"/>
        <w:jc w:val="right"/>
      </w:pPr>
      <w:bookmarkStart w:id="35" w:name="_Toc1757"/>
      <w:r>
        <w:rPr>
          <w:rFonts w:hint="eastAsia" w:ascii="黑体" w:eastAsia="黑体"/>
          <w:b w:val="0"/>
          <w:color w:val="000000"/>
        </w:rPr>
        <w:t>第二部分</w:t>
      </w:r>
      <w:r>
        <w:rPr>
          <w:rFonts w:hint="eastAsia" w:ascii="黑体" w:eastAsia="黑体"/>
          <w:color w:val="000000"/>
        </w:rPr>
        <w:t xml:space="preserve"> </w:t>
      </w:r>
      <w:r>
        <w:rPr>
          <w:rStyle w:val="20"/>
          <w:rFonts w:ascii="黑体" w:eastAsia="黑体"/>
          <w:b w:val="0"/>
          <w:bCs w:val="0"/>
        </w:rPr>
        <w:t>202</w:t>
      </w:r>
      <w:r>
        <w:rPr>
          <w:rStyle w:val="20"/>
          <w:rFonts w:hint="eastAsia" w:ascii="黑体" w:eastAsia="黑体"/>
          <w:b w:val="0"/>
          <w:bCs w:val="0"/>
          <w:lang w:val="en-US"/>
        </w:rPr>
        <w:t>4</w:t>
      </w:r>
      <w:r>
        <w:rPr>
          <w:rStyle w:val="20"/>
          <w:rFonts w:hint="eastAsia" w:ascii="黑体" w:eastAsia="黑体"/>
          <w:b w:val="0"/>
          <w:bCs w:val="0"/>
        </w:rPr>
        <w:t>年度部门决算情况说明</w:t>
      </w:r>
      <w:bookmarkEnd w:id="34"/>
      <w:bookmarkEnd w:id="35"/>
    </w:p>
    <w:p>
      <w:pPr>
        <w:pStyle w:val="27"/>
        <w:numPr>
          <w:ilvl w:val="0"/>
          <w:numId w:val="2"/>
        </w:numPr>
        <w:ind w:left="0" w:firstLine="0" w:firstLineChars="0"/>
        <w:outlineLvl w:val="1"/>
        <w:rPr>
          <w:rStyle w:val="21"/>
          <w:rFonts w:ascii="黑体" w:eastAsia="黑体"/>
          <w:b w:val="0"/>
        </w:rPr>
      </w:pPr>
      <w:bookmarkStart w:id="36" w:name="_Toc24269"/>
      <w:bookmarkStart w:id="37" w:name="_Toc15377205"/>
      <w:r>
        <w:rPr>
          <w:rFonts w:hint="eastAsia" w:ascii="黑体" w:eastAsia="黑体"/>
          <w:color w:val="000000"/>
          <w:sz w:val="32"/>
          <w:szCs w:val="32"/>
        </w:rPr>
        <w:t>收</w:t>
      </w:r>
      <w:r>
        <w:rPr>
          <w:rStyle w:val="21"/>
          <w:rFonts w:hint="eastAsia" w:ascii="黑体" w:eastAsia="黑体"/>
          <w:b w:val="0"/>
        </w:rPr>
        <w:t>入支出决算总体情况说明</w:t>
      </w:r>
      <w:bookmarkEnd w:id="36"/>
      <w:bookmarkEnd w:id="37"/>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4年度总收入64.66万元.</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4年总支出64.66万元。</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bookmarkStart w:id="38" w:name="_Toc23212"/>
      <w:bookmarkStart w:id="39" w:name="_Toc6522"/>
      <w:bookmarkStart w:id="40" w:name="_Toc4019"/>
      <w:bookmarkStart w:id="41" w:name="_Toc28166"/>
      <w:bookmarkStart w:id="42" w:name="_Toc19067"/>
      <w:r>
        <w:rPr>
          <w:rFonts w:ascii="Times New Roman" w:hAnsi="Times New Roman" w:eastAsia="方正仿宋_GBK" w:cs="Times New Roman"/>
          <w:color w:val="auto"/>
          <w:sz w:val="32"/>
          <w:szCs w:val="32"/>
          <w:lang w:val="en-US" w:eastAsia="zh-CN"/>
        </w:rPr>
        <w:t>20</w:t>
      </w:r>
      <w:r>
        <w:rPr>
          <w:rFonts w:hint="eastAsia" w:ascii="Times New Roman" w:hAnsi="Times New Roman" w:eastAsia="方正仿宋_GBK" w:cs="Times New Roman"/>
          <w:color w:val="auto"/>
          <w:sz w:val="32"/>
          <w:szCs w:val="32"/>
          <w:lang w:val="en-US" w:eastAsia="zh-CN"/>
        </w:rPr>
        <w:t>24年总收入64.66万元，其中：一般公共预算财政拨款收入64.66万元，占0</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；政府性基金预算财政拨款收入0万元，占0</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；国有资本经营预算财政拨款收入0万元，占0</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；事业收入0万元，占0</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；经营收入0万元，占0</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；附属单位上缴收入0万元，占0</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；其他收入0万元，占0%。</w:t>
      </w:r>
      <w:bookmarkEnd w:id="38"/>
      <w:bookmarkEnd w:id="39"/>
      <w:bookmarkEnd w:id="40"/>
      <w:bookmarkEnd w:id="41"/>
      <w:bookmarkEnd w:id="42"/>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hint="eastAsia" w:ascii="Times New Roman" w:hAnsi="Times New Roman" w:eastAsia="方正仿宋_GBK" w:cs="Times New Roman"/>
          <w:color w:val="auto"/>
          <w:sz w:val="32"/>
          <w:szCs w:val="32"/>
          <w:lang w:val="en-US" w:eastAsia="zh-CN"/>
        </w:rPr>
      </w:pPr>
      <w:bookmarkStart w:id="43" w:name="_Toc32450"/>
      <w:bookmarkStart w:id="44" w:name="_Toc15377207"/>
    </w:p>
    <w:p>
      <w:pPr>
        <w:spacing w:line="240" w:lineRule="auto"/>
        <w:ind w:firstLine="640" w:firstLineChars="200"/>
        <w:outlineLvl w:val="1"/>
        <w:rPr>
          <w:rFonts w:hint="eastAsia" w:ascii="黑体" w:eastAsia="黑体"/>
          <w:color w:val="000000"/>
          <w:sz w:val="32"/>
          <w:szCs w:val="32"/>
          <w:lang w:eastAsia="zh-CN"/>
        </w:rPr>
      </w:pPr>
    </w:p>
    <w:p>
      <w:pPr>
        <w:spacing w:line="240" w:lineRule="auto"/>
        <w:ind w:firstLine="640" w:firstLineChars="200"/>
        <w:outlineLvl w:val="1"/>
        <w:rPr>
          <w:rFonts w:hint="eastAsia" w:ascii="黑体" w:eastAsia="黑体"/>
          <w:color w:val="000000"/>
          <w:sz w:val="32"/>
          <w:szCs w:val="32"/>
          <w:lang w:eastAsia="zh-CN"/>
        </w:rPr>
      </w:pPr>
      <w:r>
        <w:rPr>
          <w:rFonts w:hint="eastAsia" w:ascii="黑体" w:eastAsia="黑体"/>
          <w:color w:val="000000"/>
          <w:sz w:val="32"/>
          <w:szCs w:val="32"/>
          <w:lang w:eastAsia="zh-CN"/>
        </w:rPr>
        <w:drawing>
          <wp:inline distT="0" distB="0" distL="114300" distR="114300">
            <wp:extent cx="4839970" cy="2755265"/>
            <wp:effectExtent l="0" t="0" r="10" b="11"/>
            <wp:docPr id="1" name="图片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2"/>
                    <pic:cNvPicPr>
                      <a:picLocks noChangeAspect="1"/>
                    </pic:cNvPicPr>
                  </pic:nvPicPr>
                  <pic:blipFill>
                    <a:blip r:embed="rId6"/>
                    <a:stretch>
                      <a:fillRect/>
                    </a:stretch>
                  </pic:blipFill>
                  <pic:spPr>
                    <a:xfrm>
                      <a:off x="0" y="0"/>
                      <a:ext cx="4839970" cy="2755265"/>
                    </a:xfrm>
                    <a:prstGeom prst="rect">
                      <a:avLst/>
                    </a:prstGeom>
                    <a:noFill/>
                    <a:ln w="9525" cap="flat" cmpd="sng">
                      <a:noFill/>
                      <a:prstDash val="solid"/>
                      <a:miter/>
                    </a:ln>
                  </pic:spPr>
                </pic:pic>
              </a:graphicData>
            </a:graphic>
          </wp:inline>
        </w:drawing>
      </w:r>
    </w:p>
    <w:p>
      <w:pPr>
        <w:spacing w:line="600" w:lineRule="exact"/>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pStyle w:val="27"/>
        <w:spacing w:line="600" w:lineRule="exact"/>
        <w:ind w:firstLine="640"/>
        <w:outlineLvl w:val="1"/>
        <w:rPr>
          <w:rFonts w:hint="eastAsia" w:ascii="方正黑体_GBK" w:hAnsi="方正黑体_GBK" w:eastAsia="方正黑体_GBK" w:cs="方正黑体_GBK"/>
          <w:sz w:val="32"/>
          <w:szCs w:val="32"/>
        </w:rPr>
      </w:pPr>
      <w:bookmarkStart w:id="45" w:name="_Toc15377206"/>
      <w:bookmarkStart w:id="46" w:name="_Toc15396604"/>
      <w:r>
        <w:rPr>
          <w:rFonts w:hint="eastAsia" w:ascii="方正黑体_GBK" w:hAnsi="方正黑体_GBK" w:eastAsia="方正黑体_GBK" w:cs="方正黑体_GBK"/>
          <w:sz w:val="32"/>
          <w:szCs w:val="32"/>
        </w:rPr>
        <w:t>二、收入决算情况说明</w:t>
      </w:r>
      <w:bookmarkEnd w:id="45"/>
      <w:bookmarkEnd w:id="46"/>
    </w:p>
    <w:p>
      <w:pPr>
        <w:pStyle w:val="27"/>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w:t>
      </w:r>
      <w:r>
        <w:rPr>
          <w:rFonts w:hint="default" w:ascii="仿宋_GB2312" w:hAnsi="仿宋_GB2312" w:eastAsia="仿宋_GB2312" w:cs="仿宋_GB2312"/>
          <w:sz w:val="32"/>
          <w:szCs w:val="32"/>
        </w:rPr>
        <w:t>64.66</w:t>
      </w:r>
      <w:r>
        <w:rPr>
          <w:rFonts w:hint="eastAsia" w:ascii="仿宋_GB2312" w:hAnsi="仿宋_GB2312" w:eastAsia="仿宋_GB2312" w:cs="仿宋_GB2312"/>
          <w:sz w:val="32"/>
          <w:szCs w:val="32"/>
        </w:rPr>
        <w:t>万元，其中：一般公共预算财政拨款收入</w:t>
      </w:r>
      <w:r>
        <w:rPr>
          <w:rFonts w:hint="default" w:ascii="仿宋_GB2312" w:hAnsi="仿宋_GB2312" w:eastAsia="仿宋_GB2312" w:cs="仿宋_GB2312"/>
          <w:sz w:val="32"/>
          <w:szCs w:val="32"/>
        </w:rPr>
        <w:t>64.66</w:t>
      </w:r>
      <w:r>
        <w:rPr>
          <w:rFonts w:hint="eastAsia" w:ascii="仿宋_GB2312" w:hAnsi="仿宋_GB2312" w:eastAsia="仿宋_GB2312" w:cs="仿宋_GB2312"/>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p>
    <w:p>
      <w:pPr>
        <w:spacing w:line="600" w:lineRule="exact"/>
        <w:outlineLvl w:val="1"/>
        <w:rPr>
          <w:rFonts w:hint="eastAsia" w:ascii="黑体" w:eastAsia="黑体"/>
          <w:color w:val="000000"/>
          <w:sz w:val="32"/>
          <w:szCs w:val="32"/>
        </w:rPr>
      </w:pPr>
    </w:p>
    <w:p>
      <w:pPr>
        <w:spacing w:line="600" w:lineRule="exact"/>
        <w:ind w:firstLine="640" w:firstLineChars="200"/>
        <w:outlineLvl w:val="1"/>
        <w:rPr>
          <w:rStyle w:val="21"/>
          <w:rFonts w:ascii="黑体" w:eastAsia="黑体"/>
          <w:b w:val="0"/>
        </w:rPr>
      </w:pPr>
      <w:r>
        <w:rPr>
          <w:rFonts w:hint="eastAsia" w:ascii="黑体" w:eastAsia="黑体"/>
          <w:color w:val="000000"/>
          <w:sz w:val="32"/>
          <w:szCs w:val="32"/>
        </w:rPr>
        <w:t>三、支出决</w:t>
      </w:r>
      <w:r>
        <w:rPr>
          <w:rStyle w:val="21"/>
          <w:rFonts w:hint="eastAsia" w:ascii="黑体" w:eastAsia="黑体"/>
          <w:b w:val="0"/>
        </w:rPr>
        <w:t>算情况说明</w:t>
      </w:r>
      <w:bookmarkEnd w:id="43"/>
      <w:bookmarkEnd w:id="44"/>
    </w:p>
    <w:p>
      <w:pPr>
        <w:spacing w:line="240" w:lineRule="auto"/>
        <w:ind w:firstLine="640"/>
        <w:rPr>
          <w:rFonts w:hint="eastAsia" w:ascii="仿宋_GB2312" w:hAnsi="仿宋_GB2312" w:eastAsia="仿宋"/>
          <w:color w:val="FF0000"/>
          <w:sz w:val="32"/>
          <w:szCs w:val="32"/>
          <w:lang w:eastAsia="zh-CN"/>
        </w:rPr>
      </w:pPr>
      <w:r>
        <w:rPr>
          <w:rFonts w:ascii="仿宋" w:eastAsia="仿宋"/>
          <w:color w:val="auto"/>
          <w:sz w:val="32"/>
          <w:szCs w:val="32"/>
        </w:rPr>
        <w:t>202</w:t>
      </w:r>
      <w:r>
        <w:rPr>
          <w:rFonts w:hint="eastAsia" w:ascii="仿宋" w:eastAsia="仿宋"/>
          <w:color w:val="auto"/>
          <w:sz w:val="32"/>
          <w:szCs w:val="32"/>
          <w:lang w:val="en-US" w:eastAsia="zh-CN"/>
        </w:rPr>
        <w:t>4</w:t>
      </w:r>
      <w:r>
        <w:rPr>
          <w:rFonts w:hint="eastAsia" w:ascii="仿宋" w:eastAsia="仿宋"/>
          <w:color w:val="auto"/>
          <w:sz w:val="32"/>
          <w:szCs w:val="32"/>
        </w:rPr>
        <w:t>年本年总支出</w:t>
      </w:r>
      <w:r>
        <w:rPr>
          <w:rFonts w:hint="eastAsia" w:ascii="仿宋_GB2312" w:eastAsia="仿宋_GB2312"/>
          <w:color w:val="auto"/>
          <w:spacing w:val="-2"/>
          <w:sz w:val="32"/>
          <w:szCs w:val="32"/>
          <w:lang w:val="en-US" w:eastAsia="zh-CN"/>
        </w:rPr>
        <w:t>64.66</w:t>
      </w:r>
      <w:r>
        <w:rPr>
          <w:rFonts w:hint="eastAsia" w:ascii="仿宋" w:eastAsia="仿宋"/>
          <w:color w:val="auto"/>
          <w:sz w:val="32"/>
          <w:szCs w:val="32"/>
        </w:rPr>
        <w:t>万元，其中：基本支出</w:t>
      </w:r>
      <w:r>
        <w:rPr>
          <w:rFonts w:hint="eastAsia" w:ascii="仿宋_GB2312" w:eastAsia="仿宋_GB2312"/>
          <w:color w:val="auto"/>
          <w:spacing w:val="-2"/>
          <w:sz w:val="32"/>
          <w:szCs w:val="32"/>
          <w:lang w:val="en-US" w:eastAsia="zh-CN"/>
        </w:rPr>
        <w:t>56.53</w:t>
      </w:r>
      <w:r>
        <w:rPr>
          <w:rFonts w:hint="eastAsia" w:ascii="仿宋" w:eastAsia="仿宋"/>
          <w:color w:val="auto"/>
          <w:sz w:val="32"/>
          <w:szCs w:val="32"/>
        </w:rPr>
        <w:t>万元，占</w:t>
      </w:r>
      <w:r>
        <w:rPr>
          <w:rFonts w:hint="eastAsia" w:ascii="仿宋" w:eastAsia="仿宋"/>
          <w:color w:val="auto"/>
          <w:sz w:val="32"/>
          <w:szCs w:val="32"/>
          <w:lang w:val="en-US" w:eastAsia="zh-CN"/>
        </w:rPr>
        <w:t>87.43</w:t>
      </w:r>
      <w:r>
        <w:rPr>
          <w:rFonts w:hint="eastAsia" w:ascii="仿宋" w:eastAsia="仿宋"/>
          <w:color w:val="auto"/>
          <w:sz w:val="32"/>
          <w:szCs w:val="32"/>
        </w:rPr>
        <w:t xml:space="preserve"> %；项目支出</w:t>
      </w:r>
      <w:r>
        <w:rPr>
          <w:rFonts w:hint="eastAsia" w:ascii="仿宋" w:eastAsia="仿宋"/>
          <w:color w:val="auto"/>
          <w:sz w:val="32"/>
          <w:szCs w:val="32"/>
          <w:lang w:val="en-US" w:eastAsia="zh-CN"/>
        </w:rPr>
        <w:t>8.13</w:t>
      </w:r>
      <w:r>
        <w:rPr>
          <w:rFonts w:hint="eastAsia" w:ascii="仿宋" w:eastAsia="仿宋"/>
          <w:color w:val="auto"/>
          <w:sz w:val="32"/>
          <w:szCs w:val="32"/>
        </w:rPr>
        <w:t>万元，占</w:t>
      </w:r>
      <w:r>
        <w:rPr>
          <w:rFonts w:hint="eastAsia" w:ascii="仿宋" w:eastAsia="仿宋"/>
          <w:color w:val="auto"/>
          <w:sz w:val="32"/>
          <w:szCs w:val="32"/>
          <w:lang w:val="en-US" w:eastAsia="zh-CN"/>
        </w:rPr>
        <w:t>12.57</w:t>
      </w:r>
      <w:r>
        <w:rPr>
          <w:rFonts w:hint="eastAsia" w:ascii="仿宋" w:eastAsia="仿宋"/>
          <w:color w:val="auto"/>
          <w:sz w:val="32"/>
          <w:szCs w:val="32"/>
        </w:rPr>
        <w:t>%；上缴上级支出0万元，占0%；经营支出0万元，占0</w:t>
      </w:r>
      <w:r>
        <w:rPr>
          <w:rFonts w:ascii="仿宋" w:eastAsia="仿宋"/>
          <w:color w:val="auto"/>
          <w:sz w:val="32"/>
          <w:szCs w:val="32"/>
        </w:rPr>
        <w:t>%</w:t>
      </w:r>
      <w:r>
        <w:rPr>
          <w:rFonts w:hint="eastAsia" w:ascii="仿宋" w:eastAsia="仿宋"/>
          <w:color w:val="auto"/>
          <w:sz w:val="32"/>
          <w:szCs w:val="32"/>
        </w:rPr>
        <w:t>；对附属单位补助支出0万元，占0</w:t>
      </w:r>
      <w:r>
        <w:rPr>
          <w:rFonts w:ascii="仿宋" w:eastAsia="仿宋"/>
          <w:color w:val="auto"/>
          <w:sz w:val="32"/>
          <w:szCs w:val="32"/>
        </w:rPr>
        <w:t>%</w:t>
      </w:r>
      <w:r>
        <w:rPr>
          <w:rFonts w:hint="eastAsia" w:ascii="仿宋" w:eastAsia="仿宋"/>
          <w:color w:val="auto"/>
          <w:sz w:val="32"/>
          <w:szCs w:val="32"/>
        </w:rPr>
        <w:t>。</w:t>
      </w:r>
      <w:r>
        <w:rPr>
          <w:rFonts w:hint="eastAsia" w:ascii="仿宋_GB2312" w:hAnsi="仿宋_GB2312" w:eastAsia="仿宋"/>
          <w:color w:val="FF0000"/>
          <w:sz w:val="32"/>
          <w:szCs w:val="32"/>
          <w:lang w:eastAsia="zh-CN"/>
        </w:rPr>
        <w:drawing>
          <wp:inline distT="0" distB="0" distL="114300" distR="114300">
            <wp:extent cx="4839970" cy="2755265"/>
            <wp:effectExtent l="0" t="0" r="10" b="11"/>
            <wp:docPr id="4" name="图片 2"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图片11"/>
                    <pic:cNvPicPr>
                      <a:picLocks noChangeAspect="1"/>
                    </pic:cNvPicPr>
                  </pic:nvPicPr>
                  <pic:blipFill>
                    <a:blip r:embed="rId7"/>
                    <a:stretch>
                      <a:fillRect/>
                    </a:stretch>
                  </pic:blipFill>
                  <pic:spPr>
                    <a:xfrm>
                      <a:off x="0" y="0"/>
                      <a:ext cx="4839970" cy="2755265"/>
                    </a:xfrm>
                    <a:prstGeom prst="rect">
                      <a:avLst/>
                    </a:prstGeom>
                    <a:noFill/>
                    <a:ln w="9525" cap="flat" cmpd="sng">
                      <a:noFill/>
                      <a:prstDash val="solid"/>
                      <a:miter/>
                    </a:ln>
                  </pic:spPr>
                </pic:pic>
              </a:graphicData>
            </a:graphic>
          </wp:inline>
        </w:drawing>
      </w:r>
    </w:p>
    <w:p>
      <w:pPr>
        <w:pStyle w:val="22"/>
        <w:rPr>
          <w:rFonts w:hint="eastAsia" w:ascii="仿宋_GB2312" w:eastAsia="仿宋_GB2312"/>
          <w:color w:val="FF0000"/>
          <w:sz w:val="32"/>
          <w:szCs w:val="32"/>
          <w:lang w:eastAsia="zh-CN"/>
        </w:rPr>
      </w:pPr>
    </w:p>
    <w:p>
      <w:pPr>
        <w:rPr>
          <w:rFonts w:hint="eastAsia"/>
          <w:lang w:eastAsia="zh-CN"/>
        </w:rPr>
      </w:pPr>
    </w:p>
    <w:p>
      <w:pPr>
        <w:spacing w:line="600" w:lineRule="exact"/>
        <w:ind w:left="210"/>
        <w:rPr>
          <w:rStyle w:val="21"/>
          <w:rFonts w:hint="eastAsia" w:ascii="黑体" w:eastAsia="黑体"/>
          <w:b w:val="0"/>
        </w:rPr>
      </w:pPr>
      <w:bookmarkStart w:id="47" w:name="_Toc27007"/>
      <w:bookmarkStart w:id="48" w:name="_Toc15377208"/>
      <w:r>
        <w:rPr>
          <w:rFonts w:hint="eastAsia" w:ascii="黑体" w:eastAsia="黑体"/>
          <w:color w:val="000000"/>
          <w:sz w:val="32"/>
          <w:szCs w:val="32"/>
        </w:rPr>
        <w:t>四、</w:t>
      </w:r>
      <w:bookmarkEnd w:id="47"/>
      <w:bookmarkEnd w:id="48"/>
      <w:bookmarkStart w:id="49" w:name="_Toc15396607"/>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49"/>
    </w:p>
    <w:p>
      <w:pPr>
        <w:snapToGrid w:val="0"/>
        <w:spacing w:line="52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sz w:val="32"/>
          <w:szCs w:val="32"/>
          <w:lang w:val="en-US" w:eastAsia="zh-CN"/>
        </w:rPr>
        <w:t>财政拨款</w:t>
      </w:r>
      <w:r>
        <w:rPr>
          <w:rFonts w:hint="eastAsia" w:ascii="仿宋_GB2312" w:eastAsia="仿宋_GB2312"/>
          <w:sz w:val="32"/>
          <w:szCs w:val="32"/>
        </w:rPr>
        <w:t>收入</w:t>
      </w:r>
      <w:r>
        <w:rPr>
          <w:rFonts w:hint="eastAsia" w:ascii="仿宋_GB2312" w:eastAsia="仿宋_GB2312"/>
          <w:sz w:val="32"/>
          <w:szCs w:val="32"/>
          <w:lang w:val="en-US" w:eastAsia="zh-CN"/>
        </w:rPr>
        <w:t>64.66</w:t>
      </w:r>
      <w:r>
        <w:rPr>
          <w:rFonts w:hint="eastAsia" w:ascii="仿宋_GB2312" w:eastAsia="仿宋_GB2312"/>
          <w:sz w:val="32"/>
          <w:szCs w:val="32"/>
        </w:rPr>
        <w:t>万元。</w:t>
      </w:r>
      <w:bookmarkStart w:id="50" w:name="_Toc571"/>
      <w:r>
        <w:rPr>
          <w:rFonts w:ascii="仿宋_GB2312" w:eastAsia="仿宋_GB2312"/>
          <w:sz w:val="32"/>
          <w:szCs w:val="32"/>
        </w:rPr>
        <w:t>2024年财政拨款收、支</w:t>
      </w:r>
      <w:r>
        <w:rPr>
          <w:rFonts w:hint="eastAsia" w:ascii="仿宋_GB2312" w:eastAsia="仿宋_GB2312"/>
          <w:sz w:val="32"/>
          <w:szCs w:val="32"/>
          <w:lang w:val="en-US" w:eastAsia="zh-CN"/>
        </w:rPr>
        <w:t>总计64.66</w:t>
      </w:r>
      <w:r>
        <w:rPr>
          <w:rFonts w:hint="eastAsia" w:ascii="仿宋_GB2312" w:eastAsia="仿宋_GB2312"/>
          <w:sz w:val="32"/>
          <w:szCs w:val="32"/>
        </w:rPr>
        <w:t>万元。</w:t>
      </w:r>
    </w:p>
    <w:p>
      <w:pPr>
        <w:snapToGrid w:val="0"/>
        <w:spacing w:line="520" w:lineRule="exact"/>
        <w:ind w:firstLine="640" w:firstLineChars="200"/>
        <w:rPr>
          <w:rFonts w:hint="eastAsia" w:ascii="仿宋_GB2312" w:eastAsia="仿宋_GB2312"/>
          <w:sz w:val="32"/>
          <w:szCs w:val="32"/>
          <w:lang w:eastAsia="zh-CN"/>
        </w:rPr>
      </w:pPr>
    </w:p>
    <w:p>
      <w:pPr>
        <w:spacing w:line="600" w:lineRule="exact"/>
        <w:ind w:left="210"/>
        <w:rPr>
          <w:rFonts w:hint="eastAsia" w:ascii="仿宋_GB2312" w:eastAsia="仿宋_GB2312"/>
          <w:sz w:val="32"/>
          <w:szCs w:val="32"/>
        </w:rPr>
      </w:pPr>
      <w:bookmarkStart w:id="51" w:name="_Toc15377209"/>
      <w:r>
        <w:rPr>
          <w:rFonts w:hint="eastAsia" w:ascii="黑体" w:eastAsia="黑体"/>
          <w:color w:val="000000"/>
          <w:sz w:val="32"/>
          <w:szCs w:val="32"/>
        </w:rPr>
        <w:t>五、一般公共预算财政拨款支出决算情况说明</w:t>
      </w:r>
      <w:bookmarkEnd w:id="50"/>
      <w:bookmarkEnd w:id="51"/>
    </w:p>
    <w:p>
      <w:pPr>
        <w:snapToGrid w:val="0"/>
        <w:spacing w:line="520" w:lineRule="exact"/>
        <w:ind w:firstLine="640" w:firstLineChars="200"/>
        <w:rPr>
          <w:rFonts w:ascii="仿宋_GB2312" w:eastAsia="仿宋_GB2312"/>
          <w:sz w:val="32"/>
          <w:szCs w:val="32"/>
        </w:rPr>
      </w:pPr>
      <w:bookmarkStart w:id="52" w:name="_Toc15377210"/>
      <w:r>
        <w:rPr>
          <w:rFonts w:hint="eastAsia" w:ascii="仿宋_GB2312" w:eastAsia="仿宋_GB2312"/>
          <w:sz w:val="32"/>
          <w:szCs w:val="32"/>
        </w:rPr>
        <w:t>（一）一般公共预算财政拨款支出决算总体情况</w:t>
      </w:r>
      <w:bookmarkEnd w:id="52"/>
    </w:p>
    <w:p>
      <w:pPr>
        <w:snapToGrid w:val="0"/>
        <w:spacing w:line="52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64.66</w:t>
      </w:r>
      <w:r>
        <w:rPr>
          <w:rFonts w:hint="eastAsia" w:ascii="仿宋_GB2312" w:eastAsia="仿宋_GB2312"/>
          <w:sz w:val="32"/>
          <w:szCs w:val="32"/>
        </w:rPr>
        <w:t>万元，占本年总支出的100</w:t>
      </w:r>
      <w:r>
        <w:rPr>
          <w:rFonts w:ascii="仿宋_GB2312" w:eastAsia="仿宋_GB2312"/>
          <w:sz w:val="32"/>
          <w:szCs w:val="32"/>
        </w:rPr>
        <w:t>%</w:t>
      </w:r>
      <w:r>
        <w:rPr>
          <w:rFonts w:hint="eastAsia" w:ascii="仿宋_GB2312" w:eastAsia="仿宋_GB2312"/>
          <w:sz w:val="32"/>
          <w:szCs w:val="32"/>
        </w:rPr>
        <w:t>。</w:t>
      </w:r>
    </w:p>
    <w:p>
      <w:pPr>
        <w:snapToGrid w:val="0"/>
        <w:spacing w:line="520" w:lineRule="exact"/>
        <w:ind w:firstLine="640" w:firstLineChars="200"/>
        <w:rPr>
          <w:rFonts w:ascii="仿宋_GB2312" w:eastAsia="仿宋_GB2312"/>
          <w:sz w:val="32"/>
          <w:szCs w:val="32"/>
        </w:rPr>
      </w:pPr>
      <w:bookmarkStart w:id="53" w:name="_Toc15377211"/>
      <w:r>
        <w:rPr>
          <w:rFonts w:hint="eastAsia" w:ascii="仿宋_GB2312" w:eastAsia="仿宋_GB2312"/>
          <w:sz w:val="32"/>
          <w:szCs w:val="32"/>
        </w:rPr>
        <w:t>（二）一般公共预算财政拨款支出决算结构情况</w:t>
      </w:r>
      <w:bookmarkEnd w:id="53"/>
    </w:p>
    <w:p>
      <w:pPr>
        <w:snapToGrid w:val="0"/>
        <w:spacing w:line="52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64.66</w:t>
      </w:r>
      <w:r>
        <w:rPr>
          <w:rFonts w:hint="eastAsia" w:ascii="仿宋_GB2312" w:eastAsia="仿宋_GB2312"/>
          <w:sz w:val="32"/>
          <w:szCs w:val="32"/>
        </w:rPr>
        <w:t>万元，主要用于以下方面:一般公共服务支出</w:t>
      </w:r>
      <w:r>
        <w:rPr>
          <w:rFonts w:hint="eastAsia" w:ascii="仿宋_GB2312" w:eastAsia="仿宋_GB2312"/>
          <w:sz w:val="32"/>
          <w:szCs w:val="32"/>
          <w:lang w:val="en-US" w:eastAsia="zh-CN"/>
        </w:rPr>
        <w:t>52.06</w:t>
      </w:r>
      <w:r>
        <w:rPr>
          <w:rFonts w:hint="eastAsia" w:ascii="仿宋_GB2312" w:eastAsia="仿宋_GB2312"/>
          <w:sz w:val="32"/>
          <w:szCs w:val="32"/>
        </w:rPr>
        <w:t>万元，占</w:t>
      </w:r>
      <w:r>
        <w:rPr>
          <w:rFonts w:hint="eastAsia" w:ascii="仿宋_GB2312" w:eastAsia="仿宋_GB2312"/>
          <w:sz w:val="32"/>
          <w:szCs w:val="32"/>
          <w:lang w:val="en-US" w:eastAsia="zh-CN"/>
        </w:rPr>
        <w:t>80.51</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；社会保障和就业支出</w:t>
      </w:r>
      <w:r>
        <w:rPr>
          <w:rFonts w:hint="eastAsia" w:ascii="仿宋_GB2312" w:eastAsia="仿宋_GB2312"/>
          <w:sz w:val="32"/>
          <w:szCs w:val="32"/>
          <w:lang w:val="en-US" w:eastAsia="zh-CN"/>
        </w:rPr>
        <w:t>6.46</w:t>
      </w:r>
      <w:r>
        <w:rPr>
          <w:rFonts w:hint="eastAsia" w:ascii="仿宋_GB2312" w:eastAsia="仿宋_GB2312"/>
          <w:sz w:val="32"/>
          <w:szCs w:val="32"/>
        </w:rPr>
        <w:t>万元，占</w:t>
      </w:r>
      <w:r>
        <w:rPr>
          <w:rFonts w:hint="eastAsia" w:ascii="仿宋_GB2312" w:eastAsia="仿宋_GB2312"/>
          <w:sz w:val="32"/>
          <w:szCs w:val="32"/>
          <w:lang w:val="en-US" w:eastAsia="zh-CN"/>
        </w:rPr>
        <w:t>9.99</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；卫生健康支出</w:t>
      </w:r>
      <w:r>
        <w:rPr>
          <w:rFonts w:hint="eastAsia" w:ascii="仿宋_GB2312" w:eastAsia="仿宋_GB2312"/>
          <w:sz w:val="32"/>
          <w:szCs w:val="32"/>
          <w:lang w:val="en-US" w:eastAsia="zh-CN"/>
        </w:rPr>
        <w:t>2.30</w:t>
      </w:r>
      <w:r>
        <w:rPr>
          <w:rFonts w:hint="eastAsia" w:ascii="仿宋_GB2312" w:eastAsia="仿宋_GB2312"/>
          <w:sz w:val="32"/>
          <w:szCs w:val="32"/>
        </w:rPr>
        <w:t>万元，占</w:t>
      </w:r>
      <w:r>
        <w:rPr>
          <w:rFonts w:hint="eastAsia" w:ascii="仿宋_GB2312" w:eastAsia="仿宋_GB2312"/>
          <w:sz w:val="32"/>
          <w:szCs w:val="32"/>
          <w:lang w:val="en-US" w:eastAsia="zh-CN"/>
        </w:rPr>
        <w:t>3.56</w:t>
      </w:r>
      <w:r>
        <w:rPr>
          <w:rFonts w:ascii="仿宋_GB2312" w:eastAsia="仿宋_GB2312"/>
          <w:sz w:val="32"/>
          <w:szCs w:val="32"/>
        </w:rPr>
        <w:t>%</w:t>
      </w:r>
      <w:r>
        <w:rPr>
          <w:rFonts w:hint="eastAsia" w:ascii="仿宋_GB2312" w:eastAsia="仿宋_GB2312"/>
          <w:sz w:val="32"/>
          <w:szCs w:val="32"/>
        </w:rPr>
        <w:t>；住房保障支出</w:t>
      </w:r>
      <w:r>
        <w:rPr>
          <w:rFonts w:hint="eastAsia" w:ascii="仿宋_GB2312" w:eastAsia="仿宋_GB2312"/>
          <w:sz w:val="32"/>
          <w:szCs w:val="32"/>
          <w:lang w:val="en-US" w:eastAsia="zh-CN"/>
        </w:rPr>
        <w:t>3.83</w:t>
      </w:r>
      <w:r>
        <w:rPr>
          <w:rFonts w:hint="eastAsia" w:ascii="仿宋_GB2312" w:eastAsia="仿宋_GB2312"/>
          <w:sz w:val="32"/>
          <w:szCs w:val="32"/>
        </w:rPr>
        <w:t>万元，占</w:t>
      </w:r>
      <w:r>
        <w:rPr>
          <w:rFonts w:hint="eastAsia" w:ascii="仿宋_GB2312" w:eastAsia="仿宋_GB2312"/>
          <w:sz w:val="32"/>
          <w:szCs w:val="32"/>
          <w:lang w:val="en-US" w:eastAsia="zh-CN"/>
        </w:rPr>
        <w:t>5.94</w:t>
      </w:r>
      <w:r>
        <w:rPr>
          <w:rFonts w:ascii="仿宋_GB2312" w:eastAsia="仿宋_GB2312"/>
          <w:sz w:val="32"/>
          <w:szCs w:val="32"/>
        </w:rPr>
        <w:t>%</w:t>
      </w:r>
      <w:r>
        <w:rPr>
          <w:rFonts w:hint="eastAsia" w:ascii="仿宋_GB2312" w:eastAsia="仿宋_GB2312"/>
          <w:sz w:val="32"/>
          <w:szCs w:val="32"/>
        </w:rPr>
        <w:t>。</w:t>
      </w:r>
    </w:p>
    <w:p>
      <w:pPr>
        <w:snapToGrid w:val="0"/>
        <w:spacing w:line="520" w:lineRule="exact"/>
        <w:ind w:firstLine="640" w:firstLineChars="200"/>
        <w:rPr>
          <w:rFonts w:ascii="仿宋_GB2312" w:eastAsia="仿宋_GB2312"/>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1" locked="0" layoutInCell="1" allowOverlap="1">
            <wp:simplePos x="0" y="0"/>
            <wp:positionH relativeFrom="column">
              <wp:posOffset>277495</wp:posOffset>
            </wp:positionH>
            <wp:positionV relativeFrom="paragraph">
              <wp:posOffset>281940</wp:posOffset>
            </wp:positionV>
            <wp:extent cx="3911600" cy="2645410"/>
            <wp:effectExtent l="0" t="0" r="0" b="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ascii="仿宋" w:eastAsia="仿宋"/>
          <w:color w:val="000000"/>
          <w:sz w:val="32"/>
          <w:szCs w:val="32"/>
        </w:rPr>
      </w:pPr>
    </w:p>
    <w:p>
      <w:pPr>
        <w:spacing w:line="600" w:lineRule="exact"/>
        <w:ind w:firstLine="8352" w:firstLineChars="2600"/>
        <w:outlineLvl w:val="2"/>
        <w:rPr>
          <w:rFonts w:ascii="仿宋" w:eastAsia="仿宋"/>
          <w:b/>
          <w:color w:val="000000"/>
          <w:sz w:val="32"/>
          <w:szCs w:val="32"/>
        </w:rPr>
      </w:pPr>
      <w:bookmarkStart w:id="54" w:name="_Toc15378460"/>
      <w:bookmarkStart w:id="55" w:name="_Toc15377213"/>
      <w:bookmarkStart w:id="56" w:name="_Toc15377444"/>
    </w:p>
    <w:p>
      <w:pPr>
        <w:spacing w:line="600" w:lineRule="exact"/>
        <w:ind w:firstLine="8352" w:firstLineChars="2600"/>
        <w:outlineLvl w:val="2"/>
        <w:rPr>
          <w:rFonts w:ascii="仿宋" w:eastAsia="仿宋"/>
          <w:b/>
          <w:color w:val="000000"/>
          <w:sz w:val="32"/>
          <w:szCs w:val="32"/>
        </w:rPr>
      </w:pPr>
    </w:p>
    <w:p>
      <w:pPr>
        <w:spacing w:line="600" w:lineRule="exact"/>
        <w:ind w:firstLine="8352" w:firstLineChars="2600"/>
        <w:outlineLvl w:val="2"/>
        <w:rPr>
          <w:rFonts w:ascii="仿宋" w:eastAsia="仿宋"/>
          <w:b/>
          <w:color w:val="000000"/>
          <w:sz w:val="32"/>
          <w:szCs w:val="32"/>
        </w:rPr>
      </w:pPr>
    </w:p>
    <w:p>
      <w:pPr>
        <w:tabs>
          <w:tab w:val="left" w:pos="3976"/>
        </w:tabs>
        <w:spacing w:line="600" w:lineRule="exact"/>
        <w:ind w:firstLine="642" w:firstLineChars="200"/>
        <w:outlineLvl w:val="2"/>
        <w:rPr>
          <w:rFonts w:ascii="仿宋" w:eastAsia="仿宋"/>
          <w:b/>
          <w:color w:val="000000"/>
          <w:sz w:val="32"/>
          <w:szCs w:val="32"/>
        </w:rPr>
      </w:pPr>
      <w:bookmarkStart w:id="57" w:name="_Toc15377212"/>
      <w:r>
        <w:rPr>
          <w:rFonts w:ascii="仿宋" w:eastAsia="仿宋"/>
          <w:b/>
          <w:color w:val="000000"/>
          <w:sz w:val="32"/>
          <w:szCs w:val="32"/>
        </w:rPr>
        <w:tab/>
      </w: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（三）一般公共预算财政拨款支出决算具体情况</w:t>
      </w:r>
      <w:bookmarkEnd w:id="57"/>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 xml:space="preserve">    2024年一般公共预算数为64.66万元，支出决算数为64.66万元，完成预算100%。其中：</w:t>
      </w:r>
      <w:bookmarkEnd w:id="54"/>
      <w:bookmarkEnd w:id="55"/>
      <w:bookmarkEnd w:id="56"/>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一般公共服务: 一般公共服务支出52.06万元,完成预算100%.</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 xml:space="preserve">社会保障和就业支出6.46万元，完成预算100%。            </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卫生健康支出2.3万元，完成预算100%.</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住房保障支出3.83万元，完成预算100%.</w:t>
      </w:r>
      <w:bookmarkStart w:id="58" w:name="_Toc15377214"/>
    </w:p>
    <w:p>
      <w:pPr>
        <w:spacing w:line="600" w:lineRule="exact"/>
        <w:outlineLvl w:val="2"/>
        <w:rPr>
          <w:rFonts w:hint="eastAsia" w:ascii="仿宋_GB2312" w:eastAsia="仿宋_GB2312"/>
          <w:b/>
          <w:bCs/>
          <w:color w:val="000000"/>
          <w:spacing w:val="-2"/>
          <w:sz w:val="32"/>
          <w:szCs w:val="32"/>
          <w:lang w:val="en-US" w:eastAsia="zh-CN"/>
        </w:rPr>
      </w:pPr>
      <w:bookmarkStart w:id="59" w:name="_Toc21339"/>
      <w:r>
        <w:rPr>
          <w:rFonts w:hint="eastAsia" w:ascii="仿宋_GB2312" w:eastAsia="仿宋_GB2312"/>
          <w:b/>
          <w:bCs/>
          <w:color w:val="000000"/>
          <w:spacing w:val="-2"/>
          <w:sz w:val="32"/>
          <w:szCs w:val="32"/>
          <w:lang w:val="en-US" w:eastAsia="zh-CN"/>
        </w:rPr>
        <w:t>六、一般公共预算财政拨款基本支出决算情况说明</w:t>
      </w:r>
      <w:bookmarkEnd w:id="58"/>
      <w:bookmarkEnd w:id="59"/>
      <w:r>
        <w:rPr>
          <w:rFonts w:hint="eastAsia" w:ascii="仿宋_GB2312" w:eastAsia="仿宋_GB2312"/>
          <w:b/>
          <w:bCs/>
          <w:color w:val="000000"/>
          <w:spacing w:val="-2"/>
          <w:sz w:val="32"/>
          <w:szCs w:val="32"/>
          <w:lang w:val="en-US" w:eastAsia="zh-CN"/>
        </w:rPr>
        <w:tab/>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2024年一般公共预算财政拨款基本支出64.66万元，其中：</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人员经费42.83万元，主要包括：基本工资 9.05 万元、津贴补贴 8.33万元、奖金9.76万元、绩效工资2.97万元、机关事业单位基本养老保险缴费4.31 万元、职业年金缴费2.15万元、职工基本医疗保险缴费1.83万元、公务员医疗补助缴费0.28万元、其他社会保障缴费0.3万元、住房公积金3.83万元。　</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项目支出8.13万元，公用经费13.7万元</w:t>
      </w:r>
    </w:p>
    <w:p>
      <w:pPr>
        <w:spacing w:line="600" w:lineRule="exact"/>
        <w:outlineLvl w:val="2"/>
        <w:rPr>
          <w:rFonts w:hint="eastAsia" w:ascii="仿宋_GB2312" w:eastAsia="仿宋_GB2312"/>
          <w:color w:val="000000"/>
          <w:spacing w:val="-2"/>
          <w:sz w:val="32"/>
          <w:szCs w:val="32"/>
          <w:lang w:val="en-US" w:eastAsia="zh-CN"/>
        </w:rPr>
      </w:pPr>
      <w:bookmarkStart w:id="60" w:name="_Toc15377215"/>
      <w:bookmarkStart w:id="61" w:name="_Toc23406"/>
      <w:r>
        <w:rPr>
          <w:rFonts w:hint="eastAsia" w:ascii="仿宋_GB2312" w:eastAsia="仿宋_GB2312"/>
          <w:b/>
          <w:bCs/>
          <w:color w:val="000000"/>
          <w:spacing w:val="-2"/>
          <w:sz w:val="32"/>
          <w:szCs w:val="32"/>
          <w:lang w:val="en-US" w:eastAsia="zh-CN"/>
        </w:rPr>
        <w:t>七、“三公”经费财政拨款支出决算情况说明</w:t>
      </w:r>
      <w:bookmarkEnd w:id="60"/>
      <w:bookmarkEnd w:id="61"/>
    </w:p>
    <w:p>
      <w:pPr>
        <w:spacing w:line="600" w:lineRule="exact"/>
        <w:outlineLvl w:val="2"/>
        <w:rPr>
          <w:rFonts w:hint="eastAsia" w:ascii="仿宋_GB2312" w:eastAsia="仿宋_GB2312"/>
          <w:color w:val="000000"/>
          <w:spacing w:val="-2"/>
          <w:sz w:val="32"/>
          <w:szCs w:val="32"/>
          <w:lang w:val="en-US" w:eastAsia="zh-CN"/>
        </w:rPr>
      </w:pPr>
      <w:bookmarkStart w:id="62" w:name="_Toc15377216"/>
      <w:r>
        <w:rPr>
          <w:rFonts w:hint="eastAsia" w:ascii="仿宋_GB2312" w:eastAsia="仿宋_GB2312"/>
          <w:color w:val="000000"/>
          <w:spacing w:val="-2"/>
          <w:sz w:val="32"/>
          <w:szCs w:val="32"/>
          <w:lang w:val="en-US" w:eastAsia="zh-CN"/>
        </w:rPr>
        <w:t>（一）“三公”经费财政拨款支出决算总体情况说明</w:t>
      </w:r>
      <w:bookmarkEnd w:id="62"/>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2024年“三公”经费财政拨款支出决算为0万元，完成预算100%，决算数与预算数持平。</w:t>
      </w:r>
    </w:p>
    <w:p>
      <w:pPr>
        <w:spacing w:line="600" w:lineRule="exact"/>
        <w:outlineLvl w:val="2"/>
        <w:rPr>
          <w:rFonts w:hint="eastAsia" w:ascii="仿宋_GB2312" w:eastAsia="仿宋_GB2312"/>
          <w:b/>
          <w:bCs/>
          <w:color w:val="000000"/>
          <w:spacing w:val="-2"/>
          <w:sz w:val="32"/>
          <w:szCs w:val="32"/>
          <w:lang w:val="en-US" w:eastAsia="zh-CN"/>
        </w:rPr>
      </w:pPr>
      <w:bookmarkStart w:id="63" w:name="_Toc15377217"/>
      <w:r>
        <w:rPr>
          <w:rFonts w:hint="eastAsia" w:ascii="仿宋_GB2312" w:eastAsia="仿宋_GB2312"/>
          <w:b/>
          <w:bCs/>
          <w:color w:val="000000"/>
          <w:spacing w:val="-2"/>
          <w:sz w:val="32"/>
          <w:szCs w:val="32"/>
          <w:lang w:val="en-US" w:eastAsia="zh-CN"/>
        </w:rPr>
        <w:t>（二）“三公”经费财政拨款支出决算具体情况说明</w:t>
      </w:r>
      <w:bookmarkEnd w:id="63"/>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2024年“三公”经费财政拨款支出决算0万元，其中：公务用车购置及运行维护费支出决算0万元，占100%；</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公务用车购置及运行维护费支出0万元,完成预算100%。公务用车运行维护费支出0万元。主要用我单位所需的公务用车燃料费、维修费、过路过桥费、保险费等支出。</w:t>
      </w:r>
    </w:p>
    <w:p>
      <w:pPr>
        <w:spacing w:line="600" w:lineRule="exact"/>
        <w:outlineLvl w:val="2"/>
        <w:rPr>
          <w:rFonts w:hint="eastAsia" w:ascii="仿宋_GB2312" w:eastAsia="仿宋_GB2312"/>
          <w:color w:val="000000"/>
          <w:spacing w:val="-2"/>
          <w:sz w:val="32"/>
          <w:szCs w:val="32"/>
          <w:lang w:val="en-US" w:eastAsia="zh-CN"/>
        </w:rPr>
      </w:pPr>
      <w:bookmarkStart w:id="64" w:name="_Toc15377218"/>
      <w:bookmarkStart w:id="65" w:name="_Toc10384"/>
      <w:r>
        <w:rPr>
          <w:rFonts w:hint="eastAsia" w:ascii="仿宋_GB2312" w:eastAsia="仿宋_GB2312"/>
          <w:b/>
          <w:bCs/>
          <w:color w:val="000000"/>
          <w:spacing w:val="-2"/>
          <w:sz w:val="32"/>
          <w:szCs w:val="32"/>
          <w:lang w:val="en-US" w:eastAsia="zh-CN"/>
        </w:rPr>
        <w:t>八、政府性基金预算支出决算情况说明</w:t>
      </w:r>
      <w:bookmarkEnd w:id="64"/>
      <w:bookmarkEnd w:id="65"/>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2024年政府性基金预算拨款支出0万元。</w:t>
      </w:r>
    </w:p>
    <w:p>
      <w:pPr>
        <w:tabs>
          <w:tab w:val="left" w:pos="0"/>
        </w:tabs>
        <w:spacing w:line="600" w:lineRule="exact"/>
        <w:outlineLvl w:val="1"/>
        <w:rPr>
          <w:rFonts w:hint="eastAsia" w:ascii="仿宋_GB2312" w:eastAsia="仿宋_GB2312"/>
          <w:color w:val="000000"/>
          <w:spacing w:val="-2"/>
          <w:sz w:val="32"/>
          <w:szCs w:val="32"/>
          <w:lang w:val="en-US" w:eastAsia="zh-CN"/>
        </w:rPr>
      </w:pPr>
      <w:bookmarkStart w:id="66" w:name="_Toc15396611"/>
      <w:r>
        <w:rPr>
          <w:rStyle w:val="21"/>
          <w:rFonts w:hint="eastAsia" w:ascii="黑体" w:eastAsia="黑体"/>
          <w:b w:val="0"/>
          <w:lang w:val="en-US"/>
        </w:rPr>
        <w:t>九</w:t>
      </w:r>
      <w:r>
        <w:rPr>
          <w:rStyle w:val="21"/>
          <w:rFonts w:hint="eastAsia" w:ascii="黑体" w:eastAsia="黑体"/>
          <w:b w:val="0"/>
        </w:rPr>
        <w:t>、国有资本经营预算支出决算情况说明</w:t>
      </w:r>
      <w:bookmarkEnd w:id="66"/>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2024年国有资本经营预算拨款支出0万元。</w:t>
      </w:r>
    </w:p>
    <w:p>
      <w:pPr>
        <w:pStyle w:val="27"/>
        <w:spacing w:line="580" w:lineRule="exact"/>
        <w:ind w:left="0" w:firstLine="0" w:firstLineChars="0"/>
        <w:rPr>
          <w:rStyle w:val="21"/>
          <w:rFonts w:ascii="黑体" w:eastAsia="黑体"/>
          <w:b w:val="0"/>
        </w:rPr>
      </w:pPr>
      <w:bookmarkStart w:id="67" w:name="_Toc24608"/>
      <w:r>
        <w:rPr>
          <w:rStyle w:val="21"/>
          <w:rFonts w:hint="eastAsia" w:ascii="黑体" w:eastAsia="黑体"/>
          <w:b w:val="0"/>
          <w:lang w:val="en-US"/>
        </w:rPr>
        <w:t>十</w:t>
      </w:r>
      <w:r>
        <w:rPr>
          <w:rStyle w:val="21"/>
          <w:rFonts w:hint="eastAsia" w:ascii="黑体" w:eastAsia="黑体"/>
          <w:b w:val="0"/>
        </w:rPr>
        <w:t>、预算绩效情况说明</w:t>
      </w:r>
    </w:p>
    <w:bookmarkEnd w:id="67"/>
    <w:p>
      <w:pPr>
        <w:numPr>
          <w:ilvl w:val="0"/>
          <w:numId w:val="3"/>
        </w:numPr>
        <w:tabs>
          <w:tab w:val="left" w:pos="569"/>
        </w:tabs>
        <w:spacing w:line="580" w:lineRule="exact"/>
        <w:ind w:left="0" w:firstLine="642" w:firstLineChars="200"/>
        <w:jc w:val="left"/>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根据预算绩效管理要求，我单位在年初预算编制阶段，组织对项目开展了预算事前绩效评估，对0个项目编制了绩效目标，预算执行过程中，选取0个项目开展绩效监控，年终执行完毕后，对0个项目开展了绩效目标完成情况梳理填报。</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本部门按要求对2024年部门整体支出开展绩效自评，经全面综合评价，我单位预算支出绩效自评得 分（扣除我单位不存在的评价指标分值,总分为 分）。我单位深入贯彻落实十九大关于“全面实施绩效管理”的要求，努力提升本单位绩效预算管理业务水平。主动公开绩效结果，加大资金使用效率，提升政府管理水平。及时告知各部门（科室）部门预算及项目支出进度。本单位还自行组织了0个项目绩效评价，从评价情况来看我单位年初预算项目基本按照绩效目标完成支付，有部分项目结转质保金在下年质保期后进行支付。</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项目绩效目标完成情况。</w:t>
      </w:r>
      <w:r>
        <w:rPr>
          <w:rFonts w:hint="eastAsia" w:ascii="仿宋_GB2312" w:eastAsia="仿宋_GB2312"/>
          <w:color w:val="000000"/>
          <w:spacing w:val="-2"/>
          <w:sz w:val="32"/>
          <w:szCs w:val="32"/>
          <w:lang w:val="en-US" w:eastAsia="zh-CN"/>
        </w:rPr>
        <w:br w:type="textWrapping"/>
      </w:r>
      <w:r>
        <w:rPr>
          <w:rFonts w:hint="eastAsia" w:ascii="仿宋_GB2312" w:eastAsia="仿宋_GB2312"/>
          <w:color w:val="000000"/>
          <w:spacing w:val="-2"/>
          <w:sz w:val="32"/>
          <w:szCs w:val="32"/>
          <w:lang w:val="en-US" w:eastAsia="zh-CN"/>
        </w:rPr>
        <w:t xml:space="preserve">    本部门在2024年度部门决算中反映0个项目绩效目标实际完成情况。                                                                                                      </w:t>
      </w:r>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本部门按要求对2024年部门整体支出绩效评价情况开展自评，《2024年部门预算整体支出绩效评价报告》。</w:t>
      </w:r>
    </w:p>
    <w:p>
      <w:pPr>
        <w:spacing w:line="600" w:lineRule="exact"/>
        <w:outlineLvl w:val="2"/>
        <w:rPr>
          <w:rFonts w:hint="eastAsia" w:ascii="仿宋_GB2312" w:eastAsia="仿宋_GB2312"/>
          <w:color w:val="000000"/>
          <w:spacing w:val="-2"/>
          <w:sz w:val="32"/>
          <w:szCs w:val="32"/>
          <w:lang w:val="en-US" w:eastAsia="zh-CN"/>
        </w:rPr>
      </w:pPr>
      <w:bookmarkStart w:id="68" w:name="_Toc15377221"/>
      <w:bookmarkStart w:id="69" w:name="_Toc11969"/>
      <w:r>
        <w:rPr>
          <w:rFonts w:hint="eastAsia" w:ascii="仿宋_GB2312" w:eastAsia="仿宋_GB2312"/>
          <w:b/>
          <w:bCs/>
          <w:color w:val="000000"/>
          <w:spacing w:val="-2"/>
          <w:sz w:val="32"/>
          <w:szCs w:val="32"/>
          <w:lang w:val="en-US" w:eastAsia="zh-CN"/>
        </w:rPr>
        <w:t>十一、其他重要事项的情况说明</w:t>
      </w:r>
      <w:bookmarkEnd w:id="68"/>
      <w:bookmarkEnd w:id="69"/>
    </w:p>
    <w:p>
      <w:pPr>
        <w:spacing w:line="600" w:lineRule="exact"/>
        <w:outlineLvl w:val="2"/>
        <w:rPr>
          <w:rFonts w:hint="eastAsia" w:ascii="仿宋_GB2312" w:eastAsia="仿宋_GB2312"/>
          <w:color w:val="000000"/>
          <w:spacing w:val="-2"/>
          <w:sz w:val="32"/>
          <w:szCs w:val="32"/>
          <w:lang w:val="en-US" w:eastAsia="zh-CN"/>
        </w:rPr>
      </w:pPr>
      <w:bookmarkStart w:id="70" w:name="_Toc15377222"/>
      <w:r>
        <w:rPr>
          <w:rFonts w:hint="eastAsia" w:ascii="仿宋_GB2312" w:eastAsia="仿宋_GB2312"/>
          <w:color w:val="000000"/>
          <w:spacing w:val="-2"/>
          <w:sz w:val="32"/>
          <w:szCs w:val="32"/>
          <w:lang w:val="en-US" w:eastAsia="zh-CN"/>
        </w:rPr>
        <w:t>（一）机关运行经费支出情况</w:t>
      </w:r>
      <w:bookmarkEnd w:id="70"/>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2024年，社工部运行经费支出13.7万元。</w:t>
      </w:r>
    </w:p>
    <w:p>
      <w:pPr>
        <w:spacing w:line="600" w:lineRule="exact"/>
        <w:outlineLvl w:val="2"/>
        <w:rPr>
          <w:rFonts w:hint="eastAsia" w:ascii="仿宋_GB2312" w:eastAsia="仿宋_GB2312"/>
          <w:color w:val="000000"/>
          <w:spacing w:val="-2"/>
          <w:sz w:val="32"/>
          <w:szCs w:val="32"/>
          <w:lang w:val="en-US" w:eastAsia="zh-CN"/>
        </w:rPr>
      </w:pPr>
      <w:bookmarkStart w:id="71" w:name="_Toc15377224"/>
      <w:r>
        <w:rPr>
          <w:rFonts w:hint="eastAsia" w:ascii="仿宋_GB2312" w:eastAsia="仿宋_GB2312"/>
          <w:color w:val="000000"/>
          <w:spacing w:val="-2"/>
          <w:sz w:val="32"/>
          <w:szCs w:val="32"/>
          <w:lang w:val="en-US" w:eastAsia="zh-CN"/>
        </w:rPr>
        <w:t>（二）国有资产占有使用情况</w:t>
      </w:r>
      <w:bookmarkEnd w:id="71"/>
    </w:p>
    <w:p>
      <w:pPr>
        <w:spacing w:line="600" w:lineRule="exact"/>
        <w:ind w:firstLine="632" w:firstLineChars="200"/>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截至2024年12月31日，共有车辆0辆。</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（三）、政府采购支出情况</w:t>
      </w:r>
    </w:p>
    <w:p>
      <w:pPr>
        <w:spacing w:line="600" w:lineRule="exact"/>
        <w:ind w:firstLine="632" w:firstLineChars="200"/>
        <w:outlineLvl w:val="2"/>
        <w:rPr>
          <w:rFonts w:hint="default" w:ascii="仿宋_GB2312" w:eastAsia="仿宋_GB2312"/>
          <w:color w:val="000000"/>
          <w:spacing w:val="-2"/>
          <w:sz w:val="32"/>
          <w:szCs w:val="32"/>
          <w:lang w:eastAsia="zh-CN"/>
        </w:rPr>
      </w:pPr>
      <w:r>
        <w:rPr>
          <w:rFonts w:hint="eastAsia" w:ascii="仿宋_GB2312" w:eastAsia="仿宋_GB2312"/>
          <w:color w:val="000000"/>
          <w:spacing w:val="-2"/>
          <w:sz w:val="32"/>
          <w:szCs w:val="32"/>
          <w:lang w:val="en-US" w:eastAsia="zh-CN"/>
        </w:rPr>
        <w:t xml:space="preserve">2024年无政府采购 </w:t>
      </w:r>
      <w:r>
        <w:rPr>
          <w:rFonts w:hint="default" w:ascii="仿宋_GB2312" w:eastAsia="仿宋_GB2312"/>
          <w:color w:val="000000"/>
          <w:spacing w:val="-2"/>
          <w:sz w:val="32"/>
          <w:szCs w:val="32"/>
          <w:lang w:eastAsia="zh-CN"/>
        </w:rPr>
        <w:t>。</w:t>
      </w:r>
      <w:bookmarkStart w:id="87" w:name="_GoBack"/>
      <w:bookmarkEnd w:id="87"/>
    </w:p>
    <w:p>
      <w:pPr>
        <w:spacing w:line="600" w:lineRule="exact"/>
        <w:outlineLvl w:val="2"/>
        <w:rPr>
          <w:rFonts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p>
    <w:p>
      <w:pPr>
        <w:numPr>
          <w:ilvl w:val="0"/>
          <w:numId w:val="4"/>
        </w:numPr>
        <w:spacing w:line="600" w:lineRule="exact"/>
        <w:ind w:left="0" w:firstLine="662" w:firstLineChars="150"/>
        <w:jc w:val="center"/>
        <w:outlineLvl w:val="0"/>
        <w:rPr>
          <w:rStyle w:val="20"/>
          <w:rFonts w:ascii="黑体" w:eastAsia="黑体"/>
          <w:b w:val="0"/>
        </w:rPr>
      </w:pPr>
      <w:bookmarkStart w:id="72" w:name="_Toc15377225"/>
      <w:bookmarkStart w:id="73" w:name="_Toc15396613"/>
      <w:r>
        <w:rPr>
          <w:rFonts w:hint="eastAsia" w:ascii="黑体" w:eastAsia="黑体"/>
          <w:b/>
          <w:color w:val="000000"/>
          <w:sz w:val="44"/>
          <w:szCs w:val="44"/>
        </w:rPr>
        <w:t>名</w:t>
      </w:r>
      <w:r>
        <w:rPr>
          <w:rStyle w:val="20"/>
          <w:rFonts w:hint="eastAsia" w:ascii="黑体" w:eastAsia="黑体"/>
          <w:b w:val="0"/>
        </w:rPr>
        <w:t>词解释</w:t>
      </w:r>
      <w:bookmarkEnd w:id="72"/>
      <w:bookmarkEnd w:id="73"/>
    </w:p>
    <w:p>
      <w:pPr>
        <w:spacing w:line="600" w:lineRule="exact"/>
        <w:outlineLvl w:val="2"/>
        <w:rPr>
          <w:rFonts w:hint="eastAsia" w:ascii="仿宋_GB2312" w:eastAsia="仿宋_GB2312"/>
          <w:color w:val="000000"/>
          <w:spacing w:val="-2"/>
          <w:sz w:val="32"/>
          <w:szCs w:val="32"/>
          <w:lang w:val="en-US" w:eastAsia="zh-CN"/>
        </w:rPr>
      </w:pP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1.财政拨款收入：指单位从同级财政部门取得的财政预算资金。</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2.事业收入：指事业单位开展专业业务活动及辅助活动取得的收入。</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3.经营收入：指事业单位在专业业务活动及其辅助活动之外开展非独立核算经营活动取得的收入。</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 xml:space="preserve">4.其他收入：指单位取得的除上述收入以外的各项收入。主要是银行存款利息和伙食团缴费等。 </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 xml:space="preserve">5. 年初结转和结余：指以前年度尚未完成、结转到本年按有关规定继续使用的资金。 </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6.结余分配：指事业单位按照事业单位会计制度的规定从非财政补助结余中分配的事业基金和职工福利基金等。</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7、年末结转和结余：指单位按有关规定结转到下年或以后年度继续使用的资金。</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8.一般公共服务（类）政府办公厅（室）及相关机构事务（款）行政运行（项）：指行政单位的基本支出。</w:t>
      </w:r>
    </w:p>
    <w:p>
      <w:pPr>
        <w:spacing w:line="600" w:lineRule="exact"/>
        <w:outlineLvl w:val="2"/>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9.一般公共服务（类）政府办公厅（室）及相关机构事务（款）一般行政管理事务（项）：指反映行政单位未单独设置顶级科目的其他项目支出。</w:t>
      </w:r>
    </w:p>
    <w:p>
      <w:pPr>
        <w:spacing w:line="600" w:lineRule="exact"/>
        <w:outlineLvl w:val="2"/>
        <w:rPr>
          <w:rFonts w:ascii="仿宋_GB2312" w:eastAsia="仿宋_GB2312"/>
          <w:color w:val="000000"/>
          <w:sz w:val="32"/>
          <w:szCs w:val="32"/>
        </w:rPr>
      </w:pPr>
      <w:r>
        <w:rPr>
          <w:rFonts w:hint="eastAsia" w:ascii="仿宋_GB2312" w:eastAsia="仿宋_GB2312"/>
          <w:color w:val="000000"/>
          <w:spacing w:val="-2"/>
          <w:sz w:val="32"/>
          <w:szCs w:val="32"/>
          <w:lang w:val="en-US" w:eastAsia="zh-CN"/>
        </w:rPr>
        <w:t>10.教育（类）其他教育支出（款）其他教育支出（项）：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adjustRightInd w:val="0"/>
        <w:snapToGrid w:val="0"/>
        <w:spacing w:line="540" w:lineRule="exact"/>
        <w:jc w:val="left"/>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pPr>
    </w:p>
    <w:p/>
    <w:p/>
    <w:p/>
    <w:p/>
    <w:p/>
    <w:p/>
    <w:p/>
    <w:p/>
    <w:p/>
    <w:p/>
    <w:p/>
    <w:p/>
    <w:p/>
    <w:p/>
    <w:p/>
    <w:p/>
    <w:p/>
    <w:p/>
    <w:p/>
    <w:p/>
    <w:p/>
    <w:p>
      <w:pPr>
        <w:pStyle w:val="6"/>
        <w:rPr>
          <w:rFonts w:ascii="仿宋" w:eastAsia="仿宋"/>
          <w:b w:val="0"/>
          <w:bCs w:val="0"/>
          <w:kern w:val="44"/>
        </w:rPr>
      </w:pPr>
      <w:r>
        <w:rPr>
          <w:rStyle w:val="20"/>
          <w:rFonts w:hint="eastAsia" w:ascii="仿宋" w:eastAsia="仿宋"/>
          <w:b w:val="0"/>
          <w:bCs w:val="0"/>
          <w:sz w:val="32"/>
          <w:szCs w:val="32"/>
        </w:rPr>
        <w:t>附件1</w:t>
      </w:r>
    </w:p>
    <w:p>
      <w:pPr>
        <w:numPr>
          <w:ilvl w:val="0"/>
          <w:numId w:val="4"/>
        </w:numPr>
        <w:spacing w:line="600" w:lineRule="exact"/>
        <w:ind w:left="0" w:firstLine="660" w:firstLineChars="150"/>
        <w:jc w:val="center"/>
        <w:outlineLvl w:val="0"/>
        <w:rPr>
          <w:rStyle w:val="20"/>
          <w:rFonts w:ascii="黑体" w:eastAsia="黑体"/>
          <w:b w:val="0"/>
        </w:rPr>
      </w:pPr>
      <w:r>
        <w:rPr>
          <w:rStyle w:val="20"/>
          <w:rFonts w:hint="eastAsia" w:ascii="黑体" w:eastAsia="黑体"/>
          <w:b w:val="0"/>
        </w:rPr>
        <w:t>附件</w:t>
      </w:r>
    </w:p>
    <w:p>
      <w:pPr>
        <w:widowControl/>
        <w:spacing w:line="560" w:lineRule="atLeast"/>
        <w:jc w:val="center"/>
        <w:rPr>
          <w:rFonts w:ascii="宋体" w:cs="宋体"/>
          <w:b/>
          <w:sz w:val="44"/>
          <w:szCs w:val="44"/>
          <w:lang w:val="en-US"/>
        </w:rPr>
      </w:pPr>
      <w:r>
        <w:rPr>
          <w:rFonts w:hint="eastAsia" w:ascii="宋体" w:cs="宋体"/>
          <w:b/>
          <w:sz w:val="44"/>
          <w:szCs w:val="44"/>
        </w:rPr>
        <w:t>中共金川县</w:t>
      </w:r>
      <w:r>
        <w:rPr>
          <w:rFonts w:hint="eastAsia" w:ascii="宋体" w:cs="宋体"/>
          <w:b/>
          <w:sz w:val="44"/>
          <w:szCs w:val="44"/>
          <w:lang w:val="en-US" w:eastAsia="zh-CN"/>
        </w:rPr>
        <w:t>委社会工作部</w:t>
      </w:r>
    </w:p>
    <w:p>
      <w:pPr>
        <w:widowControl/>
        <w:spacing w:line="560" w:lineRule="atLeast"/>
        <w:jc w:val="center"/>
        <w:rPr>
          <w:rFonts w:ascii="仿宋_GB2312" w:hAnsi="仿宋_GB2312"/>
          <w:color w:val="000000"/>
          <w:kern w:val="0"/>
          <w:shd w:val="clear" w:color="auto" w:fill="FFFFFF"/>
        </w:rPr>
      </w:pPr>
      <w:r>
        <w:rPr>
          <w:rFonts w:hint="eastAsia" w:ascii="宋体" w:cs="宋体"/>
          <w:b/>
          <w:sz w:val="44"/>
          <w:szCs w:val="44"/>
        </w:rPr>
        <w:t>202</w:t>
      </w:r>
      <w:r>
        <w:rPr>
          <w:rFonts w:hint="eastAsia" w:ascii="宋体" w:cs="宋体"/>
          <w:b/>
          <w:sz w:val="44"/>
          <w:szCs w:val="44"/>
          <w:lang w:val="en-US" w:eastAsia="zh-CN"/>
        </w:rPr>
        <w:t>4</w:t>
      </w:r>
      <w:r>
        <w:rPr>
          <w:rFonts w:hint="eastAsia" w:ascii="宋体" w:cs="宋体"/>
          <w:b/>
          <w:sz w:val="44"/>
          <w:szCs w:val="44"/>
        </w:rPr>
        <w:t>年部门整体支出绩效评价报告</w:t>
      </w:r>
    </w:p>
    <w:p>
      <w:pPr>
        <w:widowControl/>
        <w:numPr>
          <w:ilvl w:val="0"/>
          <w:numId w:val="5"/>
        </w:numPr>
        <w:adjustRightInd w:val="0"/>
        <w:snapToGrid w:val="0"/>
        <w:spacing w:line="540" w:lineRule="exact"/>
        <w:ind w:left="0" w:firstLine="480" w:firstLineChars="150"/>
        <w:jc w:val="left"/>
        <w:rPr>
          <w:rFonts w:hint="eastAsia" w:ascii="黑体" w:eastAsia="黑体" w:cs="宋体"/>
          <w:color w:val="000000"/>
          <w:kern w:val="0"/>
          <w:sz w:val="32"/>
          <w:lang w:val="zh-CN"/>
        </w:rPr>
      </w:pPr>
      <w:r>
        <w:rPr>
          <w:rFonts w:hint="eastAsia" w:ascii="黑体" w:eastAsia="黑体" w:cs="宋体"/>
          <w:color w:val="000000"/>
          <w:kern w:val="0"/>
          <w:sz w:val="32"/>
          <w:lang w:val="zh-CN"/>
        </w:rPr>
        <w:t>部门（单位）概况</w:t>
      </w:r>
    </w:p>
    <w:p>
      <w:pPr>
        <w:widowControl/>
        <w:adjustRightInd w:val="0"/>
        <w:snapToGrid w:val="0"/>
        <w:spacing w:line="540" w:lineRule="exact"/>
        <w:jc w:val="left"/>
        <w:rPr>
          <w:rFonts w:hint="eastAsia" w:ascii="黑体" w:eastAsia="黑体" w:cs="宋体"/>
          <w:color w:val="000000"/>
          <w:kern w:val="0"/>
          <w:sz w:val="32"/>
          <w:lang w:val="zh-CN"/>
        </w:rPr>
      </w:pPr>
      <w:r>
        <w:rPr>
          <w:rFonts w:hint="eastAsia" w:ascii="黑体" w:eastAsia="黑体" w:cs="宋体"/>
          <w:color w:val="000000"/>
          <w:kern w:val="0"/>
          <w:sz w:val="32"/>
          <w:lang w:val="zh-CN"/>
        </w:rPr>
        <w:t>（一）主要职能</w:t>
      </w:r>
    </w:p>
    <w:p>
      <w:pPr>
        <w:widowControl/>
        <w:adjustRightInd w:val="0"/>
        <w:snapToGrid w:val="0"/>
        <w:spacing w:line="540" w:lineRule="exact"/>
        <w:ind w:left="0" w:firstLine="640" w:firstLineChars="200"/>
        <w:jc w:val="left"/>
        <w:rPr>
          <w:rFonts w:hint="eastAsia" w:ascii="方正仿宋_GBK" w:eastAsia="方正仿宋_GBK" w:cs="方正仿宋_GBK"/>
          <w:b w:val="0"/>
          <w:bCs w:val="0"/>
          <w:color w:val="000000"/>
          <w:kern w:val="0"/>
          <w:sz w:val="32"/>
          <w:lang w:val="zh-CN"/>
        </w:rPr>
      </w:pPr>
      <w:r>
        <w:rPr>
          <w:rFonts w:hint="eastAsia" w:ascii="方正仿宋_GBK" w:eastAsia="方正仿宋_GBK" w:cs="方正仿宋_GBK"/>
          <w:b w:val="0"/>
          <w:bCs w:val="0"/>
          <w:color w:val="000000"/>
          <w:kern w:val="0"/>
          <w:sz w:val="32"/>
          <w:lang w:val="zh-CN"/>
        </w:rPr>
        <w:t>(一)研究相关理论、政策和规划，拟定相关地方性法规草案及规范性文件并组织实施。深入调查研究，及时向县委报告工作情况并提出建议。指导乡镇开展相关工作。</w:t>
      </w:r>
    </w:p>
    <w:p>
      <w:pPr>
        <w:widowControl/>
        <w:adjustRightInd w:val="0"/>
        <w:snapToGrid w:val="0"/>
        <w:spacing w:line="540" w:lineRule="exact"/>
        <w:ind w:left="0" w:firstLine="640" w:firstLineChars="200"/>
        <w:jc w:val="left"/>
        <w:rPr>
          <w:rFonts w:hint="eastAsia" w:ascii="方正仿宋_GBK" w:eastAsia="方正仿宋_GBK" w:cs="方正仿宋_GBK"/>
          <w:b w:val="0"/>
          <w:bCs w:val="0"/>
          <w:color w:val="000000"/>
          <w:kern w:val="0"/>
          <w:sz w:val="32"/>
          <w:lang w:val="zh-CN"/>
        </w:rPr>
      </w:pPr>
      <w:r>
        <w:rPr>
          <w:rFonts w:hint="eastAsia" w:ascii="方正仿宋_GBK" w:eastAsia="方正仿宋_GBK" w:cs="方正仿宋_GBK"/>
          <w:b w:val="0"/>
          <w:bCs w:val="0"/>
          <w:color w:val="000000"/>
          <w:kern w:val="0"/>
          <w:sz w:val="32"/>
          <w:lang w:val="zh-CN"/>
        </w:rPr>
        <w:t>(二)统筹指导全县群众利益协调、诉求表达、矛盾调处、权益保障等人民信访工作，协调解决人民群众急难愁盼的重大问题。指导人民建议征集工作，负责征集、办理公民、法人和其他组织提出的意见建议，向县委、县政府及时反映公民、法人和其他组织对党和国家事业发展提出的重要意见建议。</w:t>
      </w:r>
    </w:p>
    <w:p>
      <w:pPr>
        <w:widowControl/>
        <w:adjustRightInd w:val="0"/>
        <w:snapToGrid w:val="0"/>
        <w:spacing w:line="540" w:lineRule="exact"/>
        <w:ind w:left="0" w:firstLine="640" w:firstLineChars="200"/>
        <w:jc w:val="left"/>
        <w:rPr>
          <w:rFonts w:hint="eastAsia" w:ascii="方正仿宋_GBK" w:eastAsia="方正仿宋_GBK" w:cs="方正仿宋_GBK"/>
          <w:b w:val="0"/>
          <w:bCs w:val="0"/>
          <w:color w:val="000000"/>
          <w:kern w:val="0"/>
          <w:sz w:val="32"/>
          <w:lang w:val="zh-CN"/>
        </w:rPr>
      </w:pPr>
      <w:r>
        <w:rPr>
          <w:rFonts w:hint="eastAsia" w:ascii="方正仿宋_GBK" w:eastAsia="方正仿宋_GBK" w:cs="方正仿宋_GBK"/>
          <w:b w:val="0"/>
          <w:bCs w:val="0"/>
          <w:color w:val="000000"/>
          <w:kern w:val="0"/>
          <w:sz w:val="32"/>
          <w:lang w:val="zh-CN"/>
        </w:rPr>
        <w:t>(三)统筹推进党建引领基层治理和基层政权建设，协调推进城乡社区治理体系、服务体系和治理能力建设，推动基层民主政治建设，指导监督基层群众自治制度的有效实施，健全基层群众自治机制。</w:t>
      </w:r>
    </w:p>
    <w:p>
      <w:pPr>
        <w:widowControl/>
        <w:adjustRightInd w:val="0"/>
        <w:snapToGrid w:val="0"/>
        <w:spacing w:line="540" w:lineRule="exact"/>
        <w:ind w:left="0" w:firstLine="640" w:firstLineChars="200"/>
        <w:jc w:val="left"/>
        <w:rPr>
          <w:rFonts w:hint="eastAsia" w:ascii="方正仿宋_GBK" w:eastAsia="方正仿宋_GBK" w:cs="方正仿宋_GBK"/>
          <w:b w:val="0"/>
          <w:bCs w:val="0"/>
          <w:color w:val="000000"/>
          <w:kern w:val="0"/>
          <w:sz w:val="32"/>
          <w:lang w:val="zh-CN"/>
        </w:rPr>
      </w:pPr>
      <w:r>
        <w:rPr>
          <w:rFonts w:hint="eastAsia" w:ascii="方正仿宋_GBK" w:eastAsia="方正仿宋_GBK" w:cs="方正仿宋_GBK"/>
          <w:b w:val="0"/>
          <w:bCs w:val="0"/>
          <w:color w:val="000000"/>
          <w:kern w:val="0"/>
          <w:sz w:val="32"/>
          <w:lang w:val="zh-CN"/>
        </w:rPr>
        <w:t>(四)指导全县性社会组织党建工作，统一领导全县性行业协会商会党的工作，承办全县性行业协会商会负责人人选的审核。协调推动全县行业协会商会深化改革和转型发展，调查研究相关重大问题。</w:t>
      </w:r>
    </w:p>
    <w:p>
      <w:pPr>
        <w:pStyle w:val="6"/>
        <w:spacing w:before="0" w:after="0" w:line="240" w:lineRule="auto"/>
        <w:ind w:firstLine="320" w:firstLineChars="1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五)指导、推动落实全县混合所有制企业、非公有制企业和新经济组织、新社会组织、新就业群体(以下简称“两企三新”)党建工作，指导协调相关企业单位、社会组织、就业群体中党员的教育、管理、监督和服务工作，研究完善相关领域群众利益协调机制。</w:t>
      </w:r>
    </w:p>
    <w:p>
      <w:pPr>
        <w:pStyle w:val="6"/>
        <w:spacing w:before="0" w:after="0" w:line="240" w:lineRule="auto"/>
        <w:ind w:firstLine="320" w:firstLineChars="1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六)负责全县志愿服务工作的统筹规划、协调指导、督促检查，指导推动社会工作人才队伍建设、志愿服务人才队伍建设和阵地建设，以及志愿者服务组织的规范管理工作，协调推动社会工作服务体系和志愿服务体系建设。</w:t>
      </w:r>
    </w:p>
    <w:p>
      <w:pPr>
        <w:pStyle w:val="6"/>
        <w:spacing w:before="0" w:after="0" w:line="240" w:lineRule="auto"/>
        <w:ind w:firstLine="320" w:firstLineChars="100"/>
        <w:rPr>
          <w:rFonts w:hint="eastAsia" w:ascii="仿宋_GB2312" w:eastAsia="仿宋_GB2312" w:cs="仿宋_GB2312"/>
          <w:b w:val="0"/>
          <w:bCs w:val="0"/>
          <w:kern w:val="0"/>
          <w:sz w:val="32"/>
          <w:szCs w:val="32"/>
          <w:shd w:val="clear" w:color="auto" w:fill="FFFFFF"/>
          <w:lang w:val="en-US" w:eastAsia="zh-CN" w:bidi="ar-SA"/>
        </w:rPr>
      </w:pPr>
      <w:r>
        <w:rPr>
          <w:rFonts w:hint="eastAsia" w:ascii="仿宋_GB2312" w:eastAsia="仿宋_GB2312" w:cs="仿宋_GB2312"/>
          <w:b w:val="0"/>
          <w:bCs w:val="0"/>
          <w:kern w:val="0"/>
          <w:sz w:val="32"/>
          <w:szCs w:val="32"/>
          <w:shd w:val="clear" w:color="auto" w:fill="FFFFFF"/>
          <w:lang w:val="en-US" w:eastAsia="zh-CN" w:bidi="ar-SA"/>
        </w:rPr>
        <w:t>(七)完成县委交办的其他任务。</w:t>
      </w:r>
    </w:p>
    <w:p>
      <w:pPr>
        <w:ind w:firstLine="480" w:firstLineChars="150"/>
        <w:rPr>
          <w:rFonts w:ascii="仿宋" w:eastAsia="仿宋" w:cs="宋体"/>
          <w:color w:val="000000"/>
          <w:sz w:val="32"/>
          <w:szCs w:val="32"/>
        </w:rPr>
      </w:pPr>
      <w:r>
        <w:rPr>
          <w:rFonts w:hint="eastAsia" w:ascii="仿宋" w:eastAsia="仿宋" w:cs="宋体"/>
          <w:color w:val="000000"/>
          <w:sz w:val="32"/>
          <w:szCs w:val="32"/>
        </w:rPr>
        <w:t>2.机构情况</w:t>
      </w:r>
    </w:p>
    <w:p>
      <w:pPr>
        <w:ind w:firstLine="640" w:firstLineChars="200"/>
        <w:rPr>
          <w:rFonts w:hint="eastAsia" w:ascii="仿宋" w:eastAsia="仿宋" w:cs="仿宋"/>
          <w:color w:val="auto"/>
          <w:sz w:val="32"/>
          <w:szCs w:val="32"/>
        </w:rPr>
      </w:pPr>
      <w:r>
        <w:rPr>
          <w:rFonts w:hint="eastAsia" w:ascii="仿宋" w:eastAsia="仿宋" w:cs="宋体"/>
          <w:color w:val="000000"/>
          <w:sz w:val="32"/>
          <w:szCs w:val="32"/>
        </w:rPr>
        <w:t xml:space="preserve"> </w:t>
      </w:r>
      <w:r>
        <w:rPr>
          <w:rFonts w:hint="eastAsia" w:ascii="仿宋" w:eastAsia="仿宋" w:cs="仿宋"/>
          <w:color w:val="auto"/>
          <w:sz w:val="32"/>
          <w:szCs w:val="32"/>
        </w:rPr>
        <w:t>20</w:t>
      </w:r>
      <w:r>
        <w:rPr>
          <w:rFonts w:hint="eastAsia" w:ascii="仿宋" w:eastAsia="仿宋" w:cs="仿宋"/>
          <w:color w:val="auto"/>
          <w:sz w:val="32"/>
          <w:szCs w:val="32"/>
          <w:lang w:val="en-US" w:eastAsia="zh-CN"/>
        </w:rPr>
        <w:t>24</w:t>
      </w:r>
      <w:r>
        <w:rPr>
          <w:rFonts w:hint="eastAsia" w:ascii="仿宋" w:eastAsia="仿宋" w:cs="仿宋"/>
          <w:color w:val="auto"/>
          <w:sz w:val="32"/>
          <w:szCs w:val="32"/>
        </w:rPr>
        <w:t>年独立编制机构数都是1个，无增减变化</w:t>
      </w:r>
    </w:p>
    <w:p>
      <w:pPr>
        <w:ind w:firstLine="480" w:firstLineChars="150"/>
        <w:rPr>
          <w:rFonts w:ascii="仿宋" w:eastAsia="仿宋" w:cs="宋体"/>
          <w:color w:val="000000"/>
          <w:sz w:val="32"/>
          <w:szCs w:val="32"/>
        </w:rPr>
      </w:pPr>
      <w:r>
        <w:rPr>
          <w:rFonts w:hint="eastAsia" w:ascii="仿宋" w:eastAsia="仿宋" w:cs="宋体"/>
          <w:color w:val="000000"/>
          <w:sz w:val="32"/>
          <w:szCs w:val="32"/>
        </w:rPr>
        <w:t>3.人员情况</w:t>
      </w:r>
    </w:p>
    <w:p>
      <w:pPr>
        <w:ind w:firstLine="640" w:firstLineChars="200"/>
        <w:rPr>
          <w:rFonts w:hint="eastAsia" w:ascii="仿宋" w:eastAsia="仿宋" w:cs="仿宋"/>
          <w:color w:val="auto"/>
          <w:sz w:val="32"/>
          <w:szCs w:val="32"/>
        </w:rPr>
      </w:pPr>
      <w:r>
        <w:rPr>
          <w:rFonts w:hint="eastAsia" w:ascii="仿宋" w:eastAsia="仿宋" w:cs="仿宋"/>
          <w:color w:val="auto"/>
          <w:sz w:val="32"/>
          <w:szCs w:val="32"/>
          <w:lang w:val="en-US" w:eastAsia="zh-CN"/>
        </w:rPr>
        <w:t>中共金川县委社会工作部</w:t>
      </w:r>
      <w:r>
        <w:rPr>
          <w:rFonts w:hint="eastAsia" w:ascii="仿宋" w:eastAsia="仿宋" w:cs="仿宋"/>
          <w:color w:val="auto"/>
          <w:sz w:val="32"/>
          <w:szCs w:val="32"/>
        </w:rPr>
        <w:t>20</w:t>
      </w:r>
      <w:r>
        <w:rPr>
          <w:rFonts w:hint="eastAsia" w:ascii="仿宋" w:eastAsia="仿宋" w:cs="仿宋"/>
          <w:color w:val="auto"/>
          <w:sz w:val="32"/>
          <w:szCs w:val="32"/>
          <w:lang w:val="en-US" w:eastAsia="zh-CN"/>
        </w:rPr>
        <w:t>24</w:t>
      </w:r>
      <w:r>
        <w:rPr>
          <w:rFonts w:hint="eastAsia" w:ascii="仿宋" w:eastAsia="仿宋" w:cs="仿宋"/>
          <w:color w:val="auto"/>
          <w:sz w:val="32"/>
          <w:szCs w:val="32"/>
        </w:rPr>
        <w:t>年行政编制</w:t>
      </w:r>
      <w:r>
        <w:rPr>
          <w:rFonts w:hint="eastAsia" w:ascii="仿宋" w:eastAsia="仿宋" w:cs="仿宋"/>
          <w:color w:val="auto"/>
          <w:sz w:val="32"/>
          <w:szCs w:val="32"/>
          <w:lang w:val="en-US" w:eastAsia="zh-CN"/>
        </w:rPr>
        <w:t>5</w:t>
      </w:r>
      <w:r>
        <w:rPr>
          <w:rFonts w:hint="eastAsia" w:ascii="仿宋" w:eastAsia="仿宋" w:cs="仿宋"/>
          <w:color w:val="auto"/>
          <w:sz w:val="32"/>
          <w:szCs w:val="32"/>
        </w:rPr>
        <w:t>人，事业编制</w:t>
      </w:r>
      <w:r>
        <w:rPr>
          <w:rFonts w:hint="eastAsia" w:ascii="仿宋" w:eastAsia="仿宋" w:cs="仿宋"/>
          <w:color w:val="auto"/>
          <w:sz w:val="32"/>
          <w:szCs w:val="32"/>
          <w:lang w:val="en-US" w:eastAsia="zh-CN"/>
        </w:rPr>
        <w:t>3</w:t>
      </w:r>
      <w:r>
        <w:rPr>
          <w:rFonts w:hint="eastAsia" w:ascii="仿宋" w:eastAsia="仿宋" w:cs="仿宋"/>
          <w:color w:val="auto"/>
          <w:sz w:val="32"/>
          <w:szCs w:val="32"/>
        </w:rPr>
        <w:t>名。</w:t>
      </w:r>
    </w:p>
    <w:p>
      <w:pPr>
        <w:ind w:firstLine="640" w:firstLineChars="200"/>
        <w:rPr>
          <w:rFonts w:hint="eastAsia" w:ascii="仿宋" w:eastAsia="仿宋" w:cs="仿宋"/>
          <w:color w:val="auto"/>
          <w:sz w:val="32"/>
          <w:szCs w:val="32"/>
        </w:rPr>
      </w:pPr>
      <w:r>
        <w:rPr>
          <w:rFonts w:hint="eastAsia" w:ascii="仿宋" w:eastAsia="仿宋" w:cs="仿宋"/>
          <w:color w:val="auto"/>
          <w:sz w:val="32"/>
          <w:szCs w:val="32"/>
          <w:lang w:val="en-US" w:eastAsia="zh-CN"/>
        </w:rPr>
        <w:t>2024</w:t>
      </w:r>
      <w:r>
        <w:rPr>
          <w:rFonts w:hint="eastAsia" w:ascii="仿宋" w:eastAsia="仿宋" w:cs="仿宋"/>
          <w:color w:val="auto"/>
          <w:sz w:val="32"/>
          <w:szCs w:val="32"/>
        </w:rPr>
        <w:t>年</w:t>
      </w:r>
      <w:r>
        <w:rPr>
          <w:rFonts w:hint="eastAsia" w:ascii="仿宋" w:eastAsia="仿宋" w:cs="仿宋"/>
          <w:color w:val="auto"/>
          <w:sz w:val="32"/>
          <w:szCs w:val="32"/>
          <w:lang w:eastAsia="zh-CN"/>
        </w:rPr>
        <w:t>实有人员</w:t>
      </w:r>
      <w:r>
        <w:rPr>
          <w:rFonts w:hint="eastAsia" w:ascii="仿宋" w:eastAsia="仿宋" w:cs="仿宋"/>
          <w:color w:val="auto"/>
          <w:sz w:val="32"/>
          <w:szCs w:val="32"/>
        </w:rPr>
        <w:t>行政编制</w:t>
      </w:r>
      <w:r>
        <w:rPr>
          <w:rFonts w:hint="eastAsia" w:ascii="仿宋" w:eastAsia="仿宋" w:cs="仿宋"/>
          <w:color w:val="auto"/>
          <w:sz w:val="32"/>
          <w:szCs w:val="32"/>
          <w:lang w:val="en-US" w:eastAsia="zh-CN"/>
        </w:rPr>
        <w:t>4</w:t>
      </w:r>
      <w:r>
        <w:rPr>
          <w:rFonts w:hint="eastAsia" w:ascii="仿宋" w:eastAsia="仿宋" w:cs="仿宋"/>
          <w:color w:val="auto"/>
          <w:sz w:val="32"/>
          <w:szCs w:val="32"/>
        </w:rPr>
        <w:t>名，事业编制</w:t>
      </w:r>
      <w:r>
        <w:rPr>
          <w:rFonts w:hint="eastAsia" w:ascii="仿宋" w:eastAsia="仿宋" w:cs="仿宋"/>
          <w:color w:val="auto"/>
          <w:sz w:val="32"/>
          <w:szCs w:val="32"/>
          <w:lang w:val="en-US" w:eastAsia="zh-CN"/>
        </w:rPr>
        <w:t>2</w:t>
      </w:r>
      <w:r>
        <w:rPr>
          <w:rFonts w:hint="eastAsia" w:ascii="仿宋" w:eastAsia="仿宋" w:cs="仿宋"/>
          <w:color w:val="auto"/>
          <w:sz w:val="32"/>
          <w:szCs w:val="32"/>
        </w:rPr>
        <w:t>名。</w:t>
      </w:r>
    </w:p>
    <w:p>
      <w:pPr>
        <w:ind w:firstLine="480" w:firstLineChars="150"/>
        <w:rPr>
          <w:rFonts w:ascii="仿宋" w:eastAsia="仿宋" w:cs="宋体"/>
          <w:color w:val="000000"/>
          <w:sz w:val="32"/>
          <w:szCs w:val="32"/>
        </w:rPr>
      </w:pP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二、部门财政资金收支情况</w:t>
      </w:r>
    </w:p>
    <w:p>
      <w:pPr>
        <w:spacing w:line="54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（一）收入支出预算安排情况</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 xml:space="preserve">4年一般公共预算财政拨款支出64.66万元，主要用于以下方面:一般公共服务支出52.06万元，占80.51 </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 xml:space="preserve">；社会保障和就业支出6.46万元，占9.99 </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；卫生健康支出2.30万元，占3.56</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；住房保障支出3.83万元，占5.94</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r>
        <w:rPr>
          <w:rFonts w:hint="eastAsia" w:ascii="仿宋" w:eastAsia="仿宋" w:cs="仿宋_GB2312"/>
          <w:color w:val="000000"/>
          <w:sz w:val="32"/>
          <w:szCs w:val="32"/>
          <w:lang w:val="zh-CN"/>
        </w:rPr>
        <w:t>（二）</w:t>
      </w:r>
      <w:r>
        <w:rPr>
          <w:rFonts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 xml:space="preserve">4年一般公共预算财政拨款支出64.66万元，主要用于以下方面:一般公共服务支出52.06万元，占80.51 </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 xml:space="preserve">；社会保障和就业支出6.46万元，占9.99 </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；卫生健康支出2.30万元，占3.56</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；住房保障支出3.83万元，占5.94</w:t>
      </w:r>
      <w:r>
        <w:rPr>
          <w:rFonts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r>
        <w:rPr>
          <w:rFonts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4年一般公共预算财政拨款基本支出64.66万元，其中：</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人员经费42.83万元，主要包括：基本工资 9.05 万元、津贴补贴 8.33万元、奖金9.76万元、绩效工资2.97万元、机关事业单位基本养老保险缴费4.31 万元、职业年金缴费2.15万元、职工基本医疗保险缴费1.83万元、公务员医疗补助缴费0.28万元、其他社会保障缴费0.3万元、住房公积金3.83万元。　</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项目支出8.13万元，公用经费13.7万元</w:t>
      </w:r>
      <w:r>
        <w:rPr>
          <w:rFonts w:hint="eastAsia" w:eastAsia="方正仿宋_GBK" w:cs="Times New Roman"/>
          <w:color w:val="auto"/>
          <w:sz w:val="32"/>
          <w:szCs w:val="32"/>
          <w:lang w:val="en-US" w:eastAsia="zh-CN"/>
        </w:rPr>
        <w:t>。</w:t>
      </w:r>
    </w:p>
    <w:p>
      <w:pPr>
        <w:widowControl/>
        <w:adjustRightInd w:val="0"/>
        <w:snapToGrid w:val="0"/>
        <w:spacing w:line="540" w:lineRule="exact"/>
        <w:ind w:firstLine="320" w:firstLineChars="100"/>
        <w:jc w:val="left"/>
        <w:rPr>
          <w:rFonts w:ascii="黑体" w:eastAsia="黑体" w:cs="宋体"/>
          <w:color w:val="000000"/>
          <w:kern w:val="0"/>
          <w:sz w:val="32"/>
        </w:rPr>
      </w:pPr>
      <w:r>
        <w:rPr>
          <w:rFonts w:hint="eastAsia" w:ascii="黑体" w:eastAsia="黑体" w:cs="宋体"/>
          <w:color w:val="000000"/>
          <w:kern w:val="0"/>
          <w:sz w:val="32"/>
        </w:rPr>
        <w:t>三、部门财政支出管理情况</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（一）预算编制情况。</w:t>
      </w:r>
    </w:p>
    <w:p>
      <w:pPr>
        <w:spacing w:line="540" w:lineRule="exact"/>
        <w:ind w:firstLine="640" w:firstLineChars="200"/>
        <w:rPr>
          <w:rFonts w:hint="eastAsia" w:ascii="仿宋_GB2312" w:hAnsi="仿宋_GB2312" w:eastAsia="仿宋"/>
          <w:color w:val="000000"/>
          <w:sz w:val="32"/>
          <w:szCs w:val="32"/>
          <w:lang w:val="en-US" w:eastAsia="zh-CN"/>
        </w:rPr>
      </w:pPr>
      <w:r>
        <w:rPr>
          <w:rFonts w:hint="eastAsia" w:ascii="仿宋" w:eastAsia="仿宋" w:cs="仿宋_GB2312"/>
          <w:color w:val="000000"/>
          <w:sz w:val="32"/>
          <w:szCs w:val="32"/>
          <w:lang w:val="zh-CN"/>
        </w:rPr>
        <w:t>(1)预算编制质量：</w:t>
      </w:r>
      <w:r>
        <w:rPr>
          <w:rFonts w:hint="eastAsia" w:ascii="仿宋" w:eastAsia="仿宋" w:cs="仿宋_GB2312"/>
          <w:sz w:val="32"/>
          <w:szCs w:val="32"/>
        </w:rPr>
        <w:t>202</w:t>
      </w:r>
      <w:r>
        <w:rPr>
          <w:rFonts w:hint="eastAsia" w:ascii="仿宋" w:eastAsia="仿宋" w:cs="仿宋_GB2312"/>
          <w:sz w:val="32"/>
          <w:szCs w:val="32"/>
          <w:lang w:val="en-US" w:eastAsia="zh-CN"/>
        </w:rPr>
        <w:t>4</w:t>
      </w:r>
      <w:r>
        <w:rPr>
          <w:rFonts w:hint="eastAsia" w:ascii="仿宋" w:eastAsia="仿宋" w:cs="仿宋_GB2312"/>
          <w:sz w:val="32"/>
          <w:szCs w:val="32"/>
        </w:rPr>
        <w:t>年预算</w:t>
      </w:r>
      <w:r>
        <w:rPr>
          <w:rFonts w:hint="eastAsia" w:ascii="仿宋_GB2312" w:eastAsia="仿宋_GB2312"/>
          <w:color w:val="000000"/>
          <w:spacing w:val="-2"/>
          <w:sz w:val="32"/>
          <w:szCs w:val="32"/>
          <w:lang w:val="en-US" w:eastAsia="zh-CN"/>
        </w:rPr>
        <w:t>64.66</w:t>
      </w:r>
      <w:r>
        <w:rPr>
          <w:rFonts w:hint="eastAsia" w:ascii="仿宋" w:eastAsia="仿宋" w:cs="仿宋_GB2312"/>
          <w:sz w:val="32"/>
          <w:szCs w:val="32"/>
        </w:rPr>
        <w:t>万元</w:t>
      </w:r>
      <w:r>
        <w:rPr>
          <w:rFonts w:hint="eastAsia" w:ascii="仿宋" w:eastAsia="仿宋" w:cs="仿宋_GB2312"/>
          <w:sz w:val="32"/>
          <w:szCs w:val="32"/>
          <w:lang w:eastAsia="zh-CN"/>
        </w:rPr>
        <w:t>。</w:t>
      </w:r>
    </w:p>
    <w:p>
      <w:pPr>
        <w:spacing w:line="540" w:lineRule="exact"/>
        <w:ind w:firstLine="320" w:firstLineChars="100"/>
        <w:rPr>
          <w:rFonts w:ascii="仿宋" w:eastAsia="仿宋" w:cs="仿宋_GB2312"/>
          <w:color w:val="000000"/>
          <w:sz w:val="32"/>
          <w:szCs w:val="32"/>
          <w:lang w:val="zh-CN"/>
        </w:rPr>
      </w:pPr>
      <w:r>
        <w:rPr>
          <w:rFonts w:hint="eastAsia" w:ascii="仿宋" w:eastAsia="仿宋" w:cs="仿宋_GB2312"/>
          <w:color w:val="000000"/>
          <w:sz w:val="32"/>
          <w:szCs w:val="32"/>
          <w:lang w:val="zh-CN"/>
        </w:rPr>
        <w:t>（2）绩效目标填报：</w:t>
      </w:r>
      <w:r>
        <w:rPr>
          <w:rFonts w:hint="eastAsia" w:ascii="仿宋" w:eastAsia="仿宋" w:cs="仿宋_GB2312"/>
          <w:color w:val="000000"/>
          <w:sz w:val="32"/>
          <w:szCs w:val="32"/>
        </w:rPr>
        <w:t>项目申报严格按照上级要求，明确绩效目标，控制支行成本，提高项目发挥作用。并</w:t>
      </w:r>
      <w:r>
        <w:rPr>
          <w:rFonts w:hint="eastAsia" w:ascii="仿宋" w:eastAsia="仿宋" w:cs="仿宋_GB2312"/>
          <w:color w:val="000000"/>
          <w:sz w:val="32"/>
          <w:szCs w:val="32"/>
          <w:lang w:val="zh-CN"/>
        </w:rPr>
        <w:t>根据财政局统一要求编制了我</w:t>
      </w:r>
      <w:r>
        <w:rPr>
          <w:rFonts w:hint="eastAsia" w:ascii="仿宋" w:eastAsia="仿宋" w:cs="仿宋_GB2312"/>
          <w:color w:val="000000"/>
          <w:sz w:val="32"/>
          <w:szCs w:val="32"/>
          <w:lang w:val="en-US" w:eastAsia="zh-CN"/>
        </w:rPr>
        <w:t>单位</w:t>
      </w:r>
      <w:r>
        <w:rPr>
          <w:rFonts w:hint="eastAsia" w:ascii="仿宋" w:eastAsia="仿宋" w:cs="仿宋_GB2312"/>
          <w:color w:val="000000"/>
          <w:sz w:val="32"/>
          <w:szCs w:val="32"/>
          <w:lang w:val="zh-CN"/>
        </w:rPr>
        <w:t>整体绩效目标报告及项目整体绩效目标表，并报县财政局。</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（二）执行管理情况。</w:t>
      </w:r>
      <w:r>
        <w:rPr>
          <w:rFonts w:hint="eastAsia" w:ascii="仿宋_GB2312" w:eastAsia="仿宋_GB2312" w:cs="仿宋_GB2312"/>
          <w:color w:val="000000"/>
          <w:sz w:val="32"/>
          <w:szCs w:val="32"/>
          <w:lang w:val="zh-CN"/>
        </w:rPr>
        <w:tab/>
      </w:r>
    </w:p>
    <w:p>
      <w:pPr>
        <w:ind w:firstLine="709"/>
        <w:rPr>
          <w:rFonts w:hint="eastAsia" w:ascii="仿宋" w:eastAsia="仿宋"/>
          <w:bCs/>
          <w:sz w:val="32"/>
          <w:szCs w:val="32"/>
          <w:lang w:eastAsia="zh-CN"/>
        </w:rPr>
      </w:pP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w:t>
      </w:r>
      <w:r>
        <w:rPr>
          <w:rFonts w:hint="eastAsia" w:ascii="仿宋" w:eastAsia="仿宋"/>
          <w:bCs/>
          <w:sz w:val="32"/>
          <w:szCs w:val="32"/>
          <w:lang w:val="en-US" w:eastAsia="zh-CN"/>
        </w:rPr>
        <w:t>4</w:t>
      </w:r>
      <w:r>
        <w:rPr>
          <w:rFonts w:hint="eastAsia" w:ascii="仿宋" w:eastAsia="仿宋"/>
          <w:bCs/>
          <w:sz w:val="32"/>
          <w:szCs w:val="32"/>
        </w:rPr>
        <w:t>年我单位“三公”经费支出总额为</w:t>
      </w:r>
      <w:r>
        <w:rPr>
          <w:rFonts w:hint="eastAsia" w:ascii="仿宋" w:eastAsia="仿宋"/>
          <w:bCs/>
          <w:sz w:val="32"/>
          <w:szCs w:val="32"/>
          <w:lang w:val="en-US" w:eastAsia="zh-CN"/>
        </w:rPr>
        <w:t>0</w:t>
      </w:r>
      <w:r>
        <w:rPr>
          <w:rFonts w:hint="eastAsia" w:ascii="仿宋" w:eastAsia="仿宋"/>
          <w:bCs/>
          <w:sz w:val="32"/>
          <w:szCs w:val="32"/>
        </w:rPr>
        <w:t>万元</w:t>
      </w:r>
      <w:r>
        <w:rPr>
          <w:rFonts w:hint="eastAsia" w:ascii="仿宋" w:eastAsia="仿宋"/>
          <w:bCs/>
          <w:sz w:val="32"/>
          <w:szCs w:val="32"/>
          <w:lang w:eastAsia="zh-CN"/>
        </w:rPr>
        <w:t>。</w:t>
      </w:r>
    </w:p>
    <w:p>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（三）综合管理情况。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w:t>
      </w:r>
      <w:r>
        <w:rPr>
          <w:rFonts w:hint="eastAsia" w:ascii="仿宋" w:eastAsia="仿宋" w:cs="仿宋_GB2312"/>
          <w:color w:val="000000"/>
          <w:sz w:val="32"/>
          <w:szCs w:val="32"/>
          <w:lang w:val="en-US" w:eastAsia="zh-CN"/>
        </w:rPr>
        <w:t>单位</w:t>
      </w:r>
      <w:r>
        <w:rPr>
          <w:rFonts w:hint="eastAsia" w:ascii="仿宋" w:eastAsia="仿宋" w:cs="仿宋_GB2312"/>
          <w:color w:val="000000"/>
          <w:sz w:val="32"/>
          <w:szCs w:val="32"/>
        </w:rPr>
        <w:t>202</w:t>
      </w:r>
      <w:r>
        <w:rPr>
          <w:rFonts w:hint="eastAsia" w:ascii="仿宋" w:eastAsia="仿宋" w:cs="仿宋_GB2312"/>
          <w:color w:val="000000"/>
          <w:sz w:val="32"/>
          <w:szCs w:val="32"/>
          <w:lang w:val="en-US" w:eastAsia="zh-CN"/>
        </w:rPr>
        <w:t>4</w:t>
      </w:r>
      <w:r>
        <w:rPr>
          <w:rFonts w:hint="eastAsia" w:ascii="仿宋" w:eastAsia="仿宋" w:cs="仿宋_GB2312"/>
          <w:color w:val="000000"/>
          <w:sz w:val="32"/>
          <w:szCs w:val="32"/>
        </w:rPr>
        <w:t>年所有国有资产纳入</w:t>
      </w:r>
      <w:r>
        <w:rPr>
          <w:rFonts w:hint="eastAsia" w:ascii="仿宋" w:eastAsia="仿宋" w:cs="仿宋_GB2312"/>
          <w:color w:val="000000"/>
          <w:sz w:val="32"/>
          <w:szCs w:val="32"/>
          <w:lang w:val="zh-CN"/>
        </w:rPr>
        <w:t>资产管理系统，及时准确上报并做好资产的管理工作。根据相关要求，单位使用预算资金基本符合相关的预算财务管理制度。我委在财政批复后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（四）整体绩效。</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hint="eastAsia" w:ascii="黑体" w:eastAsia="黑体" w:cs="宋体"/>
          <w:color w:val="000000"/>
          <w:kern w:val="0"/>
          <w:sz w:val="32"/>
        </w:rPr>
        <w:t>四、评价结论及建议</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（一）评价结论</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（二）存在问题</w:t>
      </w:r>
    </w:p>
    <w:p>
      <w:pPr>
        <w:spacing w:line="540" w:lineRule="exact"/>
        <w:ind w:firstLine="642" w:firstLineChars="200"/>
        <w:rPr>
          <w:rFonts w:ascii="仿宋" w:eastAsia="仿宋" w:cs="仿宋_GB2312"/>
          <w:color w:val="000000"/>
          <w:sz w:val="32"/>
          <w:szCs w:val="32"/>
          <w:shd w:val="clear" w:color="auto" w:fill="FFFFFF"/>
        </w:rPr>
      </w:pPr>
      <w:r>
        <w:rPr>
          <w:rFonts w:hint="eastAsia" w:ascii="仿宋" w:eastAsia="仿宋" w:cs="仿宋_GB2312"/>
          <w:b/>
          <w:bCs/>
          <w:color w:val="000000"/>
          <w:kern w:val="0"/>
          <w:sz w:val="32"/>
          <w:szCs w:val="32"/>
        </w:rPr>
        <w:t xml:space="preserve"> </w:t>
      </w:r>
      <w:r>
        <w:rPr>
          <w:rFonts w:hint="eastAsia" w:asci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（三）改进建议</w:t>
      </w:r>
    </w:p>
    <w:p>
      <w:pPr>
        <w:pStyle w:val="15"/>
        <w:widowControl/>
        <w:shd w:val="clear" w:color="auto" w:fill="FFFFFF"/>
        <w:spacing w:beforeAutospacing="0" w:afterAutospacing="0" w:line="576" w:lineRule="exact"/>
        <w:ind w:firstLine="640" w:firstLineChars="200"/>
        <w:rPr>
          <w:rFonts w:ascii="仿宋" w:eastAsia="仿宋" w:cs="仿宋_GB2312"/>
          <w:color w:val="000000"/>
          <w:sz w:val="32"/>
          <w:szCs w:val="32"/>
          <w:shd w:val="clear" w:color="auto" w:fill="FFFFFF"/>
        </w:rPr>
      </w:pPr>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hint="eastAsia" w:ascii="方正小标宋简体" w:eastAsia="方正小标宋简体"/>
          <w:color w:val="000000"/>
          <w:sz w:val="44"/>
          <w:szCs w:val="44"/>
        </w:rPr>
      </w:pPr>
      <w:r>
        <w:rPr>
          <w:b/>
          <w:sz w:val="32"/>
          <w:szCs w:val="32"/>
        </w:rPr>
        <w:t>2024年100万元以上（含）特定目标类部门预算项目绩效目标自评</w:t>
      </w:r>
    </w:p>
    <w:tbl>
      <w:tblPr>
        <w:tblStyle w:val="1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1076"/>
        <w:gridCol w:w="906"/>
        <w:gridCol w:w="1202"/>
        <w:gridCol w:w="396"/>
        <w:gridCol w:w="936"/>
        <w:gridCol w:w="396"/>
        <w:gridCol w:w="848"/>
        <w:gridCol w:w="487"/>
        <w:gridCol w:w="397"/>
        <w:gridCol w:w="1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87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6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83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p>
        </w:tc>
        <w:tc>
          <w:tcPr>
            <w:tcW w:w="848"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实施单位 （盖章）</w:t>
            </w:r>
          </w:p>
        </w:tc>
        <w:tc>
          <w:tcPr>
            <w:tcW w:w="21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0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83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0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83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p>
        </w:tc>
        <w:tc>
          <w:tcPr>
            <w:tcW w:w="30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87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7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7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黑体" w:eastAsia="黑体" w:cs="黑体"/>
                <w:i/>
                <w:iCs/>
                <w:color w:val="000000"/>
                <w:sz w:val="18"/>
                <w:szCs w:val="18"/>
                <w:u w:val="none"/>
              </w:rPr>
            </w:pPr>
            <w:r>
              <w:rPr>
                <w:rFonts w:hint="eastAsia" w:ascii="黑体" w:eastAsia="黑体" w:cs="黑体"/>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7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ascii="宋体" w:eastAsia="宋体" w:cs="宋体"/>
                <w:i w:val="0"/>
                <w:iCs w:val="0"/>
                <w:color w:val="000000"/>
                <w:sz w:val="18"/>
                <w:szCs w:val="18"/>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7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17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指质</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3"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3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eastAsia="宋体" w:cs="宋体"/>
                <w:i w:val="0"/>
                <w:iCs w:val="0"/>
                <w:color w:val="000000"/>
                <w:sz w:val="18"/>
                <w:szCs w:val="18"/>
                <w:u w:val="none"/>
              </w:rPr>
            </w:pPr>
          </w:p>
        </w:tc>
      </w:tr>
    </w:tbl>
    <w:p>
      <w:pPr>
        <w:pStyle w:val="5"/>
        <w:jc w:val="center"/>
        <w:rPr>
          <w:rFonts w:hint="eastAsia" w:ascii="方正小标宋_GBK" w:hAnsi="方正小标宋_GBK" w:eastAsia="方正小标宋_GBK" w:cs="方正小标宋_GBK"/>
          <w:b w:val="0"/>
        </w:rPr>
      </w:pPr>
    </w:p>
    <w:p>
      <w:pPr>
        <w:pStyle w:val="5"/>
        <w:jc w:val="center"/>
        <w:rPr>
          <w:rFonts w:hint="eastAsia" w:ascii="方正小标宋_GBK" w:hAnsi="方正小标宋_GBK" w:eastAsia="方正小标宋_GBK" w:cs="方正小标宋_GBK"/>
          <w:b w:val="0"/>
        </w:rPr>
      </w:pPr>
      <w:r>
        <w:rPr>
          <w:rFonts w:hint="eastAsia" w:ascii="方正小标宋_GBK" w:hAnsi="方正小标宋_GBK" w:eastAsia="方正小标宋_GBK" w:cs="方正小标宋_GBK"/>
          <w:b w:val="0"/>
        </w:rPr>
        <w:t>第五部分 附表</w:t>
      </w:r>
      <w:bookmarkStart w:id="74"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一、收入支出决算总表</w:t>
      </w:r>
      <w:bookmarkEnd w:id="74"/>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75" w:name="_Toc15396620"/>
      <w:r>
        <w:rPr>
          <w:rFonts w:hint="default" w:ascii="Times New Roman" w:hAnsi="Times New Roman" w:eastAsia="方正仿宋_GBK" w:cs="Times New Roman"/>
          <w:sz w:val="32"/>
          <w:szCs w:val="32"/>
        </w:rPr>
        <w:t>二、收入决算表</w:t>
      </w:r>
      <w:bookmarkEnd w:id="75"/>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76" w:name="_Toc15396621"/>
      <w:r>
        <w:rPr>
          <w:rFonts w:hint="default" w:ascii="Times New Roman" w:hAnsi="Times New Roman" w:eastAsia="方正仿宋_GBK" w:cs="Times New Roman"/>
          <w:sz w:val="32"/>
          <w:szCs w:val="32"/>
        </w:rPr>
        <w:t>三、支出决算表</w:t>
      </w:r>
      <w:bookmarkEnd w:id="76"/>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77" w:name="_Toc15396622"/>
      <w:r>
        <w:rPr>
          <w:rFonts w:hint="default" w:ascii="Times New Roman" w:hAnsi="Times New Roman" w:eastAsia="方正仿宋_GBK" w:cs="Times New Roman"/>
          <w:sz w:val="32"/>
          <w:szCs w:val="32"/>
        </w:rPr>
        <w:t>四、财政拨款收入支出决算总表</w:t>
      </w:r>
      <w:bookmarkEnd w:id="77"/>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78" w:name="_Toc15396623"/>
      <w:r>
        <w:rPr>
          <w:rFonts w:hint="default" w:ascii="Times New Roman" w:hAnsi="Times New Roman" w:eastAsia="方正仿宋_GBK" w:cs="Times New Roman"/>
          <w:sz w:val="32"/>
          <w:szCs w:val="32"/>
        </w:rPr>
        <w:t>五、财政拨款支出决算明细表</w:t>
      </w:r>
      <w:bookmarkEnd w:id="78"/>
      <w:bookmarkStart w:id="79" w:name="_Toc15396624"/>
    </w:p>
    <w:p>
      <w:pPr>
        <w:pStyle w:val="14"/>
        <w:adjustRightInd w:val="0"/>
        <w:snapToGrid w:val="0"/>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六、一般公共预算财政拨款支出决算表</w:t>
      </w:r>
      <w:bookmarkEnd w:id="79"/>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80" w:name="_Toc15396625"/>
      <w:r>
        <w:rPr>
          <w:rFonts w:hint="default" w:ascii="Times New Roman" w:hAnsi="Times New Roman" w:eastAsia="方正仿宋_GBK" w:cs="Times New Roman"/>
          <w:sz w:val="32"/>
          <w:szCs w:val="32"/>
        </w:rPr>
        <w:t>七、一般公共预算财政拨款支出决算明细表</w:t>
      </w:r>
      <w:bookmarkEnd w:id="80"/>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81" w:name="_Toc15396626"/>
      <w:r>
        <w:rPr>
          <w:rFonts w:hint="default" w:ascii="Times New Roman" w:hAnsi="Times New Roman" w:eastAsia="方正仿宋_GBK" w:cs="Times New Roman"/>
          <w:sz w:val="32"/>
          <w:szCs w:val="32"/>
        </w:rPr>
        <w:t>八、一般公共预算财政拨款基本支出决算表</w:t>
      </w:r>
      <w:bookmarkEnd w:id="81"/>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82" w:name="_Toc15396627"/>
      <w:r>
        <w:rPr>
          <w:rFonts w:hint="default" w:ascii="Times New Roman" w:hAnsi="Times New Roman" w:eastAsia="方正仿宋_GBK" w:cs="Times New Roman"/>
          <w:sz w:val="32"/>
          <w:szCs w:val="32"/>
        </w:rPr>
        <w:t>九、一般公共预算财政拨款项目支出决算表</w:t>
      </w:r>
      <w:bookmarkEnd w:id="82"/>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83" w:name="_Toc15396628"/>
      <w:r>
        <w:rPr>
          <w:rFonts w:hint="default" w:ascii="Times New Roman" w:hAnsi="Times New Roman" w:eastAsia="方正仿宋_GBK" w:cs="Times New Roman"/>
          <w:sz w:val="32"/>
          <w:szCs w:val="32"/>
        </w:rPr>
        <w:t>十、</w:t>
      </w:r>
      <w:bookmarkEnd w:id="83"/>
      <w:r>
        <w:rPr>
          <w:rFonts w:hint="default" w:ascii="Times New Roman" w:hAnsi="Times New Roman" w:eastAsia="方正仿宋_GBK" w:cs="Times New Roman"/>
          <w:sz w:val="32"/>
          <w:szCs w:val="32"/>
        </w:rPr>
        <w:t>政府性基金预算财政拨款收入支出决算表</w:t>
      </w:r>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84" w:name="_Toc15396629"/>
      <w:r>
        <w:rPr>
          <w:rFonts w:hint="default" w:ascii="Times New Roman" w:hAnsi="Times New Roman" w:eastAsia="方正仿宋_GBK" w:cs="Times New Roman"/>
          <w:sz w:val="32"/>
          <w:szCs w:val="32"/>
        </w:rPr>
        <w:t>十一、</w:t>
      </w:r>
      <w:bookmarkEnd w:id="84"/>
      <w:r>
        <w:rPr>
          <w:rFonts w:hint="default" w:ascii="Times New Roman" w:hAnsi="Times New Roman" w:eastAsia="方正仿宋_GBK" w:cs="Times New Roman"/>
          <w:sz w:val="32"/>
          <w:szCs w:val="32"/>
        </w:rPr>
        <w:t>国有资本经营预算财政拨款收入支出决算表</w:t>
      </w:r>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85" w:name="_Toc15396630"/>
      <w:r>
        <w:rPr>
          <w:rFonts w:hint="default" w:ascii="Times New Roman" w:hAnsi="Times New Roman" w:eastAsia="方正仿宋_GBK" w:cs="Times New Roman"/>
          <w:sz w:val="32"/>
          <w:szCs w:val="32"/>
        </w:rPr>
        <w:t>十二、</w:t>
      </w:r>
      <w:bookmarkEnd w:id="85"/>
      <w:r>
        <w:rPr>
          <w:rFonts w:hint="default" w:ascii="Times New Roman" w:hAnsi="Times New Roman" w:eastAsia="方正仿宋_GBK" w:cs="Times New Roman"/>
          <w:sz w:val="32"/>
          <w:szCs w:val="32"/>
        </w:rPr>
        <w:t>国有资本经营预算财政拨款支出决算表</w:t>
      </w:r>
    </w:p>
    <w:p>
      <w:pPr>
        <w:pStyle w:val="14"/>
        <w:adjustRightInd w:val="0"/>
        <w:snapToGrid w:val="0"/>
        <w:spacing w:line="560" w:lineRule="exact"/>
        <w:jc w:val="left"/>
        <w:rPr>
          <w:rFonts w:hint="default" w:ascii="Times New Roman" w:hAnsi="Times New Roman" w:eastAsia="方正仿宋_GBK" w:cs="Times New Roman"/>
          <w:sz w:val="32"/>
          <w:szCs w:val="32"/>
        </w:rPr>
      </w:pPr>
      <w:bookmarkStart w:id="86" w:name="_Toc15396631"/>
      <w:r>
        <w:rPr>
          <w:rFonts w:hint="default" w:ascii="Times New Roman" w:hAnsi="Times New Roman" w:eastAsia="方正仿宋_GBK" w:cs="Times New Roman"/>
          <w:sz w:val="32"/>
          <w:szCs w:val="32"/>
        </w:rPr>
        <w:t>十三、</w:t>
      </w:r>
      <w:bookmarkEnd w:id="86"/>
      <w:r>
        <w:rPr>
          <w:rFonts w:hint="default" w:ascii="Times New Roman" w:hAnsi="Times New Roman" w:eastAsia="方正仿宋_GBK" w:cs="Times New Roman"/>
          <w:sz w:val="32"/>
          <w:szCs w:val="32"/>
        </w:rPr>
        <w:t>财政拨款“三公”经费支出决算表</w:t>
      </w: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简体">
    <w:altName w:val="AR PL UKai CN"/>
    <w:panose1 w:val="03000509000000000000"/>
    <w:charset w:val="86"/>
    <w:family w:val="script"/>
    <w:pitch w:val="default"/>
    <w:sig w:usb0="00000000" w:usb1="0000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AR PL UKai CN">
    <w:panose1 w:val="02000503000000000000"/>
    <w:charset w:val="86"/>
    <w:family w:val="auto"/>
    <w:pitch w:val="default"/>
    <w:sig w:usb0="A00002FF" w:usb1="3ACFFDFF" w:usb2="00000036" w:usb3="00000000" w:csb0="2016009F" w:csb1="DFD70000"/>
  </w:font>
  <w:font w:name="Lucida Sans">
    <w:altName w:val="仿宋_GB2312"/>
    <w:panose1 w:val="00000000000000000000"/>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altName w:val="AR PL UKai CN"/>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小标宋_GBK">
    <w:panose1 w:val="02000000000000000000"/>
    <w:charset w:val="86"/>
    <w:family w:val="script"/>
    <w:pitch w:val="default"/>
    <w:sig w:usb0="A00002BF" w:usb1="38CF7CFA" w:usb2="00082016" w:usb3="00000000" w:csb0="00040001" w:csb1="00000000"/>
  </w:font>
  <w:font w:name="方正兰亭细黑_GBK">
    <w:panose1 w:val="02000000000000000000"/>
    <w:charset w:val="86"/>
    <w:family w:val="auto"/>
    <w:pitch w:val="default"/>
    <w:sig w:usb0="A00002BF" w:usb1="3ACF7CFA" w:usb2="00080016" w:usb3="00000000" w:csb0="00040001" w:csb1="00000000"/>
  </w:font>
  <w:font w:name="方正魏碑_GBK">
    <w:panose1 w:val="02000000000000000000"/>
    <w:charset w:val="86"/>
    <w:family w:val="auto"/>
    <w:pitch w:val="default"/>
    <w:sig w:usb0="A00002BF" w:usb1="39CF7CFA" w:usb2="00082016" w:usb3="00000000" w:csb0="00040001" w:csb1="00000000"/>
  </w:font>
  <w:font w:name="方正兰亭粗黑_GBK">
    <w:panose1 w:val="02000000000000000000"/>
    <w:charset w:val="86"/>
    <w:family w:val="auto"/>
    <w:pitch w:val="default"/>
    <w:sig w:usb0="A00002BF" w:usb1="3ACF7CFA" w:usb2="00080016" w:usb3="00000000" w:csb0="00040001" w:csb1="00000000"/>
  </w:font>
  <w:font w:name="方正姚体_GBK">
    <w:panose1 w:val="02000000000000000000"/>
    <w:charset w:val="86"/>
    <w:family w:val="auto"/>
    <w:pitch w:val="default"/>
    <w:sig w:usb0="A00002BF" w:usb1="38CF7CFA" w:usb2="00082016" w:usb3="00000000" w:csb0="00040001" w:csb1="00000000"/>
  </w:font>
  <w:font w:name="方正细黑一_GBK">
    <w:panose1 w:val="02000000000000000000"/>
    <w:charset w:val="86"/>
    <w:family w:val="auto"/>
    <w:pitch w:val="default"/>
    <w:sig w:usb0="A00002BF" w:usb1="38CF7CFA" w:usb2="00082016" w:usb3="00000000" w:csb0="00040001" w:csb1="00000000"/>
  </w:font>
  <w:font w:name="AR PL UKai TW">
    <w:panose1 w:val="02000503000000000000"/>
    <w:charset w:val="86"/>
    <w:family w:val="auto"/>
    <w:pitch w:val="default"/>
    <w:sig w:usb0="A00002FF" w:usb1="3ACFFDFF" w:usb2="00000036" w:usb3="00000000" w:csb0="2016009F" w:csb1="DFD70000"/>
  </w:font>
  <w:font w:name="AR PL UMing TW">
    <w:panose1 w:val="020B0309010101010101"/>
    <w:charset w:val="86"/>
    <w:family w:val="auto"/>
    <w:pitch w:val="default"/>
    <w:sig w:usb0="A00002FF" w:usb1="3ACFFDFF" w:usb2="00000036" w:usb3="00000000" w:csb0="20160097" w:csb1="CFD60000"/>
  </w:font>
  <w:font w:name="Bitstream Charter">
    <w:panose1 w:val="00000000000000000000"/>
    <w:charset w:val="00"/>
    <w:family w:val="auto"/>
    <w:pitch w:val="default"/>
    <w:sig w:usb0="00000000" w:usb1="00000000" w:usb2="00000000" w:usb3="00000000" w:csb0="00000000" w:csb1="00000000"/>
  </w:font>
  <w:font w:name="CESI小标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DejaVu Math TeX Gyre">
    <w:panose1 w:val="02000503000000000000"/>
    <w:charset w:val="00"/>
    <w:family w:val="auto"/>
    <w:pitch w:val="default"/>
    <w:sig w:usb0="A10000EF" w:usb1="4201F9EE" w:usb2="02000000" w:usb3="00000000" w:csb0="60000193" w:csb1="0DD40000"/>
  </w:font>
  <w:font w:name="Lohit Devanagari">
    <w:panose1 w:val="020B0600000000000000"/>
    <w:charset w:val="00"/>
    <w:family w:val="auto"/>
    <w:pitch w:val="default"/>
    <w:sig w:usb0="80008023" w:usb1="00002042" w:usb2="00000000" w:usb3="00000000" w:csb0="00000001" w:csb1="00000000"/>
  </w:font>
  <w:font w:name="CESI黑体-GB13000">
    <w:panose1 w:val="02000500000000000000"/>
    <w:charset w:val="86"/>
    <w:family w:val="auto"/>
    <w:pitch w:val="default"/>
    <w:sig w:usb0="800002BF" w:usb1="38CF7CF8" w:usb2="00000016" w:usb3="00000000" w:csb0="0004000F"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5603771"/>
      <w:docPartList>
        <w:docPartGallery w:val="Quick Parts"/>
      </w:docPartList>
    </w:sdtPr>
    <w:sdtContent>
      <w:p>
        <w:pPr>
          <w:pStyle w:val="11"/>
          <w:jc w:val="center"/>
        </w:pPr>
        <w:r>
          <w:fldChar w:fldCharType="begin"/>
        </w:r>
        <w:r>
          <w:instrText xml:space="preserve">PAGE   \* MERGEFORMAT</w:instrText>
        </w:r>
        <w:r>
          <w:fldChar w:fldCharType="separate"/>
        </w:r>
        <w:r>
          <w:rPr>
            <w:lang w:val="zh-CN"/>
          </w:rPr>
          <w:t>10</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889F5"/>
    <w:multiLevelType w:val="singleLevel"/>
    <w:tmpl w:val="D29889F5"/>
    <w:lvl w:ilvl="0" w:tentative="0">
      <w:start w:val="1"/>
      <w:numFmt w:val="chineseCounting"/>
      <w:suff w:val="nothing"/>
      <w:lvlText w:val="（%1）"/>
      <w:lvlJc w:val="left"/>
      <w:pPr>
        <w:tabs>
          <w:tab w:val="left" w:pos="0"/>
        </w:tabs>
        <w:ind w:left="-223" w:firstLine="223"/>
      </w:pPr>
      <w:rPr>
        <w:rFonts w:hint="eastAsia" w:ascii="方正楷体_GBK" w:hAnsi="方正楷体_GBK" w:eastAsia="方正楷体_GBK" w:cs="方正楷体_GBK"/>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4C105793"/>
    <w:multiLevelType w:val="singleLevel"/>
    <w:tmpl w:val="4C105793"/>
    <w:lvl w:ilvl="0" w:tentative="0">
      <w:start w:val="1"/>
      <w:numFmt w:val="chineseCounting"/>
      <w:suff w:val="nothing"/>
      <w:lvlText w:val="%1、"/>
      <w:lvlJc w:val="left"/>
      <w:pPr>
        <w:tabs>
          <w:tab w:val="left" w:pos="0"/>
        </w:tabs>
        <w:ind w:left="0" w:firstLine="0"/>
      </w:pPr>
      <w:rPr>
        <w:rFonts w:hint="eastAsi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zA4Mzc3Nzk5Mzk3ZjM3ZmU5MzM5ZmFkNWJlYmY5ODgifQ=="/>
  </w:docVars>
  <w:rsids>
    <w:rsidRoot w:val="00000000"/>
    <w:rsid w:val="56D78B14"/>
    <w:rsid w:val="5FFFF3A6"/>
    <w:rsid w:val="73334531"/>
    <w:rsid w:val="75A744C6"/>
    <w:rsid w:val="77FDCC46"/>
    <w:rsid w:val="79B458CE"/>
    <w:rsid w:val="79E90CC3"/>
    <w:rsid w:val="7A4F06BA"/>
    <w:rsid w:val="7EE770D2"/>
    <w:rsid w:val="7FF4BB9B"/>
    <w:rsid w:val="7FFFAAC7"/>
    <w:rsid w:val="A57E47D9"/>
    <w:rsid w:val="ED72DB2E"/>
    <w:rsid w:val="F7F204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1"/>
    <w:qFormat/>
    <w:uiPriority w:val="0"/>
    <w:pPr>
      <w:keepNext/>
      <w:keepLines/>
      <w:widowControl w:val="0"/>
      <w:spacing w:before="260" w:after="260" w:line="415" w:lineRule="auto"/>
      <w:outlineLvl w:val="1"/>
    </w:pPr>
    <w:rPr>
      <w:rFonts w:ascii="Cambria" w:hAnsi="Cambria"/>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uiPriority w:val="0"/>
    <w:pPr>
      <w:spacing w:before="30" w:beforeLines="30"/>
    </w:pPr>
    <w:rPr>
      <w:rFonts w:ascii="仿宋_GB2312" w:eastAsia="仿宋_GB2312"/>
      <w:kern w:val="0"/>
      <w:sz w:val="30"/>
    </w:rPr>
  </w:style>
  <w:style w:type="paragraph" w:styleId="9">
    <w:name w:val="toc 3"/>
    <w:basedOn w:val="1"/>
    <w:next w:val="1"/>
    <w:uiPriority w:val="0"/>
    <w:pPr>
      <w:tabs>
        <w:tab w:val="right" w:leader="dot" w:pos="8296"/>
      </w:tabs>
      <w:ind w:left="400" w:leftChars="400"/>
    </w:pPr>
  </w:style>
  <w:style w:type="paragraph" w:styleId="10">
    <w:name w:val="Balloon Text"/>
    <w:basedOn w:val="1"/>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iPriority w:val="0"/>
    <w:pPr>
      <w:tabs>
        <w:tab w:val="right" w:leader="dot" w:pos="8296"/>
      </w:tabs>
      <w:spacing w:before="93"/>
      <w:jc w:val="center"/>
    </w:pPr>
    <w:rPr>
      <w:rFonts w:ascii="仿宋" w:eastAsia="仿宋"/>
      <w:sz w:val="28"/>
      <w:szCs w:val="28"/>
    </w:rPr>
  </w:style>
  <w:style w:type="paragraph" w:styleId="14">
    <w:name w:val="toc 2"/>
    <w:basedOn w:val="1"/>
    <w:next w:val="1"/>
    <w:uiPriority w:val="0"/>
    <w:pPr>
      <w:tabs>
        <w:tab w:val="right" w:leader="dot" w:pos="8296"/>
      </w:tabs>
      <w:ind w:left="200" w:leftChars="200"/>
    </w:pPr>
  </w:style>
  <w:style w:type="paragraph" w:styleId="15">
    <w:name w:val="Normal (Web)"/>
    <w:basedOn w:val="1"/>
    <w:uiPriority w:val="0"/>
    <w:pPr>
      <w:widowControl/>
      <w:spacing w:beforeAutospacing="1" w:afterAutospacing="1"/>
      <w:jc w:val="left"/>
    </w:pPr>
    <w:rPr>
      <w:rFonts w:ascii="宋体"/>
      <w:kern w:val="0"/>
      <w:sz w:val="24"/>
    </w:rPr>
  </w:style>
  <w:style w:type="character" w:styleId="18">
    <w:name w:val="Strong"/>
    <w:basedOn w:val="17"/>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6"/>
    <w:qFormat/>
    <w:uiPriority w:val="0"/>
    <w:rPr>
      <w:rFonts w:ascii="Cambria" w:hAnsi="Cambria" w:eastAsia="宋体" w:cs="Times New Roman"/>
      <w:b/>
      <w:bCs/>
      <w:kern w:val="2"/>
      <w:sz w:val="32"/>
      <w:szCs w:val="32"/>
      <w:lang w:val="en-US" w:eastAsia="zh-CN" w:bidi="ar-SA"/>
    </w:rPr>
  </w:style>
  <w:style w:type="paragraph" w:customStyle="1" w:styleId="22">
    <w:name w:val="图表目录1"/>
    <w:basedOn w:val="1"/>
    <w:next w:val="1"/>
    <w:uiPriority w:val="0"/>
    <w:pPr>
      <w:spacing w:before="100" w:beforeAutospacing="1" w:after="100" w:afterAutospacing="1"/>
      <w:ind w:left="400" w:leftChars="200" w:hanging="200" w:hangingChars="200"/>
    </w:pPr>
  </w:style>
  <w:style w:type="character" w:customStyle="1" w:styleId="23">
    <w:name w:val="Header Char"/>
    <w:basedOn w:val="17"/>
    <w:uiPriority w:val="0"/>
    <w:rPr>
      <w:rFonts w:ascii="Times New Roman" w:hAnsi="Times New Roman"/>
      <w:sz w:val="18"/>
      <w:szCs w:val="18"/>
    </w:rPr>
  </w:style>
  <w:style w:type="character" w:customStyle="1" w:styleId="24">
    <w:name w:val="Footer Char"/>
    <w:basedOn w:val="17"/>
    <w:uiPriority w:val="0"/>
    <w:rPr>
      <w:rFonts w:ascii="Times New Roman" w:hAnsi="Times New Roman"/>
      <w:sz w:val="18"/>
      <w:szCs w:val="18"/>
    </w:rPr>
  </w:style>
  <w:style w:type="character" w:customStyle="1" w:styleId="25">
    <w:name w:val="Body Text Char"/>
    <w:basedOn w:val="17"/>
    <w:uiPriority w:val="0"/>
    <w:rPr>
      <w:rFonts w:ascii="Times New Roman" w:hAnsi="Times New Roman"/>
      <w:szCs w:val="24"/>
    </w:rPr>
  </w:style>
  <w:style w:type="paragraph" w:customStyle="1" w:styleId="26">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7">
    <w:name w:val="List Paragraph"/>
    <w:basedOn w:val="1"/>
    <w:uiPriority w:val="0"/>
    <w:pPr>
      <w:ind w:firstLine="200" w:firstLineChars="200"/>
    </w:pPr>
  </w:style>
  <w:style w:type="paragraph" w:customStyle="1" w:styleId="28">
    <w:name w:val="TOC 标题1"/>
    <w:basedOn w:val="5"/>
    <w:next w:val="1"/>
    <w:uiPriority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808080"/>
                </a:solidFill>
                <a:latin typeface="AR PL UKai CN" panose="02000503000000000000" charset="-122"/>
                <a:ea typeface="AR PL UKai CN" panose="02000503000000000000" charset="-122"/>
                <a:cs typeface="Lucida Sans"/>
              </a:defRPr>
            </a:pPr>
            <a:r>
              <a:rPr lang="zh-CN"/>
              <a:t>图表标题</a:t>
            </a:r>
            <a:endParaRPr lang="zh-CN"/>
          </a:p>
        </c:rich>
      </c:tx>
      <c:layout>
        <c:manualLayout>
          <c:xMode val="edge"/>
          <c:yMode val="edge"/>
          <c:x val="0.02962963"/>
          <c:y val="0.026458334"/>
        </c:manualLayout>
      </c:layout>
      <c:overlay val="0"/>
      <c:spPr>
        <a:noFill/>
        <a:ln>
          <a:noFill/>
        </a:ln>
      </c:spPr>
    </c:title>
    <c:autoTitleDeleted val="0"/>
    <c:plotArea>
      <c:layout>
        <c:manualLayout>
          <c:layoutTarget val="inner"/>
          <c:xMode val="edge"/>
          <c:yMode val="edge"/>
          <c:x val="0.273443"/>
          <c:y val="0.16666667"/>
          <c:w val="0.46300742"/>
          <c:h val="0.781325"/>
        </c:manualLayout>
      </c:layout>
      <c:pieChart>
        <c:varyColors val="1"/>
        <c:ser>
          <c:idx val="0"/>
          <c:order val="0"/>
          <c:tx>
            <c:strRef>
              <c:f>'Sheet1'!$B$1</c:f>
              <c:strCache>
                <c:ptCount val="1"/>
                <c:pt idx="0">
                  <c:v>系列 1</c:v>
                </c:pt>
              </c:strCache>
            </c:strRef>
          </c:tx>
          <c:spPr>
            <a:ln>
              <a:noFill/>
            </a:ln>
          </c:spPr>
          <c:explosion val="118"/>
          <c:dPt>
            <c:idx val="0"/>
            <c:bubble3D val="0"/>
            <c:spPr>
              <a:gradFill rotWithShape="1">
                <a:gsLst>
                  <a:gs pos="100000">
                    <a:srgbClr val="73BACC">
                      <a:alpha val="100000"/>
                    </a:srgbClr>
                  </a:gs>
                  <a:gs pos="0">
                    <a:srgbClr val="337A8D">
                      <a:alpha val="100000"/>
                    </a:srgbClr>
                  </a:gs>
                </a:gsLst>
                <a:lin ang="5400000" scaled="1"/>
              </a:gradFill>
              <a:ln w="19050">
                <a:solidFill>
                  <a:srgbClr val="FFFFFF"/>
                </a:solidFill>
                <a:prstDash val="solid"/>
              </a:ln>
            </c:spPr>
          </c:dPt>
          <c:dPt>
            <c:idx val="1"/>
            <c:bubble3D val="0"/>
            <c:spPr>
              <a:gradFill rotWithShape="1">
                <a:gsLst>
                  <a:gs pos="100000">
                    <a:srgbClr val="82C0D1">
                      <a:alpha val="100000"/>
                    </a:srgbClr>
                  </a:gs>
                  <a:gs pos="0">
                    <a:srgbClr val="3C8DA3">
                      <a:alpha val="100000"/>
                    </a:srgbClr>
                  </a:gs>
                </a:gsLst>
                <a:lin ang="5400000" scaled="1"/>
              </a:gradFill>
              <a:ln w="19050">
                <a:solidFill>
                  <a:srgbClr val="FFFFFF"/>
                </a:solidFill>
                <a:prstDash val="solid"/>
              </a:ln>
            </c:spPr>
          </c:dPt>
          <c:dPt>
            <c:idx val="2"/>
            <c:bubble3D val="0"/>
            <c:spPr>
              <a:gradFill rotWithShape="1">
                <a:gsLst>
                  <a:gs pos="100000">
                    <a:srgbClr val="8DC5D4">
                      <a:alpha val="100000"/>
                    </a:srgbClr>
                  </a:gs>
                  <a:gs pos="0">
                    <a:srgbClr val="449EB6">
                      <a:alpha val="100000"/>
                    </a:srgbClr>
                  </a:gs>
                </a:gsLst>
                <a:lin ang="5400000" scaled="1"/>
              </a:gradFill>
              <a:ln w="19050">
                <a:solidFill>
                  <a:srgbClr val="FFFFFF"/>
                </a:solidFill>
                <a:prstDash val="solid"/>
              </a:ln>
            </c:spPr>
          </c:dPt>
          <c:dPt>
            <c:idx val="3"/>
            <c:bubble3D val="0"/>
            <c:spPr>
              <a:gradFill rotWithShape="1">
                <a:gsLst>
                  <a:gs pos="100000">
                    <a:srgbClr val="93CDDD">
                      <a:alpha val="100000"/>
                    </a:srgbClr>
                  </a:gs>
                  <a:gs pos="0">
                    <a:srgbClr val="4BACC6">
                      <a:alpha val="100000"/>
                    </a:srgbClr>
                  </a:gs>
                </a:gsLst>
                <a:lin ang="5400000" scaled="1"/>
              </a:gradFill>
              <a:ln w="19050">
                <a:solidFill>
                  <a:srgbClr val="FFFFFF"/>
                </a:solidFill>
                <a:prstDash val="solid"/>
              </a:ln>
            </c:spPr>
          </c:dPt>
          <c:dLbls>
            <c:dLbl>
              <c:idx val="0"/>
              <c:layout/>
              <c:numFmt formatCode="General" sourceLinked="1"/>
              <c:spPr>
                <a:solidFill>
                  <a:srgbClr val="FFFFFF"/>
                </a:solidFill>
                <a:ln w="6350">
                  <a:solidFill>
                    <a:srgbClr val="BFBFBF"/>
                  </a:solid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eparator>
</c:separator>
              <c:extLst>
                <c:ext xmlns:c15="http://schemas.microsoft.com/office/drawing/2012/chart" uri="{CE6537A1-D6FC-4f65-9D91-7224C49458BB}"/>
              </c:extLst>
            </c:dLbl>
            <c:dLbl>
              <c:idx val="1"/>
              <c:layout/>
              <c:numFmt formatCode="General" sourceLinked="1"/>
              <c:spPr>
                <a:solidFill>
                  <a:srgbClr val="FFFFFF"/>
                </a:solidFill>
                <a:ln w="6350">
                  <a:solidFill>
                    <a:srgbClr val="BFBFBF"/>
                  </a:solid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eparator>
</c:separator>
              <c:extLst>
                <c:ext xmlns:c15="http://schemas.microsoft.com/office/drawing/2012/chart" uri="{CE6537A1-D6FC-4f65-9D91-7224C49458BB}"/>
              </c:extLst>
            </c:dLbl>
            <c:dLbl>
              <c:idx val="2"/>
              <c:layout/>
              <c:numFmt formatCode="General" sourceLinked="1"/>
              <c:spPr>
                <a:solidFill>
                  <a:srgbClr val="FFFFFF"/>
                </a:solidFill>
                <a:ln w="6350">
                  <a:solidFill>
                    <a:srgbClr val="BFBFBF"/>
                  </a:solid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eparator>
</c:separator>
              <c:extLst>
                <c:ext xmlns:c15="http://schemas.microsoft.com/office/drawing/2012/chart" uri="{CE6537A1-D6FC-4f65-9D91-7224C49458BB}"/>
              </c:extLst>
            </c:dLbl>
            <c:dLbl>
              <c:idx val="3"/>
              <c:layout/>
              <c:numFmt formatCode="General" sourceLinked="1"/>
              <c:spPr>
                <a:solidFill>
                  <a:srgbClr val="FFFFFF"/>
                </a:solidFill>
                <a:ln w="6350">
                  <a:solidFill>
                    <a:srgbClr val="BFBFBF"/>
                  </a:solid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eparator>
</c:separator>
              <c:extLst>
                <c:ext xmlns:c15="http://schemas.microsoft.com/office/drawing/2012/chart" uri="{CE6537A1-D6FC-4f65-9D91-7224C49458BB}"/>
              </c:extLst>
            </c:dLbl>
            <c:numFmt formatCode="0%" sourceLinked="0"/>
            <c:spPr>
              <a:solidFill>
                <a:srgbClr val="FFFFFF"/>
              </a:solidFill>
              <a:ln w="6350">
                <a:solidFill>
                  <a:srgbClr val="BFBFBF"/>
                </a:solid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0.00_ </c:formatCode>
                <c:ptCount val="4"/>
                <c:pt idx="0">
                  <c:v>52.06</c:v>
                </c:pt>
                <c:pt idx="1">
                  <c:v>6.46</c:v>
                </c:pt>
                <c:pt idx="2">
                  <c:v>2.3</c:v>
                </c:pt>
                <c:pt idx="3">
                  <c:v>3.83</c:v>
                </c:pt>
              </c:numCache>
            </c:numRef>
          </c:val>
        </c:ser>
        <c:ser>
          <c:idx val="1"/>
          <c:order val="1"/>
          <c:spPr>
            <a:ln>
              <a:noFill/>
            </a:ln>
          </c:spPr>
          <c:explosion val="118"/>
          <c:dPt>
            <c:idx val="0"/>
            <c:bubble3D val="0"/>
            <c:spPr>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{1}</c:f>
              <c:numCache>
                <c:formatCode>General</c:formatCode>
                <c:ptCount val="1"/>
                <c:pt idx="0">
                  <c:v>1</c:v>
                </c:pt>
              </c:numCache>
            </c:numRef>
          </c:val>
        </c:ser>
        <c:ser>
          <c:idx val="2"/>
          <c:order val="2"/>
          <c:spPr>
            <a:ln>
              <a:noFill/>
            </a:ln>
          </c:spPr>
          <c:explosion val="118"/>
          <c:dPt>
            <c:idx val="0"/>
            <c:bubble3D val="0"/>
            <c:spPr>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{1}</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manualLayout>
          <c:xMode val="edge"/>
          <c:yMode val="edge"/>
          <c:x val="0.72824675"/>
          <c:y val="0.34541526"/>
        </c:manualLayout>
      </c:layout>
      <c:overlay val="0"/>
      <c:spPr>
        <a:solidFill>
          <a:srgbClr val="FFFFFF">
            <a:alpha val="50000"/>
          </a:srgbClr>
        </a:solid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zero"/>
    <c:showDLblsOverMax val="0"/>
  </c:chart>
  <c:spPr>
    <a:pattFill prst="dkDnDiag">
      <a:fgClr>
        <a:srgbClr val="FFFFFF"/>
      </a:fgClr>
      <a:bgClr>
        <a:srgbClr val="E6E6E6"/>
      </a:bgClr>
    </a:patt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7946</Words>
  <Characters>8484</Characters>
  <Lines>645</Lines>
  <Paragraphs>203</Paragraphs>
  <TotalTime>4</TotalTime>
  <ScaleCrop>false</ScaleCrop>
  <LinksUpToDate>false</LinksUpToDate>
  <CharactersWithSpaces>8677</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2024-06-20T10:19:00Z</dcterms:created>
  <dc:creator>张彬茜</dc:creator>
  <cp:lastModifiedBy>user</cp:lastModifiedBy>
  <cp:lastPrinted>2020-09-29T18:36:00Z</cp:lastPrinted>
  <dcterms:modified xsi:type="dcterms:W3CDTF">2025-08-27T16:51:26Z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B2D2456E356E495E8F02543E899347BB_13</vt:lpwstr>
  </property>
  <property fmtid="{D5CDD505-2E9C-101B-9397-08002B2CF9AE}" pid="4" name="KSOTemplateDocerSaveRecord">
    <vt:lpwstr>eyJoZGlkIjoiNjQ4NjBiODNlODk1YmE0ZjdmMjEwYmNhZjg0NTBkMzAiLCJ1c2VySWQiOiIzNDA4OTU1MDUifQ==</vt:lpwstr>
  </property>
</Properties>
</file>