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keepNext w:val="0"/>
                                      <w:keepLines w:val="0"/>
                                      <w:pageBreakBefore w:val="0"/>
                                      <w:widowControl/>
                                      <w:kinsoku/>
                                      <w:wordWrap/>
                                      <w:overflowPunct/>
                                      <w:topLinePunct w:val="0"/>
                                      <w:autoSpaceDE/>
                                      <w:autoSpaceDN/>
                                      <w:bidi w:val="0"/>
                                      <w:adjustRightInd/>
                                      <w:snapToGrid/>
                                      <w:spacing w:line="665" w:lineRule="exact"/>
                                      <w:ind w:firstLine="720" w:firstLineChars="200"/>
                                      <w:jc w:val="left"/>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0066CC"/>
                                        <w:kern w:val="0"/>
                                        <w:sz w:val="36"/>
                                        <w:szCs w:val="36"/>
                                        <w:lang w:eastAsia="zh-CN"/>
                                      </w:rPr>
                                      <w:t>金川县红十字会</w:t>
                                    </w:r>
                                    <w:r>
                                      <w:rPr>
                                        <w:rFonts w:hint="eastAsia" w:ascii="方正小标宋简体" w:hAnsi="宋体" w:eastAsia="方正小标宋简体" w:cs="宋体"/>
                                        <w:color w:val="0066CC"/>
                                        <w:kern w:val="0"/>
                                        <w:sz w:val="36"/>
                                        <w:szCs w:val="36"/>
                                      </w:rPr>
                                      <w:t>201</w:t>
                                    </w:r>
                                    <w:r>
                                      <w:rPr>
                                        <w:rFonts w:hint="eastAsia" w:ascii="方正小标宋简体" w:hAnsi="宋体" w:eastAsia="方正小标宋简体" w:cs="宋体"/>
                                        <w:color w:val="0066CC"/>
                                        <w:kern w:val="0"/>
                                        <w:sz w:val="36"/>
                                        <w:szCs w:val="36"/>
                                        <w:lang w:val="en-US" w:eastAsia="zh-CN"/>
                                      </w:rPr>
                                      <w:t>9</w:t>
                                    </w:r>
                                    <w:r>
                                      <w:rPr>
                                        <w:rFonts w:hint="eastAsia" w:ascii="方正小标宋简体" w:hAnsi="宋体" w:eastAsia="方正小标宋简体" w:cs="宋体"/>
                                        <w:color w:val="0066CC"/>
                                        <w:kern w:val="0"/>
                                        <w:sz w:val="36"/>
                                        <w:szCs w:val="36"/>
                                      </w:rPr>
                                      <w:t>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一、基本职能及主要工作</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　　（一）</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职能简介。</w:t>
                                    </w:r>
                                  </w:p>
                                  <w:p>
                                    <w:pPr>
                                      <w:keepNext w:val="0"/>
                                      <w:keepLines w:val="0"/>
                                      <w:pageBreakBefore w:val="0"/>
                                      <w:widowControl/>
                                      <w:kinsoku/>
                                      <w:wordWrap/>
                                      <w:overflowPunct/>
                                      <w:topLinePunct w:val="0"/>
                                      <w:autoSpaceDE/>
                                      <w:autoSpaceDN/>
                                      <w:bidi w:val="0"/>
                                      <w:adjustRightInd/>
                                      <w:snapToGrid/>
                                      <w:spacing w:line="665" w:lineRule="exact"/>
                                      <w:ind w:firstLine="560" w:firstLineChars="200"/>
                                      <w:jc w:val="left"/>
                                      <w:textAlignment w:val="auto"/>
                                      <w:outlineLvl w:val="9"/>
                                      <w:rPr>
                                        <w:rFonts w:hint="eastAsia" w:ascii="仿宋_GB2312" w:eastAsia="仿宋_GB2312"/>
                                        <w:bCs/>
                                        <w:color w:val="404040" w:themeColor="text1" w:themeTint="BF"/>
                                        <w:spacing w:val="-14"/>
                                        <w:sz w:val="28"/>
                                        <w:szCs w:val="28"/>
                                        <w14:textFill>
                                          <w14:solidFill>
                                            <w14:schemeClr w14:val="tx1">
                                              <w14:lumMod w14:val="75000"/>
                                              <w14:lumOff w14:val="25000"/>
                                            </w14:schemeClr>
                                          </w14:solidFill>
                                        </w14:textFill>
                                      </w:rPr>
                                    </w:pP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根据</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《中华人民共和国红十字会法》、</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《中国红十字章程》</w:t>
                                    </w:r>
                                    <w:r>
                                      <w:rPr>
                                        <w:rFonts w:hint="eastAsia" w:ascii="仿宋_GB2312" w:hAnsi="宋体" w:eastAsia="仿宋_GB2312" w:cs="宋体"/>
                                        <w:bCs/>
                                        <w:color w:val="404040" w:themeColor="text1" w:themeTint="BF"/>
                                        <w:sz w:val="28"/>
                                        <w:szCs w:val="28"/>
                                        <w14:textFill>
                                          <w14:solidFill>
                                            <w14:schemeClr w14:val="tx1">
                                              <w14:lumMod w14:val="75000"/>
                                              <w14:lumOff w14:val="25000"/>
                                            </w14:schemeClr>
                                          </w14:solidFill>
                                        </w14:textFill>
                                      </w:rPr>
                                      <w:t>以及党和国家有关红十字会工作的方针、政策、法规</w:t>
                                    </w:r>
                                    <w:r>
                                      <w:rPr>
                                        <w:rFonts w:hint="eastAsia" w:ascii="仿宋_GB2312" w:hAnsi="宋体" w:eastAsia="仿宋_GB2312" w:cs="宋体"/>
                                        <w:bCs/>
                                        <w:color w:val="404040" w:themeColor="text1" w:themeTint="BF"/>
                                        <w:kern w:val="0"/>
                                        <w:sz w:val="28"/>
                                        <w:szCs w:val="28"/>
                                        <w14:textFill>
                                          <w14:solidFill>
                                            <w14:schemeClr w14:val="tx1">
                                              <w14:lumMod w14:val="75000"/>
                                              <w14:lumOff w14:val="25000"/>
                                            </w14:schemeClr>
                                          </w14:solidFill>
                                        </w14:textFill>
                                      </w:rPr>
                                      <w:t>文件规定。</w:t>
                                    </w:r>
                                    <w:r>
                                      <w:rPr>
                                        <w:rFonts w:eastAsia="仿宋_GB2312"/>
                                        <w:b/>
                                        <w:color w:val="404040" w:themeColor="text1" w:themeTint="BF"/>
                                        <w:spacing w:val="-14"/>
                                        <w:sz w:val="28"/>
                                        <w:szCs w:val="28"/>
                                        <w14:textFill>
                                          <w14:solidFill>
                                            <w14:schemeClr w14:val="tx1">
                                              <w14:lumMod w14:val="75000"/>
                                              <w14:lumOff w14:val="25000"/>
                                            </w14:schemeClr>
                                          </w14:solidFill>
                                        </w14:textFill>
                                      </w:rPr>
                                      <w:t>主要职责：</w:t>
                                    </w:r>
                                    <w:r>
                                      <w:rPr>
                                        <w:rFonts w:hint="eastAsia" w:ascii="仿宋_GB2312" w:hAnsi="宋体" w:eastAsia="仿宋_GB2312" w:cs="宋体"/>
                                        <w:bCs/>
                                        <w:color w:val="404040" w:themeColor="text1" w:themeTint="BF"/>
                                        <w:sz w:val="28"/>
                                        <w:szCs w:val="28"/>
                                        <w:shd w:val="clear" w:color="auto" w:fill="FFFFFF"/>
                                        <w14:textFill>
                                          <w14:solidFill>
                                            <w14:schemeClr w14:val="tx1">
                                              <w14:lumMod w14:val="75000"/>
                                              <w14:lumOff w14:val="25000"/>
                                            </w14:schemeClr>
                                          </w14:solidFill>
                                        </w14:textFill>
                                      </w:rPr>
                                      <w:t>以项目建设为抓手，以卫生救护培训为载体，以基层红会组织建设和会员发展为基础，加大宣传力度，充分发挥政府人道事务工作方面的助手作用。</w:t>
                                    </w:r>
                                  </w:p>
                                  <w:p>
                                    <w:pPr>
                                      <w:keepNext w:val="0"/>
                                      <w:keepLines w:val="0"/>
                                      <w:pageBreakBefore w:val="0"/>
                                      <w:widowControl/>
                                      <w:kinsoku/>
                                      <w:wordWrap/>
                                      <w:overflowPunct/>
                                      <w:topLinePunct w:val="0"/>
                                      <w:autoSpaceDE/>
                                      <w:autoSpaceDN/>
                                      <w:bidi w:val="0"/>
                                      <w:adjustRightInd/>
                                      <w:snapToGrid/>
                                      <w:spacing w:line="665" w:lineRule="exact"/>
                                      <w:ind w:firstLine="562" w:firstLineChars="200"/>
                                      <w:jc w:val="left"/>
                                      <w:textAlignment w:val="auto"/>
                                      <w:outlineLvl w:val="9"/>
                                      <w:rPr>
                                        <w:rFonts w:hint="eastAsia" w:ascii="仿宋_GB2312" w:hAnsi="仿宋_GB2312" w:eastAsia="仿宋_GB2312" w:cs="仿宋_GB2312"/>
                                        <w:bCs/>
                                        <w:color w:val="404040" w:themeColor="text1" w:themeTint="BF"/>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w:t>
                                    </w:r>
                                    <w:r>
                                      <w:rPr>
                                        <w:rFonts w:hint="eastAsia" w:ascii="楷体_GB2312" w:hAnsi="宋体" w:eastAsia="楷体_GB2312" w:cs="宋体"/>
                                        <w:b/>
                                        <w:bCs/>
                                        <w:color w:val="404040" w:themeColor="text1" w:themeTint="BF"/>
                                        <w:kern w:val="0"/>
                                        <w:sz w:val="28"/>
                                        <w:szCs w:val="28"/>
                                        <w:lang w:eastAsia="zh-CN"/>
                                        <w14:textFill>
                                          <w14:solidFill>
                                            <w14:schemeClr w14:val="tx1">
                                              <w14:lumMod w14:val="75000"/>
                                              <w14:lumOff w14:val="25000"/>
                                            </w14:schemeClr>
                                          </w14:solidFill>
                                        </w14:textFill>
                                      </w:rPr>
                                      <w:t>红十字会</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2018年重点工作。</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根据县委、县政府关于201</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年全县工作的总体部署，县红十字会</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主要</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工作安排：</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1</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仿宋_GB2312" w:eastAsia="仿宋_GB2312"/>
                                        <w:color w:val="404040" w:themeColor="text1" w:themeTint="BF"/>
                                        <w:sz w:val="28"/>
                                        <w:szCs w:val="28"/>
                                        <w14:textFill>
                                          <w14:solidFill>
                                            <w14:schemeClr w14:val="tx1">
                                              <w14:lumMod w14:val="75000"/>
                                              <w14:lumOff w14:val="25000"/>
                                            </w14:schemeClr>
                                          </w14:solidFill>
                                        </w14:textFill>
                                      </w:rPr>
                                      <w:t>加强基层组织建设，夯实红十字会工作基础。2、开展红十字宣传活动，不断扩大红十字影响。3、开展救灾、救护、救助工作，认真履行红十字会职责。4、完成</w:t>
                                    </w:r>
                                    <w:r>
                                      <w:rPr>
                                        <w:rFonts w:hint="eastAsia" w:ascii="仿宋_GB2312" w:eastAsia="仿宋_GB2312"/>
                                        <w:color w:val="404040" w:themeColor="text1" w:themeTint="BF"/>
                                        <w:sz w:val="28"/>
                                        <w:szCs w:val="28"/>
                                        <w14:textFill>
                                          <w14:solidFill>
                                            <w14:schemeClr w14:val="tx1">
                                              <w14:lumMod w14:val="75000"/>
                                              <w14:lumOff w14:val="25000"/>
                                            </w14:schemeClr>
                                          </w14:solidFill>
                                        </w14:textFill>
                                      </w:rPr>
                                      <w:t>中国红基会援助勒乌镇新开村“博爱家园”（生计保护）项目的实施</w:t>
                                    </w:r>
                                    <w:r>
                                      <w:rPr>
                                        <w:rFonts w:hint="eastAsia" w:ascii="仿宋_GB2312" w:hAnsi="宋体" w:eastAsia="仿宋_GB2312" w:cs="宋体"/>
                                        <w:color w:val="404040" w:themeColor="text1" w:themeTint="BF"/>
                                        <w:sz w:val="28"/>
                                        <w:szCs w:val="28"/>
                                        <w14:textFill>
                                          <w14:solidFill>
                                            <w14:schemeClr w14:val="tx1">
                                              <w14:lumMod w14:val="75000"/>
                                              <w14:lumOff w14:val="25000"/>
                                            </w14:schemeClr>
                                          </w14:solidFill>
                                        </w14:textFill>
                                      </w:rPr>
                                      <w:t>工作</w:t>
                                    </w:r>
                                    <w:r>
                                      <w:rPr>
                                        <w:rFonts w:hint="eastAsia" w:ascii="仿宋_GB2312" w:eastAsia="仿宋_GB2312"/>
                                        <w:color w:val="404040" w:themeColor="text1" w:themeTint="BF"/>
                                        <w:sz w:val="28"/>
                                        <w:szCs w:val="28"/>
                                        <w:lang w:eastAsia="zh-CN"/>
                                        <w14:textFill>
                                          <w14:solidFill>
                                            <w14:schemeClr w14:val="tx1">
                                              <w14:lumMod w14:val="75000"/>
                                              <w14:lumOff w14:val="25000"/>
                                            </w14:schemeClr>
                                          </w14:solidFill>
                                        </w14:textFill>
                                      </w:rPr>
                                      <w:t>，</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沙耳乡沙耳尼村中国红十字会总会生计项目和河西乡乃当村台湾红十字组织“博爱家园”生计项目生计基金的“一发放一回收”有序推进，目前资金平安，收益有效。5、开展扶贫脱贫工作、走基层和群众工作。6、民生工程、社会稳定工作、环境整治工作、</w:t>
                                    </w:r>
                                    <w:r>
                                      <w:rPr>
                                        <w:rFonts w:hint="eastAsia" w:ascii="仿宋_GB2312" w:hAnsi="仿宋_GB2312" w:eastAsia="仿宋_GB2312" w:cs="仿宋_GB2312"/>
                                        <w:color w:val="404040" w:themeColor="text1" w:themeTint="BF"/>
                                        <w:spacing w:val="-6"/>
                                        <w:w w:val="97"/>
                                        <w:sz w:val="28"/>
                                        <w:szCs w:val="28"/>
                                        <w14:textFill>
                                          <w14:solidFill>
                                            <w14:schemeClr w14:val="tx1">
                                              <w14:lumMod w14:val="75000"/>
                                              <w14:lumOff w14:val="25000"/>
                                            </w14:schemeClr>
                                          </w14:solidFill>
                                        </w14:textFill>
                                      </w:rPr>
                                      <w:t>党的建设工作进展情况等；完成县委、县政府交办的其他事宜。</w:t>
                                    </w:r>
                                  </w:p>
                                  <w:p>
                                    <w:pPr>
                                      <w:keepNext w:val="0"/>
                                      <w:keepLines w:val="0"/>
                                      <w:pageBreakBefore w:val="0"/>
                                      <w:kinsoku/>
                                      <w:wordWrap/>
                                      <w:overflowPunct/>
                                      <w:topLinePunct w:val="0"/>
                                      <w:autoSpaceDE/>
                                      <w:autoSpaceDN/>
                                      <w:bidi w:val="0"/>
                                      <w:adjustRightInd/>
                                      <w:snapToGrid/>
                                      <w:spacing w:line="665" w:lineRule="exact"/>
                                      <w:ind w:left="559" w:leftChars="266"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二、部门预算单位构成</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lang w:eastAsia="zh-CN"/>
                                        <w14:textFill>
                                          <w14:solidFill>
                                            <w14:schemeClr w14:val="tx1">
                                              <w14:lumMod w14:val="75000"/>
                                              <w14:lumOff w14:val="25000"/>
                                            </w14:schemeClr>
                                          </w14:solidFill>
                                        </w14:textFill>
                                      </w:rPr>
                                      <w:t>金川县红十字会是</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独立编制单位机构数为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1</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个，财政供养人员编制为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名，其中行政编制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名，行政工勤编制0</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名，事业编制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名（其中参照公务员法管理人员编制</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201</w:t>
                                    </w:r>
                                    <w:r>
                                      <w:rPr>
                                        <w:rFonts w:hint="eastAsia" w:ascii="楷体_GB2312" w:eastAsia="仿宋_GB2312"/>
                                        <w:color w:val="404040" w:themeColor="text1" w:themeTint="BF"/>
                                        <w:spacing w:val="-14"/>
                                        <w:sz w:val="28"/>
                                        <w:szCs w:val="28"/>
                                        <w:lang w:val="en-US" w:eastAsia="zh-CN"/>
                                        <w14:textFill>
                                          <w14:solidFill>
                                            <w14:schemeClr w14:val="tx1">
                                              <w14:lumMod w14:val="75000"/>
                                              <w14:lumOff w14:val="25000"/>
                                            </w14:schemeClr>
                                          </w14:solidFill>
                                        </w14:textFill>
                                      </w:rPr>
                                      <w:t>9</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年实际财政供养人员</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人，较上年增加 0人（不含退休人员），其中：行政</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人，行政工勤</w:t>
                                    </w:r>
                                    <w:r>
                                      <w:rPr>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xml:space="preserve"> 0</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Style w:val="6"/>
                                        <w:rFonts w:hint="eastAsia" w:ascii="楷体_GB2312" w:eastAsia="仿宋_GB2312"/>
                                        <w:color w:val="404040" w:themeColor="text1" w:themeTint="BF"/>
                                        <w:spacing w:val="-14"/>
                                        <w:sz w:val="28"/>
                                        <w:szCs w:val="28"/>
                                        <w14:textFill>
                                          <w14:solidFill>
                                            <w14:schemeClr w14:val="tx1">
                                              <w14:lumMod w14:val="75000"/>
                                              <w14:lumOff w14:val="25000"/>
                                            </w14:schemeClr>
                                          </w14:solidFill>
                                        </w14:textFill>
                                      </w:rPr>
                                      <w:t> </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事业</w:t>
                                    </w:r>
                                    <w:r>
                                      <w:rPr>
                                        <w:rFonts w:hint="eastAsia" w:eastAsia="仿宋_GB2312"/>
                                        <w:color w:val="404040" w:themeColor="text1" w:themeTint="BF"/>
                                        <w:spacing w:val="-14"/>
                                        <w:sz w:val="28"/>
                                        <w:szCs w:val="28"/>
                                        <w:lang w:val="en-US" w:eastAsia="zh-CN"/>
                                        <w14:textFill>
                                          <w14:solidFill>
                                            <w14:schemeClr w14:val="tx1">
                                              <w14:lumMod w14:val="75000"/>
                                              <w14:lumOff w14:val="25000"/>
                                            </w14:schemeClr>
                                          </w14:solidFill>
                                        </w14:textFill>
                                      </w:rPr>
                                      <w:t>3</w:t>
                                    </w:r>
                                    <w:r>
                                      <w:rPr>
                                        <w:rFonts w:hint="eastAsia" w:eastAsia="仿宋_GB2312"/>
                                        <w:color w:val="404040" w:themeColor="text1" w:themeTint="BF"/>
                                        <w:spacing w:val="-14"/>
                                        <w:sz w:val="28"/>
                                        <w:szCs w:val="28"/>
                                        <w14:textFill>
                                          <w14:solidFill>
                                            <w14:schemeClr w14:val="tx1">
                                              <w14:lumMod w14:val="75000"/>
                                              <w14:lumOff w14:val="25000"/>
                                            </w14:schemeClr>
                                          </w14:solidFill>
                                        </w14:textFill>
                                      </w:rPr>
                                      <w:t>人。</w:t>
                                    </w:r>
                                    <w:r>
                                      <w:rPr>
                                        <w:rFonts w:hint="eastAsia" w:ascii="仿宋_GB2312" w:eastAsia="仿宋_GB2312"/>
                                        <w:color w:val="404040" w:themeColor="text1" w:themeTint="BF"/>
                                        <w:spacing w:val="-14"/>
                                        <w:sz w:val="28"/>
                                        <w:szCs w:val="28"/>
                                        <w14:textFill>
                                          <w14:solidFill>
                                            <w14:schemeClr w14:val="tx1">
                                              <w14:lumMod w14:val="75000"/>
                                              <w14:lumOff w14:val="25000"/>
                                            </w14:schemeClr>
                                          </w14:solidFill>
                                        </w14:textFill>
                                      </w:rPr>
                                      <w:t xml:space="preserve"> </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三、收支预算情况说明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按照综合预算的原则，</w:t>
                                    </w:r>
                                    <w:r>
                                      <w:rPr>
                                        <w:rFonts w:hint="eastAsia" w:ascii="仿宋_GB2312" w:hAnsi="仿宋_GB2312" w:eastAsia="仿宋_GB2312" w:cs="仿宋_GB2312"/>
                                        <w:color w:val="404040" w:themeColor="text1" w:themeTint="BF"/>
                                        <w:sz w:val="28"/>
                                        <w:szCs w:val="28"/>
                                        <w:lang w:eastAsia="zh-CN"/>
                                        <w14:textFill>
                                          <w14:solidFill>
                                            <w14:schemeClr w14:val="tx1">
                                              <w14:lumMod w14:val="75000"/>
                                              <w14:lumOff w14:val="25000"/>
                                            </w14:schemeClr>
                                          </w14:solidFill>
                                        </w14:textFill>
                                      </w:rPr>
                                      <w:t>红十字会</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所有收入和支出均纳入部门预算管理。收入包括：一般公共预算拨款收入、上年结转；支出包括：一般公共服务支出、教育支出、社会保障和就业支出、医疗卫生与计划生育支出、住房保障支出。红十字会201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年收支预算总数增加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3.08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资和晋档晋级</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相应增加了本年度预算收支总数。</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（一）收入预算情况。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年收入预算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万元，其中：上年结转0万元，占0%；一般公共预算拨款收入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（二）支出预算情况。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xml:space="preserve"> 红十字会201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年支出预算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万元，占100%；项目支出0万元，占0%。</w:t>
                                    </w:r>
                                  </w:p>
                                  <w:p>
                                    <w:pPr>
                                      <w:keepNext w:val="0"/>
                                      <w:keepLines w:val="0"/>
                                      <w:pageBreakBefore w:val="0"/>
                                      <w:kinsoku/>
                                      <w:wordWrap/>
                                      <w:overflowPunct/>
                                      <w:topLinePunct w:val="0"/>
                                      <w:autoSpaceDE/>
                                      <w:autoSpaceDN/>
                                      <w:bidi w:val="0"/>
                                      <w:adjustRightInd/>
                                      <w:snapToGrid/>
                                      <w:spacing w:line="665" w:lineRule="exact"/>
                                      <w:ind w:left="560" w:hanging="560" w:hangingChars="20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四、财政拨款收支预算情况说明</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年财政拨款收支总预算</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年财政拨款收支总额预算增加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3.08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万元，主要原因是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艰边津贴和晋档晋级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收入包括：本年一般公共预算拨款收入</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万元、上年结转一般公共预算拨款收入0万元；支出包括：一般公共服务支出0万元、教育支出0万元、社会保障和就业支出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54.29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3.16</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万元、住房保障支出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5.58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w:t>
                                    </w:r>
                                  </w:p>
                                  <w:p>
                                    <w:pPr>
                                      <w:keepNext w:val="0"/>
                                      <w:keepLines w:val="0"/>
                                      <w:pageBreakBefore w:val="0"/>
                                      <w:numPr>
                                        <w:ilvl w:val="0"/>
                                        <w:numId w:val="1"/>
                                      </w:numPr>
                                      <w:kinsoku/>
                                      <w:wordWrap/>
                                      <w:overflowPunct/>
                                      <w:topLinePunct w:val="0"/>
                                      <w:autoSpaceDE/>
                                      <w:autoSpaceDN/>
                                      <w:bidi w:val="0"/>
                                      <w:adjustRightInd/>
                                      <w:snapToGrid/>
                                      <w:spacing w:line="665" w:lineRule="exact"/>
                                      <w:ind w:left="560" w:leftChars="0" w:firstLine="0" w:firstLineChars="0"/>
                                      <w:textAlignment w:val="auto"/>
                                      <w:outlineLvl w:val="9"/>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一般公共预算当年拨款情况说明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（一）一般公共预算当年拨款规模变化情况。</w:t>
                                    </w:r>
                                  </w:p>
                                  <w:p>
                                    <w:pPr>
                                      <w:keepNext w:val="0"/>
                                      <w:keepLines w:val="0"/>
                                      <w:pageBreakBefore w:val="0"/>
                                      <w:numPr>
                                        <w:ilvl w:val="0"/>
                                        <w:numId w:val="0"/>
                                      </w:numPr>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年一般公共预算当年拨款</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万元，比201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年预算数增加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3.08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万元。主要是</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调</w:t>
                                    </w:r>
                                    <w:r>
                                      <w:rPr>
                                        <w:rFonts w:hint="eastAsia" w:ascii="仿宋_GB2312" w:hAnsi="楷体_GB2312" w:eastAsia="仿宋_GB2312" w:cs="楷体_GB2312"/>
                                        <w:bCs/>
                                        <w:color w:val="404040" w:themeColor="text1" w:themeTint="BF"/>
                                        <w:sz w:val="28"/>
                                        <w:szCs w:val="28"/>
                                        <w:lang w:eastAsia="zh-CN"/>
                                        <w14:textFill>
                                          <w14:solidFill>
                                            <w14:schemeClr w14:val="tx1">
                                              <w14:lumMod w14:val="75000"/>
                                              <w14:lumOff w14:val="25000"/>
                                            </w14:schemeClr>
                                          </w14:solidFill>
                                        </w14:textFill>
                                      </w:rPr>
                                      <w:t>艰边津贴和晋档晋级</w:t>
                                    </w:r>
                                    <w:r>
                                      <w:rPr>
                                        <w:rFonts w:hint="eastAsia" w:ascii="宋体" w:hAnsi="宋体" w:cs="宋体"/>
                                        <w:color w:val="404040" w:themeColor="text1" w:themeTint="BF"/>
                                        <w:sz w:val="28"/>
                                        <w:szCs w:val="28"/>
                                        <w14:textFill>
                                          <w14:solidFill>
                                            <w14:schemeClr w14:val="tx1">
                                              <w14:lumMod w14:val="75000"/>
                                              <w14:lumOff w14:val="25000"/>
                                            </w14:schemeClr>
                                          </w14:solidFill>
                                        </w14:textFill>
                                      </w:rPr>
                                      <w:t>，</w:t>
                                    </w:r>
                                    <w:r>
                                      <w:rPr>
                                        <w:rFonts w:hint="eastAsia" w:ascii="仿宋_GB2312" w:hAnsi="楷体_GB2312" w:eastAsia="仿宋_GB2312" w:cs="楷体_GB2312"/>
                                        <w:bCs/>
                                        <w:color w:val="404040" w:themeColor="text1" w:themeTint="BF"/>
                                        <w:sz w:val="28"/>
                                        <w:szCs w:val="28"/>
                                        <w14:textFill>
                                          <w14:solidFill>
                                            <w14:schemeClr w14:val="tx1">
                                              <w14:lumMod w14:val="75000"/>
                                              <w14:lumOff w14:val="25000"/>
                                            </w14:schemeClr>
                                          </w14:solidFill>
                                        </w14:textFill>
                                      </w:rPr>
                                      <w:t>故各种费用增加，及</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相应增加本年度财政拨款收支总预算。</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（二）一般公共预算当年拨款结构情况。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一般公共服务支出0万元，占0%；教育支出0万元，占0%；社会保障和就业支出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54.29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86.13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%；医疗卫生与计划生育支出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3.16</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5.02</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%；住房保障支出5.</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万元，占</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8.85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w:t>
                                    </w:r>
                                  </w:p>
                                  <w:p>
                                    <w:pPr>
                                      <w:keepNext w:val="0"/>
                                      <w:keepLines w:val="0"/>
                                      <w:pageBreakBefore w:val="0"/>
                                      <w:kinsoku/>
                                      <w:wordWrap/>
                                      <w:overflowPunct/>
                                      <w:topLinePunct w:val="0"/>
                                      <w:autoSpaceDE/>
                                      <w:autoSpaceDN/>
                                      <w:bidi w:val="0"/>
                                      <w:adjustRightInd/>
                                      <w:snapToGrid/>
                                      <w:spacing w:line="665" w:lineRule="exact"/>
                                      <w:ind w:left="559" w:leftChars="266" w:firstLine="0" w:firstLineChars="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t>（三）一般公共预算当年拨款具体使用情况。</w:t>
                                    </w:r>
                                    <w:r>
                                      <w:rPr>
                                        <w:rFonts w:hint="eastAsia" w:ascii="楷体_GB2312" w:hAnsi="宋体" w:eastAsia="楷体_GB2312" w:cs="宋体"/>
                                        <w:b/>
                                        <w:bCs/>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红十字会201</w:t>
                                    </w:r>
                                    <w:r>
                                      <w:rPr>
                                        <w:rFonts w:hint="eastAsia" w:ascii="宋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年部门收入预算总额为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63.03</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1.208社会保障和就业(类）： </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54.29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（1）16红十字事业（款）01行政运行（项）: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日常人员经费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37.33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万元，公用经费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6.68</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16（款）红十字事业（款）</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09社会保险经办机构</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：日常人员经费: 0 万元，公用经费 0 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）05行政事业单位离退休（款）05机关事业单位基本养老保险费（项）：日常人员经费</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7.34</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4</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）05行政事业单位离退休（类）0</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6</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机关事业单位</w:t>
                                    </w:r>
                                    <w:r>
                                      <w:rPr>
                                        <w:rFonts w:hint="eastAsia" w:ascii="仿宋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职业年金</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费（项）：日常人员经费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2.94</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2.210医疗卫生与计划生育（类）11行政事业单位医疗（款）01行政单位医疗（项）: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医疗保障费用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2.57</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210医疗卫生与计划生育（类）11行政事业单位医疗（款）0</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公务员</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医疗</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补助</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（项）:</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医疗保障费用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0.59</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3.221住房保障支出（类）02住房改革支出（款）01住房公积金（项）：全会职工住房公积金</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5.58</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4、205教育支出（类）08进修及培训（款）03培训支出（项）：培训费 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5、229其他支出（类）99其他支出（款）01其他支出（项）：退休干部201</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年春节慰问金  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（二）一般公共预算财政拨款项目支出预算</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 xml:space="preserve"> 0</w:t>
                                    </w:r>
                                    <w:r>
                                      <w:rPr>
                                        <w:rFonts w:hint="eastAsia" w:ascii="宋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红十字会201</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一般公共服务支出（类）。</w:t>
                                    </w:r>
                                  </w:p>
                                  <w:p>
                                    <w:pPr>
                                      <w:keepNext w:val="0"/>
                                      <w:keepLines w:val="0"/>
                                      <w:pageBreakBefore w:val="0"/>
                                      <w:numPr>
                                        <w:ilvl w:val="0"/>
                                        <w:numId w:val="1"/>
                                      </w:numPr>
                                      <w:kinsoku/>
                                      <w:wordWrap/>
                                      <w:overflowPunct/>
                                      <w:topLinePunct w:val="0"/>
                                      <w:autoSpaceDE/>
                                      <w:autoSpaceDN/>
                                      <w:bidi w:val="0"/>
                                      <w:adjustRightInd/>
                                      <w:snapToGrid/>
                                      <w:spacing w:line="665" w:lineRule="exact"/>
                                      <w:ind w:left="560" w:leftChars="0" w:firstLine="0" w:firstLineChars="0"/>
                                      <w:textAlignment w:val="auto"/>
                                      <w:outlineLvl w:val="9"/>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一般公共预算基本支出情况说明</w:t>
                                    </w:r>
                                  </w:p>
                                  <w:p>
                                    <w:pPr>
                                      <w:keepNext w:val="0"/>
                                      <w:keepLines w:val="0"/>
                                      <w:pageBreakBefore w:val="0"/>
                                      <w:numPr>
                                        <w:ilvl w:val="0"/>
                                        <w:numId w:val="0"/>
                                      </w:numPr>
                                      <w:kinsoku/>
                                      <w:wordWrap/>
                                      <w:overflowPunct/>
                                      <w:topLinePunct w:val="0"/>
                                      <w:autoSpaceDE/>
                                      <w:autoSpaceDN/>
                                      <w:bidi w:val="0"/>
                                      <w:adjustRightInd/>
                                      <w:snapToGrid/>
                                      <w:spacing w:line="665" w:lineRule="exact"/>
                                      <w:ind w:firstLine="560" w:firstLineChars="200"/>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红十字会201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年一般公共预算基本支出</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63.03</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万元，其中：人员经费</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56.35</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公用经费6.6</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8</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万元，主要包括：办公费、印刷费、手续费、水费、电费、邮电费、差旅费、维修（护）费、会议费、培训费、劳务费、工会经费、福利费、其他交通费、其他商品和服务支出。</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七、“三公”经费财政拨款预算安排情况说明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　红十字会201</w:t>
                                    </w:r>
                                    <w:r>
                                      <w:rPr>
                                        <w:rFonts w:hint="eastAsia" w:ascii="仿宋_GB2312" w:hAnsi="仿宋_GB2312" w:eastAsia="仿宋_GB2312" w:cs="仿宋_GB2312"/>
                                        <w:color w:val="404040" w:themeColor="text1" w:themeTint="BF"/>
                                        <w:sz w:val="28"/>
                                        <w:szCs w:val="28"/>
                                        <w:lang w:val="en-US" w:eastAsia="zh-CN"/>
                                        <w14:textFill>
                                          <w14:solidFill>
                                            <w14:schemeClr w14:val="tx1">
                                              <w14:lumMod w14:val="75000"/>
                                              <w14:lumOff w14:val="25000"/>
                                            </w14:schemeClr>
                                          </w14:solidFill>
                                        </w14:textFill>
                                      </w:rPr>
                                      <w:t>9</w:t>
                                    </w:r>
                                    <w:r>
                                      <w:rPr>
                                        <w:rFonts w:hint="eastAsia" w:ascii="仿宋_GB2312" w:hAnsi="仿宋_GB2312" w:eastAsia="仿宋_GB2312" w:cs="仿宋_GB2312"/>
                                        <w:color w:val="404040" w:themeColor="text1" w:themeTint="BF"/>
                                        <w:sz w:val="28"/>
                                        <w:szCs w:val="28"/>
                                        <w14:textFill>
                                          <w14:solidFill>
                                            <w14:schemeClr w14:val="tx1">
                                              <w14:lumMod w14:val="75000"/>
                                              <w14:lumOff w14:val="25000"/>
                                            </w14:schemeClr>
                                          </w14:solidFill>
                                        </w14:textFill>
                                      </w:rPr>
                                      <w:t>年“三公”经费财政拨款预算数0.21万元，其中：因公出国（境）经费0万元，公务接待费0万元，公务用车购置及运行维护费0.21万元。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1.因公出国（境）经费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201</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年因公出国（境）费0万元。全年安排因公出国（境）团组0次，出国（境）0人。</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2</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.公务接待费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县红十字会201</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年预算安排 0 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3</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.公务用车购置及运行维护费</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201</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年预算安排 0.21万元，与上年预算相比增加 0万元 ，主要原因是我单位公务用车使用年限长，车辆维修费增加 。</w:t>
                                    </w:r>
                                  </w:p>
                                  <w:p>
                                    <w:pPr>
                                      <w:keepNext w:val="0"/>
                                      <w:keepLines w:val="0"/>
                                      <w:pageBreakBefore w:val="0"/>
                                      <w:kinsoku/>
                                      <w:wordWrap/>
                                      <w:overflowPunct/>
                                      <w:topLinePunct w:val="0"/>
                                      <w:autoSpaceDE/>
                                      <w:autoSpaceDN/>
                                      <w:bidi w:val="0"/>
                                      <w:adjustRightInd/>
                                      <w:snapToGrid/>
                                      <w:spacing w:line="665" w:lineRule="exact"/>
                                      <w:textAlignment w:val="auto"/>
                                      <w:outlineLvl w:val="9"/>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单位</w:t>
                                    </w:r>
                                    <w:r>
                                      <w:rPr>
                                        <w:rFonts w:hint="eastAsia" w:ascii="楷体_GB2312" w:hAnsi="宋体" w:eastAsia="仿宋_GB2312" w:cs="宋体"/>
                                        <w:color w:val="404040" w:themeColor="text1" w:themeTint="BF"/>
                                        <w:spacing w:val="-14"/>
                                        <w:kern w:val="0"/>
                                        <w:sz w:val="28"/>
                                        <w:szCs w:val="28"/>
                                        <w:lang w:eastAsia="zh-CN"/>
                                        <w14:textFill>
                                          <w14:solidFill>
                                            <w14:schemeClr w14:val="tx1">
                                              <w14:lumMod w14:val="75000"/>
                                              <w14:lumOff w14:val="25000"/>
                                            </w14:schemeClr>
                                          </w14:solidFill>
                                        </w14:textFill>
                                      </w:rPr>
                                      <w:t>现</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有公务用车1辆，其中：越野车 0  辆，轿车 0辆。 201</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年安排公务用车运行维护费 0.21万元。用于1 辆公务用车燃油、维修、保险等方面支出。主要保障单位日常运转等工作。</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八、政府性基金预算支出情况说明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红十字会201</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年无政府性基金预算财政拨款支出预算情况。</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九、国有资本经营预算支出情况说明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仿宋_GB2312" w:hAnsi="宋体" w:eastAsia="仿宋_GB2312" w:cs="宋体"/>
                                        <w:color w:val="404040" w:themeColor="text1" w:themeTint="BF"/>
                                        <w:kern w:val="0"/>
                                        <w:sz w:val="28"/>
                                        <w:szCs w:val="28"/>
                                        <w:lang w:val="en-US" w:eastAsia="zh-CN"/>
                                        <w14:textFill>
                                          <w14:solidFill>
                                            <w14:schemeClr w14:val="tx1">
                                              <w14:lumMod w14:val="75000"/>
                                              <w14:lumOff w14:val="25000"/>
                                            </w14:schemeClr>
                                          </w14:solidFill>
                                        </w14:textFill>
                                      </w:rPr>
                                      <w:t xml:space="preserve"> 红十字会</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201</w:t>
                                    </w:r>
                                    <w:r>
                                      <w:rPr>
                                        <w:rFonts w:hint="eastAsia" w:ascii="仿宋_GB2312" w:hAnsi="宋体" w:eastAsia="仿宋_GB2312" w:cs="宋体"/>
                                        <w:color w:val="404040" w:themeColor="text1" w:themeTint="BF"/>
                                        <w:kern w:val="0"/>
                                        <w:sz w:val="28"/>
                                        <w:szCs w:val="28"/>
                                        <w:lang w:val="en-US" w:eastAsia="zh-CN"/>
                                        <w14:textFill>
                                          <w14:solidFill>
                                            <w14:schemeClr w14:val="tx1">
                                              <w14:lumMod w14:val="75000"/>
                                              <w14:lumOff w14:val="25000"/>
                                            </w14:schemeClr>
                                          </w14:solidFill>
                                        </w14:textFill>
                                      </w:rPr>
                                      <w:t>9</w:t>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年没有使用国有资本经营预算拨款安排的支出。</w:t>
                                    </w:r>
                                  </w:p>
                                  <w:p>
                                    <w:pPr>
                                      <w:keepNext w:val="0"/>
                                      <w:keepLines w:val="0"/>
                                      <w:pageBreakBefore w:val="0"/>
                                      <w:kinsoku/>
                                      <w:wordWrap/>
                                      <w:overflowPunct/>
                                      <w:topLinePunct w:val="0"/>
                                      <w:autoSpaceDE/>
                                      <w:autoSpaceDN/>
                                      <w:bidi w:val="0"/>
                                      <w:adjustRightInd/>
                                      <w:snapToGrid/>
                                      <w:spacing w:line="665" w:lineRule="exact"/>
                                      <w:ind w:firstLine="560"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t>十、其他重要事项的情况说明</w:t>
                                    </w:r>
                                    <w:r>
                                      <w:rPr>
                                        <w:rFonts w:hint="eastAsia" w:ascii="黑体" w:hAnsi="宋体" w:eastAsia="黑体" w:cs="宋体"/>
                                        <w:color w:val="404040" w:themeColor="text1" w:themeTint="BF"/>
                                        <w:kern w:val="0"/>
                                        <w:sz w:val="28"/>
                                        <w:szCs w:val="28"/>
                                        <w14:textFill>
                                          <w14:solidFill>
                                            <w14:schemeClr w14:val="tx1">
                                              <w14:lumMod w14:val="75000"/>
                                              <w14:lumOff w14:val="25000"/>
                                            </w14:schemeClr>
                                          </w14:solidFill>
                                        </w14:textFill>
                                      </w:rPr>
                                      <w:br w:type="textWrapping"/>
                                    </w:r>
                                    <w:r>
                                      <w:rPr>
                                        <w:rFonts w:hint="eastAsia" w:ascii="仿宋_GB2312" w:hAnsi="宋体" w:eastAsia="仿宋_GB2312" w:cs="宋体"/>
                                        <w:color w:val="404040" w:themeColor="text1" w:themeTint="BF"/>
                                        <w:kern w:val="0"/>
                                        <w:sz w:val="28"/>
                                        <w:szCs w:val="28"/>
                                        <w14:textFill>
                                          <w14:solidFill>
                                            <w14:schemeClr w14:val="tx1">
                                              <w14:lumMod w14:val="75000"/>
                                              <w14:lumOff w14:val="25000"/>
                                            </w14:schemeClr>
                                          </w14:solidFill>
                                        </w14:textFill>
                                      </w:rPr>
                                      <w:t>　　</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（一）机关运行经费</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201</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年度，红十字会机关运行经费支出 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（二）政府采购情况</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201</w:t>
                                    </w:r>
                                    <w:r>
                                      <w:rPr>
                                        <w:rFonts w:hint="eastAsia" w:ascii="仿宋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仿宋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年度，红十字会政府采购支出总额0万元。</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（三）国有资产占有使用情况</w:t>
                                    </w:r>
                                  </w:p>
                                  <w:p>
                                    <w:pPr>
                                      <w:keepNext w:val="0"/>
                                      <w:keepLines w:val="0"/>
                                      <w:pageBreakBefore w:val="0"/>
                                      <w:kinsoku/>
                                      <w:wordWrap/>
                                      <w:overflowPunct/>
                                      <w:topLinePunct w:val="0"/>
                                      <w:autoSpaceDE/>
                                      <w:autoSpaceDN/>
                                      <w:bidi w:val="0"/>
                                      <w:adjustRightInd/>
                                      <w:snapToGrid/>
                                      <w:spacing w:line="665" w:lineRule="exact"/>
                                      <w:ind w:firstLine="504" w:firstLineChars="200"/>
                                      <w:textAlignment w:val="auto"/>
                                      <w:outlineLvl w:val="9"/>
                                      <w:rPr>
                                        <w:rFonts w:hint="eastAsia" w:ascii="方正小标宋简体" w:hAnsi="宋体" w:eastAsia="仿宋_GB2312" w:cs="宋体"/>
                                        <w:color w:val="000000"/>
                                        <w:spacing w:val="-14"/>
                                        <w:kern w:val="0"/>
                                        <w:sz w:val="32"/>
                                        <w:szCs w:val="34"/>
                                      </w:rPr>
                                    </w:pP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截至201</w:t>
                                    </w:r>
                                    <w:r>
                                      <w:rPr>
                                        <w:rFonts w:hint="eastAsia" w:ascii="楷体_GB2312" w:hAnsi="宋体" w:eastAsia="仿宋_GB2312" w:cs="宋体"/>
                                        <w:color w:val="404040" w:themeColor="text1" w:themeTint="BF"/>
                                        <w:spacing w:val="-14"/>
                                        <w:kern w:val="0"/>
                                        <w:sz w:val="28"/>
                                        <w:szCs w:val="28"/>
                                        <w:lang w:val="en-US" w:eastAsia="zh-CN"/>
                                        <w14:textFill>
                                          <w14:solidFill>
                                            <w14:schemeClr w14:val="tx1">
                                              <w14:lumMod w14:val="75000"/>
                                              <w14:lumOff w14:val="25000"/>
                                            </w14:schemeClr>
                                          </w14:solidFill>
                                        </w14:textFill>
                                      </w:rPr>
                                      <w:t>9</w:t>
                                    </w:r>
                                    <w:r>
                                      <w:rPr>
                                        <w:rFonts w:hint="eastAsia" w:ascii="楷体_GB2312" w:hAnsi="宋体" w:eastAsia="仿宋_GB2312" w:cs="宋体"/>
                                        <w:color w:val="404040" w:themeColor="text1" w:themeTint="BF"/>
                                        <w:spacing w:val="-14"/>
                                        <w:kern w:val="0"/>
                                        <w:sz w:val="28"/>
                                        <w:szCs w:val="28"/>
                                        <w14:textFill>
                                          <w14:solidFill>
                                            <w14:schemeClr w14:val="tx1">
                                              <w14:lumMod w14:val="75000"/>
                                              <w14:lumOff w14:val="25000"/>
                                            </w14:schemeClr>
                                          </w14:solidFill>
                                        </w14:textFill>
                                      </w:rPr>
                                      <w:t>年，红十字会共有公务用车 1辆，其中：一般公务用车 1辆；无单价50万元以上通用设备及单价100万元以上专用设备。</w:t>
                                    </w:r>
                                  </w:p>
                                  <w:p>
                                    <w:pPr>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红十字会</w:t>
                                    </w:r>
                                    <w:r>
                                      <w:rPr>
                                        <w:rFonts w:hint="eastAsia" w:ascii="仿宋_GB2312" w:hAnsi="仿宋_GB2312" w:eastAsia="仿宋_GB2312" w:cs="仿宋_GB2312"/>
                                        <w:color w:val="auto"/>
                                        <w:sz w:val="28"/>
                                        <w:szCs w:val="28"/>
                                        <w:lang w:val="en-US" w:eastAsia="zh-CN"/>
                                      </w:rPr>
                                      <w:t>基本支出和项目支出</w:t>
                                    </w:r>
                                    <w:r>
                                      <w:rPr>
                                        <w:rFonts w:hint="eastAsia" w:ascii="仿宋_GB2312" w:hAnsi="仿宋_GB2312" w:eastAsia="仿宋_GB2312" w:cs="仿宋_GB2312"/>
                                        <w:color w:val="auto"/>
                                        <w:sz w:val="28"/>
                                        <w:szCs w:val="28"/>
                                        <w:lang w:val="en-US"/>
                                      </w:rPr>
                                      <w:t>均按要求实行绩效目标管理，涉及一般公共预算当年拨款</w:t>
                                    </w:r>
                                    <w:r>
                                      <w:rPr>
                                        <w:rFonts w:hint="eastAsia" w:ascii="仿宋_GB2312" w:hAnsi="仿宋_GB2312" w:eastAsia="仿宋_GB2312" w:cs="仿宋_GB2312"/>
                                        <w:color w:val="auto"/>
                                        <w:sz w:val="28"/>
                                        <w:szCs w:val="28"/>
                                        <w:lang w:val="en-US" w:eastAsia="zh-CN"/>
                                      </w:rPr>
                                      <w:t>63.03</w:t>
                                    </w:r>
                                    <w:r>
                                      <w:rPr>
                                        <w:rFonts w:hint="eastAsia" w:ascii="仿宋_GB2312" w:hAnsi="仿宋_GB2312" w:eastAsia="仿宋_GB2312" w:cs="仿宋_GB2312"/>
                                        <w:color w:val="auto"/>
                                        <w:sz w:val="28"/>
                                        <w:szCs w:val="28"/>
                                        <w:lang w:val="en-US"/>
                                      </w:rPr>
                                      <w:t>万元</w:t>
                                    </w:r>
                                    <w:r>
                                      <w:rPr>
                                        <w:rFonts w:hint="eastAsia" w:ascii="仿宋_GB2312" w:hAnsi="仿宋_GB2312" w:eastAsia="仿宋_GB2312" w:cs="仿宋_GB2312"/>
                                        <w:color w:val="auto"/>
                                        <w:sz w:val="28"/>
                                        <w:szCs w:val="28"/>
                                        <w:lang w:val="en-US" w:eastAsia="zh-CN"/>
                                      </w:rPr>
                                      <w:t>,用于机关正常运转。</w:t>
                                    </w:r>
                                    <w:bookmarkStart w:id="0" w:name="_GoBack"/>
                                    <w:bookmarkEnd w:id="0"/>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3.一般公共服务（类）财政事务（款）行政运行（项）：指厅机关及参公管理事业单位用于保障机构正常运行、开展日常工作的基本支出。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4.一般公共服务（类）财政事务（款）一般行政管理事务（项）：指厅机关及参公管理事业单位开展财政综合业务、预决算编审等未单独设置项级科目的专门性财政管理工作的项目支出。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5.一般公共服务（类）财政事务（款）机关服务（项）：指后勤服务中心、信息中心为本部门各单位正常运行提供服务的支出。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6.一般公共服务（类）财政事务（款）信息化建设（项）：指财政厅用于财政信息化建设等方面的项目支出。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8.一般公共服务（类）财政事务（款）其他财政事务支出（项）：指财政厅除上述项目外，开展其他财政事务方面专门性工作任务的项目支出，如全省会计专业技术资格考试考务费等。</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9.教育（类）进修及培训（款）培训支出（项）：指为配合财政业务开展，用于部门内部在职人员参加相关财政财务工作外部培训的经费支出。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10.社会保障和就业（类）行政事业单位离退休（款）事业单位离退休（项）：指财政科学研究所的离退休人员的支出。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11.社会保障和就业（类）行政事业单位离退休（款）未归口管理的行政单位离退休（项）：指厅机关离退休人员的支出。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12.社会保障和就业（类）行政事业单位离退休（款）机关事业单位基本养老保险缴费支出（项）：指部门实施养老保险制度由单位缴纳的养老保险费的支出。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13.社会保障和就业（类）行政事业单位离退休（款）机关事业单位职业年金缴费支出（项）：指部门实施养老保险制度由单位缴纳的职业年金的支出。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14.社会保障和就业（类）其他社会保障和就业（款）其他社会保障和就业支出（项）：指除上述项目外，其他用于行政事业单位离退休方面的支出。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15.医疗卫生与计划生育（类）行政事业单位医疗（款）行政单位医疗（项）：指厅机关及参公管理事业单位用于缴纳单位基本医疗保险支出。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16.医疗卫生与计划生育（类）行政事业单位医疗（款）事业单位医疗（项）：指事业单位用于缴纳单位基本医疗保险支出。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17.医疗卫生与计划生育（类）行政事业单位医疗（款）公务员医疗补助（项）：指厅机关及参公管理事业单位用于集中缴纳公务员医疗补助支出。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18.住房保障（类）住房改革支出（款）住房公积金（项）：指按照《住房公积金管理条例》的规定，由单位及其在职职工缴存的长期住房储金。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19.住房保障（类）住房改革支出（款）购房补贴（项）：指按房改政策规定的标准，向符合条件职工发放的用于购买住房的补贴。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21.项目支出：指在基本支出之外为完成特定行政任务和事业发展目标所发生的支出。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23.机关运行经费：为保障行政单位（包含参照公务员法管理的事业单位）运行用于购买货物和服务的各项资金。包括办公及办公费、水费、电费、印刷费、邮电费、差旅费、会议费等费用开支。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表6.部门整体支出绩效目标申报表</w:t>
                                    </w:r>
                                  </w:p>
                                </w:tc>
                              </w:tr>
                            </w:tbl>
                            <w:p>
                              <w:pPr>
                                <w:widowControl/>
                                <w:spacing w:after="240"/>
                                <w:jc w:val="center"/>
                                <w:rPr>
                                  <w:rFonts w:ascii="宋体" w:hAnsi="宋体" w:eastAsia="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r>
                                      <w:rPr>
                                        <w:rFonts w:hint="eastAsia" w:ascii="宋体" w:hAnsi="宋体" w:eastAsia="宋体" w:cs="宋体"/>
                                        <w:color w:val="333333"/>
                                        <w:kern w:val="0"/>
                                        <w:szCs w:val="21"/>
                                      </w:rPr>
                                      <w:t>相关附件：</w:t>
                                    </w: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r>
                                            <w:rPr>
                                              <w:rFonts w:ascii="宋体" w:hAnsi="宋体" w:eastAsia="宋体" w:cs="宋体"/>
                                              <w:color w:val="0000FF"/>
                                              <w:kern w:val="0"/>
                                            </w:rPr>
                                            <w:t xml:space="preserve">财政厅.xls </w:t>
                                          </w: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Ind w:w="0" w:type="dxa"/>
                          <w:tblLayout w:type="fixed"/>
                          <w:tblCellMar>
                            <w:top w:w="0" w:type="dxa"/>
                            <w:left w:w="0" w:type="dxa"/>
                            <w:bottom w:w="0" w:type="dxa"/>
                            <w:right w:w="0" w:type="dxa"/>
                          </w:tblCellMar>
                        </w:tblPr>
                        <w:tblGrid>
                          <w:gridCol w:w="10050"/>
                        </w:tblGrid>
                        <w:tr>
                          <w:tblPrEx>
                            <w:tblLayout w:type="fixed"/>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0"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251A83"/>
    <w:multiLevelType w:val="singleLevel"/>
    <w:tmpl w:val="FE251A83"/>
    <w:lvl w:ilvl="0" w:tentative="0">
      <w:start w:val="5"/>
      <w:numFmt w:val="chineseCounting"/>
      <w:suff w:val="nothing"/>
      <w:lvlText w:val="%1、"/>
      <w:lvlJc w:val="left"/>
      <w:pPr>
        <w:ind w:left="56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06395544"/>
    <w:rsid w:val="0FCB0BFE"/>
    <w:rsid w:val="22FF3345"/>
    <w:rsid w:val="295E7295"/>
    <w:rsid w:val="36E0745C"/>
    <w:rsid w:val="39570D4A"/>
    <w:rsid w:val="3B253EC0"/>
    <w:rsid w:val="44B60093"/>
    <w:rsid w:val="4DC71827"/>
    <w:rsid w:val="50F67E55"/>
    <w:rsid w:val="55FF3F17"/>
    <w:rsid w:val="65502574"/>
    <w:rsid w:val="6BC0250E"/>
    <w:rsid w:val="6E7C008E"/>
    <w:rsid w:val="7FEA4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Strong"/>
    <w:basedOn w:val="2"/>
    <w:qFormat/>
    <w:uiPriority w:val="22"/>
    <w:rPr>
      <w:b/>
      <w:bCs/>
    </w:rPr>
  </w:style>
  <w:style w:type="character" w:customStyle="1" w:styleId="5">
    <w:name w:val="pagetext0031"/>
    <w:basedOn w:val="2"/>
    <w:qFormat/>
    <w:uiPriority w:val="0"/>
    <w:rPr>
      <w:rFonts w:hint="eastAsia" w:ascii="宋体" w:hAnsi="宋体" w:eastAsia="宋体"/>
      <w:color w:val="555555"/>
      <w:sz w:val="21"/>
      <w:szCs w:val="21"/>
    </w:rPr>
  </w:style>
  <w:style w:type="character" w:customStyle="1" w:styleId="6">
    <w:name w:val="apple-converted-space"/>
    <w:basedOn w:val="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ScaleCrop>false</ScaleCrop>
  <LinksUpToDate>false</LinksUpToDate>
  <CharactersWithSpaces>8369</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cp:lastPrinted>2019-01-18T07:54:00Z</cp:lastPrinted>
  <dcterms:modified xsi:type="dcterms:W3CDTF">2019-01-18T08:24:11Z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