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DA" w:rsidRDefault="00A333DA" w:rsidP="00A333DA">
      <w:pPr>
        <w:snapToGrid w:val="0"/>
        <w:jc w:val="center"/>
        <w:rPr>
          <w:rFonts w:ascii="宋体" w:eastAsia="宋体" w:hAnsi="宋体" w:hint="eastAsia"/>
          <w:szCs w:val="28"/>
        </w:rPr>
      </w:pPr>
      <w:r>
        <w:rPr>
          <w:rFonts w:ascii="宋体" w:eastAsia="宋体" w:hAnsi="宋体" w:hint="eastAsia"/>
          <w:szCs w:val="28"/>
        </w:rPr>
        <w:t>部门决算财务分析指标报告</w:t>
      </w:r>
    </w:p>
    <w:p w:rsidR="00A333DA" w:rsidRDefault="00A333DA" w:rsidP="00A333DA">
      <w:pPr>
        <w:snapToGrid w:val="0"/>
        <w:jc w:val="center"/>
        <w:rPr>
          <w:rFonts w:ascii="仿宋_GB2312" w:eastAsia="仿宋_GB2312" w:hint="eastAsia"/>
          <w:szCs w:val="28"/>
        </w:rPr>
      </w:pP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一、部门基本情况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（一）基本情况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bCs/>
          <w:sz w:val="32"/>
        </w:rPr>
      </w:pPr>
      <w:r>
        <w:rPr>
          <w:rFonts w:ascii="仿宋_GB2312" w:eastAsia="仿宋_GB2312" w:hint="eastAsia"/>
          <w:bCs/>
          <w:sz w:val="32"/>
        </w:rPr>
        <w:t>1、部门职能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Ansi="宋体" w:cs="宋体" w:hint="eastAsia"/>
          <w:b w:val="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 w:val="0"/>
          <w:kern w:val="0"/>
          <w:sz w:val="32"/>
          <w:szCs w:val="32"/>
        </w:rPr>
        <w:t>根据</w:t>
      </w:r>
      <w:r>
        <w:rPr>
          <w:rFonts w:ascii="仿宋_GB2312" w:eastAsia="仿宋_GB2312" w:hAnsi="宋体" w:cs="宋体"/>
          <w:b w:val="0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cs="宋体" w:hint="eastAsia"/>
          <w:b w:val="0"/>
          <w:kern w:val="0"/>
          <w:sz w:val="32"/>
          <w:szCs w:val="32"/>
          <w:u w:val="single"/>
        </w:rPr>
        <w:t>金川府办发</w:t>
      </w:r>
      <w:r>
        <w:rPr>
          <w:rFonts w:ascii="微软雅黑" w:eastAsia="微软雅黑" w:hAnsi="微软雅黑" w:cs="微软雅黑" w:hint="eastAsia"/>
          <w:b w:val="0"/>
          <w:kern w:val="0"/>
          <w:sz w:val="32"/>
          <w:szCs w:val="32"/>
          <w:u w:val="single"/>
        </w:rPr>
        <w:t>﹝</w:t>
      </w:r>
      <w:r>
        <w:rPr>
          <w:rFonts w:ascii="微软雅黑" w:eastAsia="微软雅黑" w:hAnsi="微软雅黑" w:cs="微软雅黑"/>
          <w:b w:val="0"/>
          <w:kern w:val="0"/>
          <w:sz w:val="32"/>
          <w:szCs w:val="32"/>
          <w:u w:val="single"/>
        </w:rPr>
        <w:t>201</w:t>
      </w:r>
      <w:r>
        <w:rPr>
          <w:rFonts w:ascii="微软雅黑" w:eastAsia="微软雅黑" w:hAnsi="微软雅黑" w:cs="微软雅黑" w:hint="eastAsia"/>
          <w:b w:val="0"/>
          <w:kern w:val="0"/>
          <w:sz w:val="32"/>
          <w:szCs w:val="32"/>
          <w:u w:val="single"/>
        </w:rPr>
        <w:t>6﹞55号</w:t>
      </w:r>
      <w:r>
        <w:rPr>
          <w:rFonts w:ascii="仿宋_GB2312" w:eastAsia="仿宋_GB2312" w:hAnsi="宋体" w:cs="宋体" w:hint="eastAsia"/>
          <w:b w:val="0"/>
          <w:kern w:val="0"/>
          <w:sz w:val="32"/>
          <w:szCs w:val="32"/>
        </w:rPr>
        <w:t>文件规定，主要职责是：负责全县机关事务管理、保障和服务工作。</w:t>
      </w:r>
    </w:p>
    <w:p w:rsidR="00A333DA" w:rsidRDefault="00A333DA" w:rsidP="00A333DA">
      <w:pPr>
        <w:tabs>
          <w:tab w:val="left" w:pos="0"/>
        </w:tabs>
        <w:snapToGrid w:val="0"/>
        <w:spacing w:line="360" w:lineRule="auto"/>
        <w:ind w:firstLineChars="200" w:firstLine="640"/>
        <w:rPr>
          <w:rFonts w:ascii="仿宋_GB2312" w:eastAsia="仿宋_GB2312" w:hAnsi="仿宋_GB2312" w:hint="eastAsia"/>
          <w:b w:val="0"/>
          <w:bCs/>
          <w:sz w:val="32"/>
        </w:rPr>
      </w:pPr>
      <w:r>
        <w:rPr>
          <w:rFonts w:ascii="仿宋_GB2312" w:eastAsia="仿宋_GB2312" w:hint="eastAsia"/>
          <w:b w:val="0"/>
          <w:bCs/>
          <w:sz w:val="32"/>
        </w:rPr>
        <w:t>我局2016年有1个机构，无增减变动。</w:t>
      </w:r>
    </w:p>
    <w:p w:rsidR="00A333DA" w:rsidRDefault="00A333DA" w:rsidP="00A333DA">
      <w:pPr>
        <w:tabs>
          <w:tab w:val="left" w:pos="0"/>
        </w:tabs>
        <w:snapToGrid w:val="0"/>
        <w:spacing w:line="360" w:lineRule="auto"/>
        <w:ind w:left="640"/>
        <w:rPr>
          <w:rFonts w:ascii="仿宋_GB2312" w:eastAsia="仿宋_GB2312"/>
          <w:bCs/>
          <w:sz w:val="32"/>
        </w:rPr>
      </w:pPr>
      <w:r>
        <w:rPr>
          <w:rFonts w:ascii="仿宋_GB2312" w:eastAsia="仿宋_GB2312"/>
          <w:bCs/>
          <w:sz w:val="32"/>
        </w:rPr>
        <w:t>3</w:t>
      </w:r>
      <w:r>
        <w:rPr>
          <w:rFonts w:ascii="仿宋_GB2312" w:eastAsia="仿宋_GB2312" w:hint="eastAsia"/>
          <w:bCs/>
          <w:sz w:val="32"/>
        </w:rPr>
        <w:t>、人员情况及增减变动原因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Ansi="宋体" w:hint="eastAsia"/>
          <w:b w:val="0"/>
          <w:bCs/>
          <w:sz w:val="32"/>
        </w:rPr>
      </w:pPr>
      <w:r>
        <w:rPr>
          <w:rFonts w:ascii="仿宋_GB2312" w:eastAsia="仿宋_GB2312"/>
          <w:b w:val="0"/>
          <w:bCs/>
          <w:sz w:val="32"/>
        </w:rPr>
        <w:t> </w:t>
      </w:r>
      <w:r>
        <w:rPr>
          <w:rFonts w:ascii="仿宋_GB2312" w:eastAsia="仿宋_GB2312" w:hAnsi="宋体" w:hint="eastAsia"/>
          <w:b w:val="0"/>
          <w:bCs/>
          <w:sz w:val="32"/>
        </w:rPr>
        <w:t>2015年年初在职3人（管理2人，事业工勤1人）；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Ansi="宋体" w:hint="eastAsia"/>
          <w:b w:val="0"/>
          <w:bCs/>
          <w:sz w:val="32"/>
        </w:rPr>
      </w:pPr>
      <w:r>
        <w:rPr>
          <w:rFonts w:ascii="仿宋_GB2312" w:eastAsia="仿宋_GB2312" w:hAnsi="宋体" w:hint="eastAsia"/>
          <w:b w:val="0"/>
          <w:bCs/>
          <w:sz w:val="32"/>
        </w:rPr>
        <w:t>2016年年末在职3人（管理2人，事业工勤1人）。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Ansi="宋体" w:hint="eastAsia"/>
          <w:b w:val="0"/>
          <w:bCs/>
          <w:sz w:val="32"/>
        </w:rPr>
      </w:pPr>
      <w:r>
        <w:rPr>
          <w:rFonts w:ascii="仿宋_GB2312" w:eastAsia="仿宋_GB2312" w:hAnsi="宋体" w:hint="eastAsia"/>
          <w:b w:val="0"/>
          <w:bCs/>
          <w:sz w:val="32"/>
        </w:rPr>
        <w:lastRenderedPageBreak/>
        <w:t>2016年人员无增减。</w:t>
      </w:r>
    </w:p>
    <w:p w:rsidR="00A333DA" w:rsidRDefault="00A333DA" w:rsidP="00A333DA">
      <w:pPr>
        <w:numPr>
          <w:ilvl w:val="0"/>
          <w:numId w:val="1"/>
        </w:numPr>
        <w:snapToGrid w:val="0"/>
        <w:spacing w:line="360" w:lineRule="auto"/>
        <w:ind w:firstLineChars="200" w:firstLine="640"/>
        <w:rPr>
          <w:rFonts w:ascii="仿宋_GB2312" w:eastAsia="仿宋_GB2312" w:hint="eastAsia"/>
          <w:bCs/>
          <w:sz w:val="32"/>
        </w:rPr>
      </w:pPr>
      <w:r>
        <w:rPr>
          <w:rFonts w:ascii="仿宋_GB2312" w:eastAsia="仿宋_GB2312" w:hint="eastAsia"/>
          <w:bCs/>
          <w:sz w:val="32"/>
        </w:rPr>
        <w:t>当年取得的主要事业成效</w:t>
      </w:r>
    </w:p>
    <w:p w:rsidR="00A333DA" w:rsidRDefault="00A333DA" w:rsidP="00A333DA">
      <w:pPr>
        <w:snapToGrid w:val="0"/>
        <w:spacing w:line="360" w:lineRule="auto"/>
        <w:rPr>
          <w:rFonts w:ascii="仿宋_GB2312" w:eastAsia="仿宋_GB2312" w:hint="eastAsia"/>
          <w:b w:val="0"/>
          <w:sz w:val="32"/>
        </w:rPr>
      </w:pPr>
      <w:r>
        <w:rPr>
          <w:rFonts w:ascii="仿宋_GB2312" w:eastAsia="仿宋_GB2312" w:hint="eastAsia"/>
          <w:bCs/>
          <w:sz w:val="32"/>
        </w:rPr>
        <w:t xml:space="preserve">     </w:t>
      </w:r>
      <w:r>
        <w:rPr>
          <w:rFonts w:ascii="仿宋_GB2312" w:eastAsia="仿宋_GB2312" w:hint="eastAsia"/>
          <w:b w:val="0"/>
          <w:sz w:val="32"/>
        </w:rPr>
        <w:t xml:space="preserve"> 完成所有接待工作及公务用车情况的统计 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二、收入支出预算执行情况分析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（一）收入支出预算安排情况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b w:val="0"/>
          <w:sz w:val="32"/>
        </w:rPr>
      </w:pPr>
      <w:r>
        <w:rPr>
          <w:rFonts w:ascii="仿宋_GB2312" w:eastAsia="仿宋_GB2312" w:hint="eastAsia"/>
          <w:b w:val="0"/>
          <w:sz w:val="32"/>
        </w:rPr>
        <w:t>2016年年初预算317926万元，与上年对比增加20%。调整原因：调整工资调标准。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（二）收入支出预算执行情况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b w:val="0"/>
          <w:sz w:val="32"/>
        </w:rPr>
      </w:pPr>
      <w:r>
        <w:rPr>
          <w:rFonts w:ascii="仿宋_GB2312" w:eastAsia="仿宋_GB2312" w:hint="eastAsia"/>
          <w:b w:val="0"/>
          <w:sz w:val="32"/>
        </w:rPr>
        <w:t>2016年总收入315.92万元，总支出315.92万元，与上年度对比商品和服务支出增加幅度大，因2016年度精准扶贫工作的加强，各级各部门相关扶贫工作的布署、安排、检查、督导、验收、考核、调研、学习等方面的接待任务的大幅度增加，导致接待费用的大幅增加。</w:t>
      </w:r>
    </w:p>
    <w:p w:rsidR="00A333DA" w:rsidRDefault="00A333DA" w:rsidP="00A333DA">
      <w:pPr>
        <w:snapToGrid w:val="0"/>
        <w:spacing w:line="360" w:lineRule="auto"/>
        <w:rPr>
          <w:rFonts w:ascii="仿宋_GB2312" w:eastAsia="仿宋_GB2312" w:hint="eastAsia"/>
          <w:sz w:val="32"/>
        </w:rPr>
      </w:pPr>
      <w:r>
        <w:rPr>
          <w:noProof/>
        </w:rPr>
        <w:lastRenderedPageBreak/>
        <w:drawing>
          <wp:inline distT="0" distB="0" distL="0" distR="0">
            <wp:extent cx="5487162" cy="3146679"/>
            <wp:effectExtent l="12192" t="6096" r="6096" b="0"/>
            <wp:docPr id="1" name="图表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333DA" w:rsidRDefault="00A333DA" w:rsidP="00A333DA">
      <w:pPr>
        <w:snapToGrid w:val="0"/>
        <w:spacing w:line="360" w:lineRule="auto"/>
        <w:ind w:left="643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1、收入支出与预算对比分析</w:t>
      </w:r>
    </w:p>
    <w:p w:rsidR="00A333DA" w:rsidRDefault="00A333DA" w:rsidP="00A333DA">
      <w:pPr>
        <w:snapToGrid w:val="0"/>
        <w:spacing w:line="360" w:lineRule="auto"/>
        <w:ind w:left="643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（1）预决算差异情况</w:t>
      </w:r>
    </w:p>
    <w:tbl>
      <w:tblPr>
        <w:tblW w:w="0" w:type="auto"/>
        <w:tblInd w:w="93" w:type="dxa"/>
        <w:tblLayout w:type="fixed"/>
        <w:tblLook w:val="0000"/>
      </w:tblPr>
      <w:tblGrid>
        <w:gridCol w:w="1900"/>
        <w:gridCol w:w="5305"/>
        <w:gridCol w:w="3471"/>
        <w:gridCol w:w="3212"/>
      </w:tblGrid>
      <w:tr w:rsidR="00A333DA" w:rsidTr="005844BD">
        <w:trPr>
          <w:trHeight w:val="135"/>
        </w:trPr>
        <w:tc>
          <w:tcPr>
            <w:tcW w:w="138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收入与预算对比</w:t>
            </w:r>
          </w:p>
        </w:tc>
      </w:tr>
      <w:tr w:rsidR="00A333DA" w:rsidTr="005844BD">
        <w:trPr>
          <w:trHeight w:val="13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收入决算数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预算数</w:t>
            </w:r>
          </w:p>
        </w:tc>
      </w:tr>
      <w:tr w:rsidR="00A333DA" w:rsidTr="005844BD">
        <w:trPr>
          <w:trHeight w:val="13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2010350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ind w:firstLineChars="750" w:firstLine="1800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事业运行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3085830.11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269872.00</w:t>
            </w:r>
          </w:p>
        </w:tc>
      </w:tr>
      <w:tr w:rsidR="00A333DA" w:rsidTr="005844BD">
        <w:trPr>
          <w:trHeight w:val="13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lastRenderedPageBreak/>
              <w:t>2080505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机关事业单位基本养老保险缴费支出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12943.48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</w:pPr>
          </w:p>
        </w:tc>
      </w:tr>
      <w:tr w:rsidR="00A333DA" w:rsidTr="005844BD">
        <w:trPr>
          <w:trHeight w:val="13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2080506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机关事业单位职业年金缴费支出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29856.96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</w:p>
        </w:tc>
      </w:tr>
      <w:tr w:rsidR="00A333DA" w:rsidTr="005844BD">
        <w:trPr>
          <w:trHeight w:val="13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2100502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事业单位医疗补助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12460.72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13975.00</w:t>
            </w:r>
          </w:p>
        </w:tc>
      </w:tr>
      <w:tr w:rsidR="00A333DA" w:rsidTr="005844BD">
        <w:trPr>
          <w:trHeight w:val="13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2100503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                 公务员医疗补助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ind w:firstLineChars="350" w:firstLine="840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　1350.00</w:t>
            </w:r>
          </w:p>
        </w:tc>
      </w:tr>
      <w:tr w:rsidR="00A333DA" w:rsidTr="005844BD">
        <w:trPr>
          <w:trHeight w:val="13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2210201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住房公积金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18142.00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32729.00</w:t>
            </w:r>
          </w:p>
        </w:tc>
      </w:tr>
      <w:tr w:rsidR="00A333DA" w:rsidTr="005844BD">
        <w:trPr>
          <w:trHeight w:val="13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3159233.27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317926.00</w:t>
            </w:r>
          </w:p>
        </w:tc>
      </w:tr>
    </w:tbl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 xml:space="preserve">                               </w:t>
      </w:r>
    </w:p>
    <w:tbl>
      <w:tblPr>
        <w:tblW w:w="14240" w:type="dxa"/>
        <w:tblInd w:w="93" w:type="dxa"/>
        <w:tblLayout w:type="fixed"/>
        <w:tblLook w:val="0000"/>
      </w:tblPr>
      <w:tblGrid>
        <w:gridCol w:w="1948"/>
        <w:gridCol w:w="5441"/>
        <w:gridCol w:w="3560"/>
        <w:gridCol w:w="3291"/>
      </w:tblGrid>
      <w:tr w:rsidR="00A333DA" w:rsidTr="005844BD">
        <w:trPr>
          <w:trHeight w:val="285"/>
        </w:trPr>
        <w:tc>
          <w:tcPr>
            <w:tcW w:w="142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支出与预算对比表</w:t>
            </w:r>
          </w:p>
        </w:tc>
      </w:tr>
      <w:tr w:rsidR="00A333DA" w:rsidTr="005844BD">
        <w:trPr>
          <w:trHeight w:val="285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支出决算数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预算数</w:t>
            </w:r>
          </w:p>
        </w:tc>
      </w:tr>
      <w:tr w:rsidR="00A333DA" w:rsidTr="005844BD">
        <w:trPr>
          <w:trHeight w:val="285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2010350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事业运行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3085830.11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269872.00</w:t>
            </w:r>
          </w:p>
        </w:tc>
      </w:tr>
      <w:tr w:rsidR="00A333DA" w:rsidTr="005844BD">
        <w:trPr>
          <w:trHeight w:val="285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2080505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机关事业单位基本养老保险缴费支出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12943.48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</w:p>
        </w:tc>
      </w:tr>
      <w:tr w:rsidR="00A333DA" w:rsidTr="005844BD">
        <w:trPr>
          <w:trHeight w:val="285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2080506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机关事业单位职业年金缴费支出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29856.96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</w:p>
        </w:tc>
      </w:tr>
      <w:tr w:rsidR="00A333DA" w:rsidTr="005844BD">
        <w:trPr>
          <w:trHeight w:val="285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2100502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事业单位医疗补助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12460.72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13975.00</w:t>
            </w:r>
          </w:p>
        </w:tc>
      </w:tr>
      <w:tr w:rsidR="00A333DA" w:rsidTr="005844BD">
        <w:trPr>
          <w:trHeight w:val="285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2100503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   公务员医疗补助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　1350.00</w:t>
            </w:r>
          </w:p>
        </w:tc>
      </w:tr>
      <w:tr w:rsidR="00A333DA" w:rsidTr="005844BD">
        <w:trPr>
          <w:trHeight w:val="285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lastRenderedPageBreak/>
              <w:t>2210201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住房公积金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18142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32729</w:t>
            </w:r>
          </w:p>
        </w:tc>
      </w:tr>
      <w:tr w:rsidR="00A333DA" w:rsidTr="005844BD">
        <w:trPr>
          <w:trHeight w:val="285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3159233.27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33DA" w:rsidRDefault="00A333DA" w:rsidP="005844BD">
            <w:pPr>
              <w:widowControl/>
              <w:jc w:val="center"/>
              <w:rPr>
                <w:rFonts w:ascii="宋体" w:eastAsia="宋体" w:hAnsi="宋体" w:cs="宋体"/>
                <w:b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 w:val="0"/>
                <w:kern w:val="0"/>
                <w:sz w:val="24"/>
                <w:szCs w:val="24"/>
              </w:rPr>
              <w:t>317926.00</w:t>
            </w:r>
          </w:p>
        </w:tc>
      </w:tr>
    </w:tbl>
    <w:p w:rsidR="00A333DA" w:rsidRDefault="00A333DA" w:rsidP="00A333DA">
      <w:pPr>
        <w:snapToGrid w:val="0"/>
        <w:spacing w:line="360" w:lineRule="auto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 xml:space="preserve">    （2）差异原因分析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b w:val="0"/>
          <w:sz w:val="32"/>
        </w:rPr>
      </w:pPr>
      <w:r>
        <w:rPr>
          <w:rFonts w:ascii="仿宋_GB2312" w:eastAsia="仿宋_GB2312" w:hint="eastAsia"/>
          <w:b w:val="0"/>
          <w:sz w:val="32"/>
        </w:rPr>
        <w:t>2010350—事业运行决算比预算大的原因是2016年度精准扶贫工作的加强，各级各部门相关扶贫工作的布署、安排、检查、督导、验收、考核、调研、学习等方面的接待任务的大幅度增加，导致接待费用的大幅增加；2080505—</w:t>
      </w:r>
      <w:r w:rsidRPr="00287669">
        <w:rPr>
          <w:rFonts w:ascii="仿宋_GB2312" w:eastAsia="仿宋_GB2312" w:hint="eastAsia"/>
          <w:b w:val="0"/>
          <w:sz w:val="32"/>
        </w:rPr>
        <w:t>机关事业单位基本养老保险缴费支出</w:t>
      </w:r>
      <w:r>
        <w:rPr>
          <w:rFonts w:ascii="仿宋_GB2312" w:eastAsia="仿宋_GB2312" w:hint="eastAsia"/>
          <w:b w:val="0"/>
          <w:sz w:val="32"/>
        </w:rPr>
        <w:t>和2080506—</w:t>
      </w:r>
      <w:r w:rsidRPr="00287669">
        <w:rPr>
          <w:rFonts w:ascii="仿宋_GB2312" w:eastAsia="仿宋_GB2312" w:hint="eastAsia"/>
          <w:b w:val="0"/>
          <w:sz w:val="32"/>
        </w:rPr>
        <w:t>机关事业单位</w:t>
      </w:r>
      <w:r>
        <w:rPr>
          <w:rFonts w:ascii="仿宋_GB2312" w:eastAsia="仿宋_GB2312" w:hint="eastAsia"/>
          <w:b w:val="0"/>
          <w:sz w:val="32"/>
        </w:rPr>
        <w:t>职业年金缴费支出是新增预算科目,无预算指标;2210201—住房公积金决算比预算小的原因是人员调动,其中有半年只缴纳2个人的住房公积金。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2、收入支出结构分析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（1）各项收入占总收入的比重</w:t>
      </w:r>
    </w:p>
    <w:p w:rsidR="00A333DA" w:rsidRDefault="00A333DA" w:rsidP="00A333DA">
      <w:pPr>
        <w:snapToGrid w:val="0"/>
        <w:spacing w:line="360" w:lineRule="auto"/>
        <w:ind w:firstLineChars="200" w:firstLine="883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487162" cy="2945130"/>
            <wp:effectExtent l="12192" t="6096" r="6096" b="1524"/>
            <wp:docPr id="2" name="图表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hint="eastAsia"/>
        </w:rPr>
        <w:t xml:space="preserve">                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 xml:space="preserve">3、重点经济分类支出执行情况 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（1）“三公”经费支出情况</w:t>
      </w:r>
    </w:p>
    <w:p w:rsidR="00A333DA" w:rsidRDefault="00A333DA" w:rsidP="00A333DA">
      <w:pPr>
        <w:snapToGrid w:val="0"/>
        <w:spacing w:line="360" w:lineRule="auto"/>
        <w:ind w:firstLineChars="200" w:firstLine="883"/>
        <w:rPr>
          <w:rFonts w:ascii="仿宋_GB2312" w:eastAsia="仿宋_GB2312" w:hint="eastAsia"/>
          <w:sz w:val="32"/>
        </w:rPr>
      </w:pPr>
      <w:r>
        <w:rPr>
          <w:noProof/>
        </w:rPr>
        <w:lastRenderedPageBreak/>
        <w:drawing>
          <wp:inline distT="0" distB="0" distL="0" distR="0">
            <wp:extent cx="5487162" cy="3165729"/>
            <wp:effectExtent l="12192" t="6096" r="6096" b="0"/>
            <wp:docPr id="3" name="图表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（2）会议费支出情况：无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（3）其他对部门影响较大的支出情况：无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（4）重点经济分类支出中存在的问题及改进措施：无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（三）年末结转和结余情况:无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lastRenderedPageBreak/>
        <w:t>（四）当年预算执行中存在问题、原因及改进措施</w:t>
      </w:r>
    </w:p>
    <w:p w:rsidR="00A333DA" w:rsidRDefault="00A333DA" w:rsidP="00A333DA">
      <w:pPr>
        <w:pStyle w:val="a4"/>
        <w:spacing w:before="0" w:beforeAutospacing="0" w:after="0" w:afterAutospacing="0" w:line="360" w:lineRule="auto"/>
        <w:ind w:firstLine="420"/>
        <w:rPr>
          <w:rFonts w:ascii="仿宋_GB2312" w:eastAsia="仿宋_GB2312" w:hAnsi="Times New Roman" w:cs="Times New Roman" w:hint="eastAsia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 xml:space="preserve">  报表质量有待进一步提高。预算不全面，应进一步加强预算数据的准确性及合理性。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三、资产负债情况分析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b w:val="0"/>
          <w:sz w:val="32"/>
        </w:rPr>
      </w:pPr>
      <w:r>
        <w:rPr>
          <w:rFonts w:ascii="仿宋_GB2312" w:eastAsia="仿宋_GB2312" w:hint="eastAsia"/>
          <w:b w:val="0"/>
          <w:sz w:val="32"/>
        </w:rPr>
        <w:t>2016年年末资产为29547.20元，负债24747.20元，净资产4800.00元，与上年度对比固定资产增加。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（一）资产负债结构情况</w:t>
      </w:r>
    </w:p>
    <w:p w:rsidR="00A333DA" w:rsidRDefault="00A333DA" w:rsidP="00A333DA">
      <w:pPr>
        <w:snapToGrid w:val="0"/>
        <w:spacing w:line="360" w:lineRule="auto"/>
        <w:ind w:firstLineChars="200" w:firstLine="640"/>
        <w:jc w:val="center"/>
        <w:rPr>
          <w:rFonts w:ascii="仿宋_GB2312" w:eastAsia="仿宋_GB2312" w:hint="eastAsia"/>
          <w:b w:val="0"/>
          <w:sz w:val="32"/>
        </w:rPr>
      </w:pPr>
      <w:r>
        <w:rPr>
          <w:rFonts w:ascii="仿宋_GB2312" w:eastAsia="仿宋_GB2312" w:hint="eastAsia"/>
          <w:b w:val="0"/>
          <w:sz w:val="32"/>
        </w:rPr>
        <w:t>资产与负债对比图</w:t>
      </w:r>
    </w:p>
    <w:p w:rsidR="00A333DA" w:rsidRDefault="00A333DA" w:rsidP="00A333DA">
      <w:pPr>
        <w:snapToGrid w:val="0"/>
        <w:spacing w:line="360" w:lineRule="auto"/>
        <w:ind w:firstLineChars="200" w:firstLine="883"/>
        <w:jc w:val="center"/>
        <w:rPr>
          <w:rFonts w:ascii="仿宋_GB2312" w:eastAsia="仿宋_GB2312" w:hint="eastAsia"/>
          <w:b w:val="0"/>
          <w:sz w:val="32"/>
        </w:rPr>
      </w:pPr>
      <w:r>
        <w:rPr>
          <w:noProof/>
        </w:rPr>
        <w:lastRenderedPageBreak/>
        <w:drawing>
          <wp:inline distT="0" distB="0" distL="0" distR="0">
            <wp:extent cx="5487162" cy="2508504"/>
            <wp:effectExtent l="12192" t="6096" r="6096" b="0"/>
            <wp:docPr id="4" name="图表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333DA" w:rsidRDefault="00A333DA" w:rsidP="00A333DA">
      <w:pPr>
        <w:snapToGrid w:val="0"/>
        <w:spacing w:line="360" w:lineRule="auto"/>
        <w:rPr>
          <w:rFonts w:hint="eastAsia"/>
          <w:noProof/>
        </w:rPr>
      </w:pPr>
      <w:r>
        <w:rPr>
          <w:rFonts w:hint="eastAsia"/>
        </w:rPr>
        <w:t xml:space="preserve">              </w:t>
      </w:r>
      <w:r>
        <w:rPr>
          <w:noProof/>
        </w:rPr>
        <w:drawing>
          <wp:inline distT="0" distB="0" distL="0" distR="0">
            <wp:extent cx="5487162" cy="2697861"/>
            <wp:effectExtent l="12192" t="6096" r="6096" b="1143"/>
            <wp:docPr id="5" name="图表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333DA" w:rsidRDefault="00A333DA" w:rsidP="00A333DA">
      <w:pPr>
        <w:snapToGrid w:val="0"/>
        <w:spacing w:line="360" w:lineRule="auto"/>
        <w:rPr>
          <w:rFonts w:ascii="仿宋_GB2312" w:eastAsia="仿宋_GB2312" w:hint="eastAsia"/>
          <w:sz w:val="32"/>
        </w:rPr>
      </w:pPr>
    </w:p>
    <w:p w:rsidR="00A333DA" w:rsidRDefault="00A333DA" w:rsidP="00A333DA">
      <w:pPr>
        <w:snapToGrid w:val="0"/>
        <w:spacing w:line="360" w:lineRule="auto"/>
        <w:rPr>
          <w:rFonts w:ascii="仿宋_GB2312" w:eastAsia="仿宋_GB2312" w:hint="eastAsia"/>
          <w:sz w:val="32"/>
        </w:rPr>
      </w:pPr>
      <w:r>
        <w:rPr>
          <w:rFonts w:hint="eastAsia"/>
        </w:rPr>
        <w:t xml:space="preserve">          </w:t>
      </w:r>
      <w:r>
        <w:rPr>
          <w:noProof/>
        </w:rPr>
        <w:drawing>
          <wp:inline distT="0" distB="0" distL="0" distR="0">
            <wp:extent cx="5487162" cy="2260854"/>
            <wp:effectExtent l="12192" t="6096" r="6096" b="0"/>
            <wp:docPr id="6" name="图表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333DA" w:rsidRDefault="00A333DA" w:rsidP="00A333DA">
      <w:pPr>
        <w:snapToGrid w:val="0"/>
        <w:spacing w:line="360" w:lineRule="auto"/>
        <w:ind w:firstLineChars="750" w:firstLine="210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 xml:space="preserve">         （2015年与2016年资产负债对比图）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（二）资产负债对比分析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b w:val="0"/>
          <w:sz w:val="32"/>
        </w:rPr>
      </w:pPr>
      <w:r>
        <w:rPr>
          <w:rFonts w:ascii="仿宋_GB2312" w:eastAsia="仿宋_GB2312" w:hint="eastAsia"/>
          <w:b w:val="0"/>
          <w:sz w:val="32"/>
        </w:rPr>
        <w:t>本年资产率为84%，上年资产率为100%，本年增加了2万元的其他应付款及固定资产有所增加。</w:t>
      </w:r>
    </w:p>
    <w:p w:rsidR="00A333DA" w:rsidRDefault="00A333DA" w:rsidP="00A333DA">
      <w:pPr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四、本年度部门决算等财务工作开展情况</w:t>
      </w:r>
    </w:p>
    <w:p w:rsidR="00A333DA" w:rsidRDefault="00A333DA" w:rsidP="00A333DA">
      <w:pPr>
        <w:snapToGrid w:val="0"/>
        <w:spacing w:line="360" w:lineRule="auto"/>
        <w:ind w:firstLineChars="234" w:firstLine="749"/>
        <w:rPr>
          <w:rFonts w:ascii="仿宋_GB2312" w:eastAsia="仿宋_GB2312" w:hint="eastAsia"/>
          <w:b w:val="0"/>
          <w:bCs/>
          <w:sz w:val="32"/>
          <w:szCs w:val="32"/>
        </w:rPr>
      </w:pPr>
      <w:r>
        <w:rPr>
          <w:rFonts w:ascii="仿宋_GB2312" w:eastAsia="仿宋_GB2312" w:hint="eastAsia"/>
          <w:b w:val="0"/>
          <w:sz w:val="32"/>
          <w:szCs w:val="32"/>
        </w:rPr>
        <w:lastRenderedPageBreak/>
        <w:t>部门决算是预算执行情况的综合反映,是以部门的会计核算数据为基础,并以报表的形式反映的书面财务报告。</w:t>
      </w:r>
      <w:r>
        <w:rPr>
          <w:rFonts w:ascii="仿宋_GB2312" w:eastAsia="仿宋_GB2312"/>
          <w:b w:val="0"/>
          <w:bCs/>
          <w:sz w:val="32"/>
          <w:szCs w:val="32"/>
        </w:rPr>
        <w:t>201</w:t>
      </w:r>
      <w:r>
        <w:rPr>
          <w:rFonts w:ascii="仿宋_GB2312" w:eastAsia="仿宋_GB2312" w:hint="eastAsia"/>
          <w:b w:val="0"/>
          <w:bCs/>
          <w:sz w:val="32"/>
          <w:szCs w:val="32"/>
        </w:rPr>
        <w:t>6年</w:t>
      </w:r>
      <w:r>
        <w:rPr>
          <w:rFonts w:ascii="仿宋_GB2312" w:eastAsia="仿宋_GB2312"/>
          <w:b w:val="0"/>
          <w:bCs/>
          <w:sz w:val="32"/>
          <w:szCs w:val="32"/>
        </w:rPr>
        <w:t>1</w:t>
      </w:r>
      <w:r>
        <w:rPr>
          <w:rFonts w:ascii="仿宋_GB2312" w:eastAsia="仿宋_GB2312" w:hint="eastAsia"/>
          <w:b w:val="0"/>
          <w:bCs/>
          <w:sz w:val="32"/>
          <w:szCs w:val="32"/>
        </w:rPr>
        <w:t>2月以来，按照财政统一安排，我办全力以赴，加班加点，认真抓好布置、收集、汇总、核对、审核等一系列工作环节，积极开展部门决算工作。我办事业单位1个，决算要填制报表38张，我办在做好账的前提下为决算分好类款项，并与财政认真对帐，统一指标口径，保证了单位决算工作的顺利开展和决算质量的进一步提高。切实保证了财政部门决算数据真实、准确、完整、及时的完成。</w:t>
      </w:r>
    </w:p>
    <w:p w:rsidR="00A333DA" w:rsidRDefault="00A333DA" w:rsidP="00A333DA">
      <w:pPr>
        <w:rPr>
          <w:rFonts w:ascii="仿宋_GB2312" w:eastAsia="仿宋_GB2312" w:hint="eastAsia"/>
          <w:b w:val="0"/>
          <w:sz w:val="32"/>
          <w:szCs w:val="32"/>
        </w:rPr>
      </w:pPr>
    </w:p>
    <w:p w:rsidR="007F5FD8" w:rsidRDefault="007F5FD8"/>
    <w:sectPr w:rsidR="007F5FD8">
      <w:headerReference w:type="default" r:id="rId11"/>
      <w:pgSz w:w="16840" w:h="11907" w:orient="landscape"/>
      <w:pgMar w:top="1418" w:right="1440" w:bottom="1418" w:left="1440" w:header="851" w:footer="992" w:gutter="0"/>
      <w:cols w:space="720"/>
      <w:docGrid w:type="lines" w:linePitch="58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5B" w:rsidRDefault="00A333DA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7A15E"/>
    <w:multiLevelType w:val="singleLevel"/>
    <w:tmpl w:val="5687A15E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33DA"/>
    <w:rsid w:val="007F5FD8"/>
    <w:rsid w:val="00A33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DA"/>
    <w:pPr>
      <w:widowControl w:val="0"/>
      <w:jc w:val="both"/>
    </w:pPr>
    <w:rPr>
      <w:rFonts w:ascii="Times New Roman" w:eastAsia="黑体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rsid w:val="00A333DA"/>
    <w:rPr>
      <w:rFonts w:eastAsia="黑体"/>
      <w:b/>
      <w:sz w:val="18"/>
      <w:szCs w:val="18"/>
    </w:rPr>
  </w:style>
  <w:style w:type="paragraph" w:styleId="a4">
    <w:name w:val="Normal (Web)"/>
    <w:basedOn w:val="a"/>
    <w:rsid w:val="00A333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 w:val="0"/>
      <w:kern w:val="0"/>
      <w:sz w:val="24"/>
      <w:szCs w:val="24"/>
    </w:rPr>
  </w:style>
  <w:style w:type="paragraph" w:styleId="a3">
    <w:name w:val="header"/>
    <w:basedOn w:val="a"/>
    <w:link w:val="Char"/>
    <w:rsid w:val="00A33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眉 Char1"/>
    <w:basedOn w:val="a0"/>
    <w:link w:val="a3"/>
    <w:uiPriority w:val="99"/>
    <w:semiHidden/>
    <w:rsid w:val="00A333DA"/>
    <w:rPr>
      <w:rFonts w:ascii="Times New Roman" w:eastAsia="黑体" w:hAnsi="Times New Roman" w:cs="Times New Roman"/>
      <w:b/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A333DA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A333DA"/>
    <w:rPr>
      <w:rFonts w:ascii="Times New Roman" w:eastAsia="黑体" w:hAnsi="Times New Roman" w:cs="Times New Roman"/>
      <w:b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eader" Target="header1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tx>
            <c:strRef>
              <c:f>Sheet1!$B$1:$B$2</c:f>
              <c:strCache>
                <c:ptCount val="1"/>
                <c:pt idx="0">
                  <c:v>（单位：万元） 总收入</c:v>
                </c:pt>
              </c:strCache>
            </c:strRef>
          </c:tx>
          <c:dLbls>
            <c:showVal val="1"/>
          </c:dLbls>
          <c:cat>
            <c:strRef>
              <c:f>Sheet1!$A$3:$A$4</c:f>
              <c:strCache>
                <c:ptCount val="2"/>
                <c:pt idx="0">
                  <c:v>2015年</c:v>
                </c:pt>
                <c:pt idx="1">
                  <c:v>2016年</c:v>
                </c:pt>
              </c:strCache>
            </c:strRef>
          </c:cat>
          <c:val>
            <c:numRef>
              <c:f>Sheet1!$B$3:$B$4</c:f>
              <c:numCache>
                <c:formatCode>General</c:formatCode>
                <c:ptCount val="2"/>
                <c:pt idx="0">
                  <c:v>121.22</c:v>
                </c:pt>
                <c:pt idx="1">
                  <c:v>315.91999999999996</c:v>
                </c:pt>
              </c:numCache>
            </c:numRef>
          </c:val>
        </c:ser>
        <c:ser>
          <c:idx val="1"/>
          <c:order val="1"/>
          <c:tx>
            <c:strRef>
              <c:f>Sheet1!$C$1:$C$2</c:f>
              <c:strCache>
                <c:ptCount val="1"/>
                <c:pt idx="0">
                  <c:v>（单位：万元） 总支出</c:v>
                </c:pt>
              </c:strCache>
            </c:strRef>
          </c:tx>
          <c:dLbls>
            <c:showVal val="1"/>
          </c:dLbls>
          <c:cat>
            <c:strRef>
              <c:f>Sheet1!$A$3:$A$4</c:f>
              <c:strCache>
                <c:ptCount val="2"/>
                <c:pt idx="0">
                  <c:v>2015年</c:v>
                </c:pt>
                <c:pt idx="1">
                  <c:v>2016年</c:v>
                </c:pt>
              </c:strCache>
            </c:strRef>
          </c:cat>
          <c:val>
            <c:numRef>
              <c:f>Sheet1!$C$3:$C$4</c:f>
              <c:numCache>
                <c:formatCode>General</c:formatCode>
                <c:ptCount val="2"/>
                <c:pt idx="0">
                  <c:v>121.22</c:v>
                </c:pt>
                <c:pt idx="1">
                  <c:v>315.91999999999996</c:v>
                </c:pt>
              </c:numCache>
            </c:numRef>
          </c:val>
        </c:ser>
        <c:axId val="105454208"/>
        <c:axId val="105460096"/>
      </c:barChart>
      <c:catAx>
        <c:axId val="105454208"/>
        <c:scaling>
          <c:orientation val="minMax"/>
        </c:scaling>
        <c:axPos val="b"/>
        <c:tickLblPos val="nextTo"/>
        <c:crossAx val="105460096"/>
        <c:crosses val="autoZero"/>
        <c:auto val="1"/>
        <c:lblAlgn val="ctr"/>
        <c:lblOffset val="100"/>
      </c:catAx>
      <c:valAx>
        <c:axId val="105460096"/>
        <c:scaling>
          <c:orientation val="minMax"/>
        </c:scaling>
        <c:axPos val="l"/>
        <c:majorGridlines/>
        <c:numFmt formatCode="General" sourceLinked="1"/>
        <c:tickLblPos val="nextTo"/>
        <c:crossAx val="1054542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view3D>
      <c:rotX val="30"/>
      <c:perspective val="30"/>
    </c:view3D>
    <c:plotArea>
      <c:layout>
        <c:manualLayout>
          <c:layoutTarget val="inner"/>
          <c:xMode val="edge"/>
          <c:yMode val="edge"/>
          <c:x val="2.5855082721401412E-2"/>
          <c:y val="0.20363188030890952"/>
          <c:w val="0.62607939632545995"/>
          <c:h val="0.78078740157480364"/>
        </c:manualLayout>
      </c:layout>
      <c:pie3DChart>
        <c:varyColors val="1"/>
        <c:ser>
          <c:idx val="0"/>
          <c:order val="0"/>
          <c:tx>
            <c:strRef>
              <c:f>Sheet1!$B$1:$B$2</c:f>
              <c:strCache>
                <c:ptCount val="1"/>
                <c:pt idx="0">
                  <c:v>各项收入占总收入的比重 (单位:元)</c:v>
                </c:pt>
              </c:strCache>
            </c:strRef>
          </c:tx>
          <c:dLbls>
            <c:dLbl>
              <c:idx val="0"/>
              <c:layout>
                <c:manualLayout>
                  <c:x val="-7.5286366809125538E-2"/>
                  <c:y val="-0.24857116293705792"/>
                </c:manualLayout>
              </c:layout>
              <c:showVal val="1"/>
            </c:dLbl>
            <c:dLbl>
              <c:idx val="1"/>
              <c:layout>
                <c:manualLayout>
                  <c:x val="-0.16543828088904639"/>
                  <c:y val="-4.5476865824048709E-2"/>
                </c:manualLayout>
              </c:layout>
              <c:showVal val="1"/>
            </c:dLbl>
            <c:dLbl>
              <c:idx val="2"/>
              <c:layout>
                <c:manualLayout>
                  <c:x val="-5.8895081934982906E-2"/>
                  <c:y val="-8.0058998388890315E-2"/>
                </c:manualLayout>
              </c:layout>
              <c:showVal val="1"/>
            </c:dLbl>
            <c:dLbl>
              <c:idx val="3"/>
              <c:layout>
                <c:manualLayout>
                  <c:x val="6.3300402056484517E-2"/>
                  <c:y val="-6.1807317313001583E-2"/>
                </c:manualLayout>
              </c:layout>
              <c:showVal val="1"/>
            </c:dLbl>
            <c:dLbl>
              <c:idx val="4"/>
              <c:layout>
                <c:manualLayout>
                  <c:x val="0.17447295211694044"/>
                  <c:y val="-5.3161784171791238E-2"/>
                </c:manualLayout>
              </c:layout>
              <c:showVal val="1"/>
            </c:dLbl>
            <c:showVal val="1"/>
            <c:showLeaderLines val="1"/>
          </c:dLbls>
          <c:cat>
            <c:strRef>
              <c:f>Sheet1!$A$3:$A$7</c:f>
              <c:strCache>
                <c:ptCount val="5"/>
                <c:pt idx="0">
                  <c:v>事业运行</c:v>
                </c:pt>
                <c:pt idx="1">
                  <c:v>机关事业单位养老保险缴纳</c:v>
                </c:pt>
                <c:pt idx="2">
                  <c:v>机关事业单位职业年金缴纳</c:v>
                </c:pt>
                <c:pt idx="3">
                  <c:v>事业单位医疗</c:v>
                </c:pt>
                <c:pt idx="4">
                  <c:v>住房公积金</c:v>
                </c:pt>
              </c:strCache>
            </c:strRef>
          </c:cat>
          <c:val>
            <c:numRef>
              <c:f>Sheet1!$B$3:$B$7</c:f>
              <c:numCache>
                <c:formatCode>General</c:formatCode>
                <c:ptCount val="5"/>
                <c:pt idx="0">
                  <c:v>3085830.11</c:v>
                </c:pt>
                <c:pt idx="1">
                  <c:v>12943.48</c:v>
                </c:pt>
                <c:pt idx="2">
                  <c:v>29856.959999999995</c:v>
                </c:pt>
                <c:pt idx="3">
                  <c:v>12460.720000000001</c:v>
                </c:pt>
                <c:pt idx="4">
                  <c:v>18142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/>
    <c:plotArea>
      <c:layout/>
      <c:pieChart>
        <c:varyColors val="1"/>
        <c:ser>
          <c:idx val="0"/>
          <c:order val="0"/>
          <c:tx>
            <c:strRef>
              <c:f>Sheet1!$B$1:$B$2</c:f>
              <c:strCache>
                <c:ptCount val="1"/>
                <c:pt idx="0">
                  <c:v>三公经费支出情况 (单位:万元)</c:v>
                </c:pt>
              </c:strCache>
            </c:strRef>
          </c:tx>
          <c:dLbls>
            <c:showVal val="1"/>
            <c:showLeaderLines val="1"/>
          </c:dLbls>
          <c:cat>
            <c:strRef>
              <c:f>Sheet1!$A$3:$A$4</c:f>
              <c:strCache>
                <c:ptCount val="2"/>
                <c:pt idx="0">
                  <c:v>公务用车运行维护费</c:v>
                </c:pt>
                <c:pt idx="1">
                  <c:v>公务接待费</c:v>
                </c:pt>
              </c:strCache>
            </c:strRef>
          </c:cat>
          <c:val>
            <c:numRef>
              <c:f>Sheet1!$B$3:$B$4</c:f>
              <c:numCache>
                <c:formatCode>General</c:formatCode>
                <c:ptCount val="2"/>
                <c:pt idx="0">
                  <c:v>0</c:v>
                </c:pt>
                <c:pt idx="1">
                  <c:v>257.08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zh-CN"/>
  <c:chart>
    <c:plotArea>
      <c:layout/>
      <c:barChart>
        <c:barDir val="col"/>
        <c:grouping val="clustered"/>
        <c:ser>
          <c:idx val="0"/>
          <c:order val="0"/>
          <c:tx>
            <c:strRef>
              <c:f>Sheet1!$B$3:$B$4</c:f>
              <c:strCache>
                <c:ptCount val="1"/>
                <c:pt idx="0">
                  <c:v>2015年 (单位:元)</c:v>
                </c:pt>
              </c:strCache>
            </c:strRef>
          </c:tx>
          <c:dLbls>
            <c:showVal val="1"/>
          </c:dLbls>
          <c:cat>
            <c:strRef>
              <c:f>Sheet1!$A$5:$A$7</c:f>
              <c:strCache>
                <c:ptCount val="3"/>
                <c:pt idx="0">
                  <c:v>资产</c:v>
                </c:pt>
                <c:pt idx="1">
                  <c:v>负债</c:v>
                </c:pt>
                <c:pt idx="2">
                  <c:v>净资产</c:v>
                </c:pt>
              </c:strCache>
            </c:strRef>
          </c:cat>
          <c:val>
            <c:numRef>
              <c:f>Sheet1!$B$5:$B$7</c:f>
              <c:numCache>
                <c:formatCode>General</c:formatCode>
                <c:ptCount val="3"/>
                <c:pt idx="0">
                  <c:v>400</c:v>
                </c:pt>
                <c:pt idx="1">
                  <c:v>400</c:v>
                </c:pt>
              </c:numCache>
            </c:numRef>
          </c:val>
        </c:ser>
        <c:ser>
          <c:idx val="1"/>
          <c:order val="1"/>
          <c:tx>
            <c:strRef>
              <c:f>Sheet1!$C$3:$C$4</c:f>
              <c:strCache>
                <c:ptCount val="1"/>
                <c:pt idx="0">
                  <c:v>2016年</c:v>
                </c:pt>
              </c:strCache>
            </c:strRef>
          </c:tx>
          <c:dLbls>
            <c:showVal val="1"/>
          </c:dLbls>
          <c:cat>
            <c:strRef>
              <c:f>Sheet1!$A$5:$A$7</c:f>
              <c:strCache>
                <c:ptCount val="3"/>
                <c:pt idx="0">
                  <c:v>资产</c:v>
                </c:pt>
                <c:pt idx="1">
                  <c:v>负债</c:v>
                </c:pt>
                <c:pt idx="2">
                  <c:v>净资产</c:v>
                </c:pt>
              </c:strCache>
            </c:strRef>
          </c:cat>
          <c:val>
            <c:numRef>
              <c:f>Sheet1!$C$5:$C$7</c:f>
              <c:numCache>
                <c:formatCode>General</c:formatCode>
                <c:ptCount val="3"/>
                <c:pt idx="0">
                  <c:v>29547.200000000001</c:v>
                </c:pt>
                <c:pt idx="1">
                  <c:v>24747.200000000001</c:v>
                </c:pt>
                <c:pt idx="2">
                  <c:v>24747.200000000001</c:v>
                </c:pt>
              </c:numCache>
            </c:numRef>
          </c:val>
        </c:ser>
        <c:axId val="105352576"/>
        <c:axId val="105387136"/>
      </c:barChart>
      <c:catAx>
        <c:axId val="105352576"/>
        <c:scaling>
          <c:orientation val="minMax"/>
        </c:scaling>
        <c:axPos val="b"/>
        <c:tickLblPos val="nextTo"/>
        <c:crossAx val="105387136"/>
        <c:crosses val="autoZero"/>
        <c:auto val="1"/>
        <c:lblAlgn val="ctr"/>
        <c:lblOffset val="100"/>
      </c:catAx>
      <c:valAx>
        <c:axId val="105387136"/>
        <c:scaling>
          <c:orientation val="minMax"/>
        </c:scaling>
        <c:axPos val="l"/>
        <c:majorGridlines/>
        <c:numFmt formatCode="General" sourceLinked="1"/>
        <c:tickLblPos val="nextTo"/>
        <c:crossAx val="1053525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zh-CN"/>
  <c:chart>
    <c:plotArea>
      <c:layout/>
      <c:pieChart>
        <c:varyColors val="1"/>
        <c:ser>
          <c:idx val="0"/>
          <c:order val="0"/>
          <c:dLbls>
            <c:showVal val="1"/>
            <c:showLeaderLines val="1"/>
          </c:dLbls>
          <c:cat>
            <c:strRef>
              <c:f>Sheet1!$A$5:$A$6</c:f>
              <c:strCache>
                <c:ptCount val="2"/>
                <c:pt idx="0">
                  <c:v>资产</c:v>
                </c:pt>
                <c:pt idx="1">
                  <c:v>负债</c:v>
                </c:pt>
              </c:strCache>
            </c:strRef>
          </c:cat>
          <c:val>
            <c:numRef>
              <c:f>Sheet1!$B$5:$B$6</c:f>
              <c:numCache>
                <c:formatCode>General</c:formatCode>
                <c:ptCount val="2"/>
                <c:pt idx="0">
                  <c:v>29547.200000000001</c:v>
                </c:pt>
                <c:pt idx="1">
                  <c:v>24747.200000000001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lineChart>
        <c:grouping val="standard"/>
        <c:ser>
          <c:idx val="0"/>
          <c:order val="0"/>
          <c:tx>
            <c:strRef>
              <c:f>Sheet1!$B$2:$B$3</c:f>
              <c:strCache>
                <c:ptCount val="1"/>
                <c:pt idx="0">
                  <c:v>资产 (单位:元)</c:v>
                </c:pt>
              </c:strCache>
            </c:strRef>
          </c:tx>
          <c:marker>
            <c:symbol val="none"/>
          </c:marker>
          <c:cat>
            <c:strRef>
              <c:f>Sheet1!$A$4:$A$5</c:f>
              <c:strCache>
                <c:ptCount val="2"/>
                <c:pt idx="0">
                  <c:v>2015年</c:v>
                </c:pt>
                <c:pt idx="1">
                  <c:v>2016年</c:v>
                </c:pt>
              </c:strCache>
            </c:strRef>
          </c:cat>
          <c:val>
            <c:numRef>
              <c:f>Sheet1!$B$4:$B$5</c:f>
              <c:numCache>
                <c:formatCode>General</c:formatCode>
                <c:ptCount val="2"/>
                <c:pt idx="0">
                  <c:v>400</c:v>
                </c:pt>
                <c:pt idx="1">
                  <c:v>29547.200000000001</c:v>
                </c:pt>
              </c:numCache>
            </c:numRef>
          </c:val>
        </c:ser>
        <c:ser>
          <c:idx val="1"/>
          <c:order val="1"/>
          <c:tx>
            <c:strRef>
              <c:f>Sheet1!$C$2:$C$3</c:f>
              <c:strCache>
                <c:ptCount val="1"/>
                <c:pt idx="0">
                  <c:v>负债 (单位:元)</c:v>
                </c:pt>
              </c:strCache>
            </c:strRef>
          </c:tx>
          <c:marker>
            <c:symbol val="none"/>
          </c:marker>
          <c:cat>
            <c:strRef>
              <c:f>Sheet1!$A$4:$A$5</c:f>
              <c:strCache>
                <c:ptCount val="2"/>
                <c:pt idx="0">
                  <c:v>2015年</c:v>
                </c:pt>
                <c:pt idx="1">
                  <c:v>2016年</c:v>
                </c:pt>
              </c:strCache>
            </c:strRef>
          </c:cat>
          <c:val>
            <c:numRef>
              <c:f>Sheet1!$C$4:$C$5</c:f>
              <c:numCache>
                <c:formatCode>General</c:formatCode>
                <c:ptCount val="2"/>
                <c:pt idx="0">
                  <c:v>400</c:v>
                </c:pt>
                <c:pt idx="1">
                  <c:v>24747.200000000001</c:v>
                </c:pt>
              </c:numCache>
            </c:numRef>
          </c:val>
        </c:ser>
        <c:marker val="1"/>
        <c:axId val="105286272"/>
        <c:axId val="105308544"/>
      </c:lineChart>
      <c:catAx>
        <c:axId val="105286272"/>
        <c:scaling>
          <c:orientation val="minMax"/>
        </c:scaling>
        <c:axPos val="b"/>
        <c:tickLblPos val="nextTo"/>
        <c:crossAx val="105308544"/>
        <c:crosses val="autoZero"/>
        <c:auto val="1"/>
        <c:lblAlgn val="ctr"/>
        <c:lblOffset val="100"/>
      </c:catAx>
      <c:valAx>
        <c:axId val="105308544"/>
        <c:scaling>
          <c:orientation val="minMax"/>
        </c:scaling>
        <c:axPos val="l"/>
        <c:majorGridlines/>
        <c:numFmt formatCode="General" sourceLinked="1"/>
        <c:tickLblPos val="nextTo"/>
        <c:crossAx val="10528627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2017-08-15T02:36:00Z</dcterms:created>
  <dcterms:modified xsi:type="dcterms:W3CDTF">2017-08-15T02:37:00Z</dcterms:modified>
</cp:coreProperties>
</file>