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291" w:rsidRDefault="00E57291">
      <w:pPr>
        <w:snapToGrid w:val="0"/>
        <w:ind w:firstLineChars="200" w:firstLine="720"/>
        <w:jc w:val="center"/>
        <w:rPr>
          <w:rFonts w:asciiTheme="majorEastAsia" w:eastAsiaTheme="majorEastAsia" w:hAnsiTheme="majorEastAsia"/>
          <w:sz w:val="36"/>
          <w:szCs w:val="36"/>
        </w:rPr>
      </w:pPr>
      <w:bookmarkStart w:id="0" w:name="YS060100"/>
      <w:bookmarkStart w:id="1" w:name="第七部分部门决算分析报告撰写提纲"/>
    </w:p>
    <w:p w:rsidR="00E57291" w:rsidRDefault="0069342F">
      <w:pPr>
        <w:snapToGrid w:val="0"/>
        <w:jc w:val="center"/>
        <w:rPr>
          <w:rFonts w:asciiTheme="majorEastAsia" w:eastAsiaTheme="majorEastAsia" w:hAnsiTheme="majorEastAsia"/>
          <w:sz w:val="36"/>
          <w:szCs w:val="36"/>
        </w:rPr>
      </w:pPr>
      <w:r>
        <w:rPr>
          <w:rFonts w:asciiTheme="majorEastAsia" w:eastAsiaTheme="majorEastAsia" w:hAnsiTheme="majorEastAsia" w:hint="eastAsia"/>
          <w:color w:val="000000"/>
          <w:sz w:val="36"/>
          <w:szCs w:val="36"/>
        </w:rPr>
        <w:t>四川省阿坝州</w:t>
      </w:r>
      <w:r>
        <w:rPr>
          <w:rFonts w:asciiTheme="majorEastAsia" w:eastAsiaTheme="majorEastAsia" w:hAnsiTheme="majorEastAsia" w:hint="eastAsia"/>
          <w:sz w:val="36"/>
          <w:szCs w:val="36"/>
        </w:rPr>
        <w:t>金川县统战部</w:t>
      </w:r>
    </w:p>
    <w:p w:rsidR="00E57291" w:rsidRDefault="0069342F">
      <w:pPr>
        <w:spacing w:line="600" w:lineRule="exact"/>
        <w:jc w:val="center"/>
        <w:rPr>
          <w:rFonts w:asciiTheme="majorEastAsia" w:eastAsiaTheme="majorEastAsia" w:hAnsiTheme="majorEastAsia"/>
          <w:color w:val="000000"/>
          <w:sz w:val="36"/>
          <w:szCs w:val="36"/>
        </w:rPr>
      </w:pPr>
      <w:r>
        <w:rPr>
          <w:rFonts w:asciiTheme="majorEastAsia" w:eastAsiaTheme="majorEastAsia" w:hAnsiTheme="majorEastAsia" w:hint="eastAsia"/>
          <w:color w:val="000000"/>
          <w:sz w:val="36"/>
          <w:szCs w:val="36"/>
        </w:rPr>
        <w:t>2017年部门决算编制说明</w:t>
      </w:r>
    </w:p>
    <w:bookmarkEnd w:id="0"/>
    <w:p w:rsidR="00E57291" w:rsidRDefault="00E57291">
      <w:pPr>
        <w:snapToGrid w:val="0"/>
        <w:ind w:firstLineChars="200" w:firstLine="640"/>
        <w:rPr>
          <w:rFonts w:asciiTheme="majorEastAsia" w:eastAsiaTheme="majorEastAsia" w:hAnsiTheme="majorEastAsia"/>
          <w:sz w:val="32"/>
          <w:szCs w:val="32"/>
        </w:rPr>
      </w:pP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一、基本职能及主要工作</w:t>
      </w:r>
    </w:p>
    <w:p w:rsidR="00E57291" w:rsidRDefault="0069342F">
      <w:pPr>
        <w:snapToGrid w:val="0"/>
        <w:spacing w:line="520" w:lineRule="exact"/>
        <w:ind w:firstLineChars="200" w:firstLine="643"/>
        <w:rPr>
          <w:rFonts w:asciiTheme="majorEastAsia" w:eastAsiaTheme="majorEastAsia" w:hAnsiTheme="majorEastAsia"/>
          <w:b/>
          <w:sz w:val="32"/>
          <w:szCs w:val="32"/>
        </w:rPr>
      </w:pPr>
      <w:r>
        <w:rPr>
          <w:rFonts w:asciiTheme="majorEastAsia" w:eastAsiaTheme="majorEastAsia" w:hAnsiTheme="majorEastAsia" w:hint="eastAsia"/>
          <w:b/>
          <w:bCs/>
          <w:color w:val="000000"/>
          <w:sz w:val="32"/>
          <w:szCs w:val="32"/>
        </w:rPr>
        <w:t>（一）主要职能</w:t>
      </w:r>
      <w:r>
        <w:rPr>
          <w:rFonts w:asciiTheme="majorEastAsia" w:eastAsiaTheme="majorEastAsia" w:hAnsiTheme="majorEastAsia" w:hint="eastAsia"/>
          <w:b/>
          <w:sz w:val="32"/>
          <w:szCs w:val="32"/>
        </w:rPr>
        <w:t>。</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1.</w:t>
      </w:r>
      <w:r>
        <w:rPr>
          <w:rFonts w:asciiTheme="majorEastAsia" w:eastAsiaTheme="majorEastAsia" w:hAnsiTheme="majorEastAsia" w:cs="宋体"/>
          <w:color w:val="000000"/>
          <w:kern w:val="0"/>
          <w:sz w:val="32"/>
          <w:szCs w:val="32"/>
        </w:rPr>
        <w:t>调查研究统一战线的理论和方针政策，贯彻执行中央、省委和</w:t>
      </w:r>
      <w:r>
        <w:rPr>
          <w:rFonts w:asciiTheme="majorEastAsia" w:eastAsiaTheme="majorEastAsia" w:hAnsiTheme="majorEastAsia" w:cs="宋体" w:hint="eastAsia"/>
          <w:color w:val="000000"/>
          <w:kern w:val="0"/>
          <w:sz w:val="32"/>
          <w:szCs w:val="32"/>
        </w:rPr>
        <w:t>州</w:t>
      </w:r>
      <w:r>
        <w:rPr>
          <w:rFonts w:asciiTheme="majorEastAsia" w:eastAsiaTheme="majorEastAsia" w:hAnsiTheme="majorEastAsia" w:cs="宋体"/>
          <w:color w:val="000000"/>
          <w:kern w:val="0"/>
          <w:sz w:val="32"/>
          <w:szCs w:val="32"/>
        </w:rPr>
        <w:t>委关于统一战线的方针、政策；向县委反映统一战线全面情况，提出开展统战工作的意见和建议；检查统战政策执行情况，协调统一战线各方面的关系。</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2.</w:t>
      </w:r>
      <w:r>
        <w:rPr>
          <w:rFonts w:asciiTheme="majorEastAsia" w:eastAsiaTheme="majorEastAsia" w:hAnsiTheme="majorEastAsia" w:cs="宋体" w:hint="eastAsia"/>
          <w:color w:val="000000"/>
          <w:kern w:val="0"/>
          <w:sz w:val="32"/>
          <w:szCs w:val="32"/>
        </w:rPr>
        <w:t>负责调查研究、协调检查有关民族和宗教工作的重大方针、政策问题；联系少数民族和宗教界代表人物；协助有关部门做好少数民族干部的培养和举荐工作；组织和协助有关部门做好民族宗教代表人士的培训工作。</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3.</w:t>
      </w:r>
      <w:r>
        <w:rPr>
          <w:rFonts w:asciiTheme="majorEastAsia" w:eastAsiaTheme="majorEastAsia" w:hAnsiTheme="majorEastAsia" w:cs="宋体" w:hint="eastAsia"/>
          <w:color w:val="000000"/>
          <w:kern w:val="0"/>
          <w:sz w:val="32"/>
          <w:szCs w:val="32"/>
        </w:rPr>
        <w:t>负责开展以祖国统一为重点的海外统战工作，做好藏胞的有关工作。</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Cs/>
          <w:color w:val="000000"/>
          <w:sz w:val="32"/>
          <w:szCs w:val="32"/>
        </w:rPr>
        <w:t>4</w:t>
      </w:r>
      <w:r>
        <w:rPr>
          <w:rFonts w:asciiTheme="majorEastAsia" w:eastAsiaTheme="majorEastAsia" w:hAnsiTheme="majorEastAsia" w:cs="仿宋_GB2312" w:hint="eastAsia"/>
          <w:b/>
          <w:bCs/>
          <w:color w:val="000000"/>
          <w:sz w:val="32"/>
          <w:szCs w:val="32"/>
        </w:rPr>
        <w:t>.</w:t>
      </w:r>
      <w:r>
        <w:rPr>
          <w:rFonts w:asciiTheme="majorEastAsia" w:eastAsiaTheme="majorEastAsia" w:hAnsiTheme="majorEastAsia" w:cs="宋体" w:hint="eastAsia"/>
          <w:color w:val="000000"/>
          <w:kern w:val="0"/>
          <w:sz w:val="32"/>
          <w:szCs w:val="32"/>
        </w:rPr>
        <w:t>负责党外人士的政治安排；会同有关部门做好培养、考察、选拔、推荐、安排党外人士工作；做好党外后备干部和新的代表人物的队伍建设工作。</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5.</w:t>
      </w:r>
      <w:r>
        <w:rPr>
          <w:rFonts w:asciiTheme="majorEastAsia" w:eastAsiaTheme="majorEastAsia" w:hAnsiTheme="majorEastAsia" w:cs="宋体" w:hint="eastAsia"/>
          <w:color w:val="000000"/>
          <w:kern w:val="0"/>
          <w:sz w:val="32"/>
          <w:szCs w:val="32"/>
        </w:rPr>
        <w:t>调查研究并反映我县非公经济代表人士的情况，协调关系，提出政策建议；团结、帮助、引导、教育非公有制经济代表人士，积极开展思想政治工作。</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6.</w:t>
      </w:r>
      <w:r>
        <w:rPr>
          <w:rFonts w:asciiTheme="majorEastAsia" w:eastAsiaTheme="majorEastAsia" w:hAnsiTheme="majorEastAsia" w:cs="宋体" w:hint="eastAsia"/>
          <w:color w:val="000000"/>
          <w:kern w:val="0"/>
          <w:sz w:val="32"/>
          <w:szCs w:val="32"/>
        </w:rPr>
        <w:t>调查研究党外知识分子的情况，反映意见，协调关系，提出政策建议。</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lastRenderedPageBreak/>
        <w:t>7.</w:t>
      </w:r>
      <w:r>
        <w:rPr>
          <w:rFonts w:asciiTheme="majorEastAsia" w:eastAsiaTheme="majorEastAsia" w:hAnsiTheme="majorEastAsia" w:cs="宋体" w:hint="eastAsia"/>
          <w:color w:val="000000"/>
          <w:kern w:val="0"/>
          <w:sz w:val="32"/>
          <w:szCs w:val="32"/>
        </w:rPr>
        <w:t>负责指导乡镇党委的统战工作和统战干部的培训工作，协调政府各有关部门的统战工作；领导工商联党组，指导工商联、民族宗教局工作。</w:t>
      </w:r>
    </w:p>
    <w:p w:rsidR="00E57291" w:rsidRDefault="0069342F">
      <w:pPr>
        <w:widowControl/>
        <w:shd w:val="clear" w:color="auto" w:fill="FFFFFF"/>
        <w:spacing w:line="560" w:lineRule="atLeast"/>
        <w:ind w:firstLine="640"/>
        <w:jc w:val="left"/>
        <w:rPr>
          <w:rFonts w:asciiTheme="majorEastAsia" w:eastAsiaTheme="majorEastAsia" w:hAnsiTheme="majorEastAsia" w:cs="宋体"/>
          <w:color w:val="000000"/>
          <w:kern w:val="0"/>
          <w:sz w:val="32"/>
          <w:szCs w:val="32"/>
        </w:rPr>
      </w:pPr>
      <w:r>
        <w:rPr>
          <w:rFonts w:asciiTheme="majorEastAsia" w:eastAsiaTheme="majorEastAsia" w:hAnsiTheme="majorEastAsia" w:cs="仿宋_GB2312" w:hint="eastAsia"/>
          <w:b/>
          <w:bCs/>
          <w:color w:val="000000"/>
          <w:sz w:val="32"/>
          <w:szCs w:val="32"/>
        </w:rPr>
        <w:t>8.</w:t>
      </w:r>
      <w:r>
        <w:rPr>
          <w:rFonts w:asciiTheme="majorEastAsia" w:eastAsiaTheme="majorEastAsia" w:hAnsiTheme="majorEastAsia" w:cs="宋体" w:hint="eastAsia"/>
          <w:color w:val="000000"/>
          <w:kern w:val="0"/>
          <w:sz w:val="32"/>
          <w:szCs w:val="32"/>
        </w:rPr>
        <w:t>完成州委统战部和县委交办的其它任务。</w:t>
      </w:r>
    </w:p>
    <w:p w:rsidR="00E57291" w:rsidRDefault="0069342F">
      <w:pPr>
        <w:pStyle w:val="a3"/>
        <w:adjustRightInd w:val="0"/>
        <w:snapToGrid w:val="0"/>
        <w:spacing w:before="93" w:line="600" w:lineRule="exact"/>
        <w:ind w:firstLineChars="210" w:firstLine="675"/>
        <w:rPr>
          <w:rFonts w:asciiTheme="majorEastAsia" w:eastAsiaTheme="majorEastAsia" w:hAnsiTheme="majorEastAsia"/>
          <w:b/>
          <w:bCs/>
          <w:color w:val="000000"/>
          <w:sz w:val="32"/>
          <w:szCs w:val="32"/>
        </w:rPr>
      </w:pPr>
      <w:r>
        <w:rPr>
          <w:rFonts w:asciiTheme="majorEastAsia" w:eastAsiaTheme="majorEastAsia" w:hAnsiTheme="majorEastAsia" w:hint="eastAsia"/>
          <w:b/>
          <w:bCs/>
          <w:color w:val="000000"/>
          <w:sz w:val="32"/>
          <w:szCs w:val="32"/>
        </w:rPr>
        <w:t>（二）2017年重点工作完成情况。</w:t>
      </w:r>
    </w:p>
    <w:p w:rsidR="00E57291" w:rsidRDefault="0069342F">
      <w:pPr>
        <w:pBdr>
          <w:bottom w:val="single" w:sz="4" w:space="29" w:color="FFFFFF"/>
        </w:pBdr>
        <w:tabs>
          <w:tab w:val="left" w:pos="1440"/>
        </w:tabs>
        <w:spacing w:line="500" w:lineRule="exact"/>
        <w:ind w:firstLineChars="200" w:firstLine="643"/>
        <w:rPr>
          <w:rFonts w:asciiTheme="majorEastAsia" w:eastAsiaTheme="majorEastAsia" w:hAnsiTheme="majorEastAsia"/>
          <w:spacing w:val="4"/>
          <w:sz w:val="32"/>
          <w:szCs w:val="32"/>
        </w:rPr>
      </w:pPr>
      <w:r>
        <w:rPr>
          <w:rFonts w:asciiTheme="majorEastAsia" w:eastAsiaTheme="majorEastAsia" w:hAnsiTheme="majorEastAsia" w:hint="eastAsia"/>
          <w:b/>
          <w:sz w:val="32"/>
          <w:szCs w:val="32"/>
        </w:rPr>
        <w:t>1、</w:t>
      </w:r>
      <w:r>
        <w:rPr>
          <w:rFonts w:asciiTheme="majorEastAsia" w:eastAsiaTheme="majorEastAsia" w:hAnsiTheme="majorEastAsia" w:hint="eastAsia"/>
          <w:b/>
          <w:spacing w:val="4"/>
          <w:sz w:val="32"/>
          <w:szCs w:val="32"/>
        </w:rPr>
        <w:t>抓好色达劝返人员安置管理工作。</w:t>
      </w:r>
      <w:r>
        <w:rPr>
          <w:rFonts w:asciiTheme="majorEastAsia" w:eastAsiaTheme="majorEastAsia" w:hAnsiTheme="majorEastAsia" w:hint="eastAsia"/>
          <w:spacing w:val="4"/>
          <w:sz w:val="32"/>
          <w:szCs w:val="32"/>
        </w:rPr>
        <w:t>为加强劝返人员教育管理，落实了属地管理责任，开展了关心关爱活动，及时兑现了10个月的过渡生活补助及20名分散安置人员安置费40万元，确保劝返人员思想、情绪平稳。对8名劝返尼姑进行了安置意愿对接，按期将她们送到壤塘县集中安置点入住。目前，我县劝返人员不存在反弹回流现象；</w:t>
      </w:r>
    </w:p>
    <w:p w:rsidR="00E57291" w:rsidRDefault="0069342F">
      <w:pPr>
        <w:pBdr>
          <w:bottom w:val="single" w:sz="4" w:space="29" w:color="FFFFFF"/>
        </w:pBdr>
        <w:tabs>
          <w:tab w:val="left" w:pos="1440"/>
        </w:tabs>
        <w:spacing w:line="500" w:lineRule="exact"/>
        <w:ind w:firstLineChars="200" w:firstLine="658"/>
        <w:rPr>
          <w:rFonts w:asciiTheme="majorEastAsia" w:eastAsiaTheme="majorEastAsia" w:hAnsiTheme="majorEastAsia"/>
          <w:spacing w:val="4"/>
          <w:sz w:val="32"/>
          <w:szCs w:val="32"/>
        </w:rPr>
      </w:pPr>
      <w:r>
        <w:rPr>
          <w:rFonts w:asciiTheme="majorEastAsia" w:eastAsiaTheme="majorEastAsia" w:hAnsiTheme="majorEastAsia" w:hint="eastAsia"/>
          <w:b/>
          <w:spacing w:val="4"/>
          <w:sz w:val="32"/>
          <w:szCs w:val="32"/>
        </w:rPr>
        <w:t>2、抓好寺庙常态化管理。</w:t>
      </w:r>
      <w:r>
        <w:rPr>
          <w:rFonts w:asciiTheme="majorEastAsia" w:eastAsiaTheme="majorEastAsia" w:hAnsiTheme="majorEastAsia" w:hint="eastAsia"/>
          <w:spacing w:val="4"/>
          <w:sz w:val="32"/>
          <w:szCs w:val="32"/>
        </w:rPr>
        <w:t>一是加强僧尼管理。严格控制僧尼数量，严格僧尼外出请销假制度，做到了对僧尼动态掌控情况清、底数明。二是加强财务管理。在全县各寺庙推行寺庙财务管理经验，统战、民宗会同财政、审计组成工作组，对观音寺、热果寺财务管理进行了指导，配合省上顺利完成了寺庙财务审计工作。三是加强佛事活动管理。对去年底各寺庙上报审核的佛事活动台账，实施了动态管理，确保全县的78项佛事活动顺利安全开展。四是加强寺庙环境整治。以推进寺庙环境综合整治为抓手，对观音寺周边水转经筒、闭关房、经幡悬挂等进行了专项治理。统战、民宗、消防大队组成宣讲队，入寺开展宣传，发放宣传资料300余份。五是组织开展好政策知识宣讲。结合“法律进寺庙”活动，对党的十九大、省第十一次党代会、省委藏区工作座谈会精神等组织开展了入寺宣讲，做到了寺庙和僧众全覆盖，发放宣传资料</w:t>
      </w:r>
      <w:r>
        <w:rPr>
          <w:rFonts w:asciiTheme="majorEastAsia" w:eastAsiaTheme="majorEastAsia" w:hAnsiTheme="majorEastAsia"/>
          <w:spacing w:val="4"/>
          <w:sz w:val="32"/>
          <w:szCs w:val="32"/>
        </w:rPr>
        <w:t>500</w:t>
      </w:r>
      <w:r>
        <w:rPr>
          <w:rFonts w:asciiTheme="majorEastAsia" w:eastAsiaTheme="majorEastAsia" w:hAnsiTheme="majorEastAsia" w:hint="eastAsia"/>
          <w:spacing w:val="4"/>
          <w:sz w:val="32"/>
          <w:szCs w:val="32"/>
        </w:rPr>
        <w:t>余册。六是成立了宗教界“爱心基金”。我们倡议宗教界捐款捐物、互帮互助，投身脱贫攻坚，已筹集爱心基金13万元。七是开展了寺庙管理督查。深入各乡镇开展督查, 对发现的八个</w:t>
      </w:r>
      <w:r>
        <w:rPr>
          <w:rFonts w:asciiTheme="majorEastAsia" w:eastAsiaTheme="majorEastAsia" w:hAnsiTheme="majorEastAsia" w:hint="eastAsia"/>
          <w:spacing w:val="4"/>
          <w:sz w:val="32"/>
          <w:szCs w:val="32"/>
        </w:rPr>
        <w:lastRenderedPageBreak/>
        <w:t>方面</w:t>
      </w:r>
      <w:r>
        <w:rPr>
          <w:rFonts w:asciiTheme="majorEastAsia" w:eastAsiaTheme="majorEastAsia" w:hAnsiTheme="majorEastAsia"/>
          <w:spacing w:val="4"/>
          <w:sz w:val="32"/>
          <w:szCs w:val="32"/>
        </w:rPr>
        <w:t>27</w:t>
      </w:r>
      <w:r>
        <w:rPr>
          <w:rFonts w:asciiTheme="majorEastAsia" w:eastAsiaTheme="majorEastAsia" w:hAnsiTheme="majorEastAsia" w:hint="eastAsia"/>
          <w:spacing w:val="4"/>
          <w:sz w:val="32"/>
          <w:szCs w:val="32"/>
        </w:rPr>
        <w:t>个问题，发出</w:t>
      </w:r>
      <w:r>
        <w:rPr>
          <w:rFonts w:asciiTheme="majorEastAsia" w:eastAsiaTheme="majorEastAsia" w:hAnsiTheme="majorEastAsia"/>
          <w:spacing w:val="4"/>
          <w:sz w:val="32"/>
          <w:szCs w:val="32"/>
        </w:rPr>
        <w:t>11</w:t>
      </w:r>
      <w:r>
        <w:rPr>
          <w:rFonts w:asciiTheme="majorEastAsia" w:eastAsiaTheme="majorEastAsia" w:hAnsiTheme="majorEastAsia" w:hint="eastAsia"/>
          <w:spacing w:val="4"/>
          <w:sz w:val="32"/>
          <w:szCs w:val="32"/>
        </w:rPr>
        <w:t>份《督查整改通知单》。</w:t>
      </w:r>
    </w:p>
    <w:p w:rsidR="00E57291" w:rsidRDefault="0069342F">
      <w:pPr>
        <w:pBdr>
          <w:bottom w:val="single" w:sz="4" w:space="29" w:color="FFFFFF"/>
        </w:pBdr>
        <w:tabs>
          <w:tab w:val="left" w:pos="1440"/>
        </w:tabs>
        <w:spacing w:line="500" w:lineRule="exact"/>
        <w:ind w:firstLineChars="200" w:firstLine="643"/>
        <w:rPr>
          <w:rFonts w:asciiTheme="majorEastAsia" w:eastAsiaTheme="majorEastAsia" w:hAnsiTheme="majorEastAsia" w:cs="仿宋_GB2312"/>
          <w:kern w:val="10"/>
          <w:sz w:val="32"/>
          <w:szCs w:val="32"/>
        </w:rPr>
      </w:pPr>
      <w:r>
        <w:rPr>
          <w:rFonts w:asciiTheme="majorEastAsia" w:eastAsiaTheme="majorEastAsia" w:hAnsiTheme="majorEastAsia" w:cs="宋体" w:hint="eastAsia"/>
          <w:b/>
          <w:sz w:val="32"/>
          <w:szCs w:val="32"/>
        </w:rPr>
        <w:t>3、抓好寺庙反分裂维稳工作。一是</w:t>
      </w:r>
      <w:r>
        <w:rPr>
          <w:rFonts w:asciiTheme="majorEastAsia" w:eastAsiaTheme="majorEastAsia" w:hAnsiTheme="majorEastAsia" w:cs="宋体" w:hint="eastAsia"/>
          <w:sz w:val="32"/>
          <w:szCs w:val="32"/>
        </w:rPr>
        <w:t>在3月、7月、党的十九大等各个敏感节点，</w:t>
      </w:r>
      <w:r>
        <w:rPr>
          <w:rFonts w:asciiTheme="majorEastAsia" w:eastAsiaTheme="majorEastAsia" w:hAnsiTheme="majorEastAsia" w:cs="仿宋_GB2312" w:hint="eastAsia"/>
          <w:kern w:val="10"/>
          <w:sz w:val="32"/>
          <w:szCs w:val="32"/>
        </w:rPr>
        <w:t>深入观音桥片区、阿科里等重点地区，深入重点寺庙指导工作，驻守在一线。</w:t>
      </w:r>
      <w:r>
        <w:rPr>
          <w:rFonts w:asciiTheme="majorEastAsia" w:eastAsiaTheme="majorEastAsia" w:hAnsiTheme="majorEastAsia" w:cs="仿宋_GB2312" w:hint="eastAsia"/>
          <w:b/>
          <w:kern w:val="10"/>
          <w:sz w:val="32"/>
          <w:szCs w:val="32"/>
        </w:rPr>
        <w:t>二是</w:t>
      </w:r>
      <w:r>
        <w:rPr>
          <w:rFonts w:asciiTheme="majorEastAsia" w:eastAsiaTheme="majorEastAsia" w:hAnsiTheme="majorEastAsia" w:cs="宋体" w:hint="eastAsia"/>
          <w:sz w:val="32"/>
          <w:szCs w:val="32"/>
        </w:rPr>
        <w:t>会同国保大队，</w:t>
      </w:r>
      <w:r>
        <w:rPr>
          <w:rFonts w:asciiTheme="majorEastAsia" w:eastAsiaTheme="majorEastAsia" w:hAnsiTheme="majorEastAsia" w:cs="仿宋_GB2312" w:hint="eastAsia"/>
          <w:bCs/>
          <w:kern w:val="10"/>
          <w:sz w:val="32"/>
          <w:szCs w:val="32"/>
        </w:rPr>
        <w:t>加强了重点寺庙及宗教活动场所的治安防控，对</w:t>
      </w:r>
      <w:r>
        <w:rPr>
          <w:rFonts w:asciiTheme="majorEastAsia" w:eastAsiaTheme="majorEastAsia" w:hAnsiTheme="majorEastAsia" w:cs="仿宋_GB2312" w:hint="eastAsia"/>
          <w:bCs/>
          <w:sz w:val="32"/>
          <w:szCs w:val="32"/>
        </w:rPr>
        <w:t>重点人员管控进行排查，</w:t>
      </w:r>
      <w:r>
        <w:rPr>
          <w:rFonts w:asciiTheme="majorEastAsia" w:eastAsiaTheme="majorEastAsia" w:hAnsiTheme="majorEastAsia" w:cs="仿宋_GB2312" w:hint="eastAsia"/>
          <w:kern w:val="10"/>
          <w:sz w:val="32"/>
          <w:szCs w:val="32"/>
        </w:rPr>
        <w:t>认真研判维稳形势。</w:t>
      </w:r>
      <w:r>
        <w:rPr>
          <w:rFonts w:asciiTheme="majorEastAsia" w:eastAsiaTheme="majorEastAsia" w:hAnsiTheme="majorEastAsia" w:hint="eastAsia"/>
          <w:sz w:val="32"/>
          <w:szCs w:val="32"/>
        </w:rPr>
        <w:t>确保信息畅通，全县社会政治大局稳定。</w:t>
      </w:r>
      <w:r>
        <w:rPr>
          <w:rFonts w:asciiTheme="majorEastAsia" w:eastAsiaTheme="majorEastAsia" w:hAnsiTheme="majorEastAsia" w:cs="仿宋_GB2312" w:hint="eastAsia"/>
          <w:bCs/>
          <w:sz w:val="32"/>
          <w:szCs w:val="32"/>
        </w:rPr>
        <w:t xml:space="preserve"> </w:t>
      </w:r>
    </w:p>
    <w:p w:rsidR="00E57291" w:rsidRDefault="0069342F">
      <w:pPr>
        <w:pBdr>
          <w:bottom w:val="single" w:sz="4" w:space="29" w:color="FFFFFF"/>
        </w:pBdr>
        <w:tabs>
          <w:tab w:val="left" w:pos="1440"/>
        </w:tabs>
        <w:spacing w:line="500" w:lineRule="exact"/>
        <w:ind w:firstLineChars="200" w:firstLine="643"/>
        <w:rPr>
          <w:rFonts w:asciiTheme="majorEastAsia" w:eastAsiaTheme="majorEastAsia" w:hAnsiTheme="majorEastAsia"/>
          <w:sz w:val="32"/>
          <w:szCs w:val="32"/>
        </w:rPr>
      </w:pPr>
      <w:r>
        <w:rPr>
          <w:rFonts w:asciiTheme="majorEastAsia" w:eastAsiaTheme="majorEastAsia" w:hAnsiTheme="majorEastAsia" w:cs="仿宋_GB2312" w:hint="eastAsia"/>
          <w:b/>
          <w:bCs/>
          <w:sz w:val="32"/>
          <w:szCs w:val="32"/>
        </w:rPr>
        <w:t>4、抓好宗教界人士培养培训工作。</w:t>
      </w:r>
      <w:r>
        <w:rPr>
          <w:rFonts w:asciiTheme="majorEastAsia" w:eastAsiaTheme="majorEastAsia" w:hAnsiTheme="majorEastAsia" w:cs="仿宋_GB2312" w:hint="eastAsia"/>
          <w:bCs/>
          <w:sz w:val="32"/>
          <w:szCs w:val="32"/>
        </w:rPr>
        <w:t>县委召开了全县宗教界代表人士座谈会，统战、民宗召开宗教界人士座谈会6次，增进了与宗教界人士的交流。注重僧才培养，组织21名僧人参加省、州的各类培训。</w:t>
      </w:r>
      <w:r>
        <w:rPr>
          <w:rFonts w:asciiTheme="majorEastAsia" w:eastAsiaTheme="majorEastAsia" w:hAnsiTheme="majorEastAsia" w:cs="宋体" w:hint="eastAsia"/>
          <w:kern w:val="0"/>
          <w:sz w:val="32"/>
          <w:szCs w:val="32"/>
        </w:rPr>
        <w:t>为做好佛学院的招生工作，广泛动员，统战、民宗入寺宣传，共动员20人报名，3名僧人被四川藏语佛学院录取，统战部给予每人2000元奖金以资鼓励。</w:t>
      </w:r>
    </w:p>
    <w:p w:rsidR="00E57291" w:rsidRDefault="0069342F">
      <w:pPr>
        <w:pBdr>
          <w:bottom w:val="single" w:sz="4" w:space="29" w:color="FFFFFF"/>
        </w:pBdr>
        <w:tabs>
          <w:tab w:val="left" w:pos="1440"/>
        </w:tabs>
        <w:spacing w:line="500" w:lineRule="exact"/>
        <w:ind w:firstLineChars="200" w:firstLine="643"/>
        <w:rPr>
          <w:rFonts w:asciiTheme="majorEastAsia" w:eastAsiaTheme="majorEastAsia" w:hAnsiTheme="majorEastAsia"/>
          <w:sz w:val="32"/>
        </w:rPr>
      </w:pPr>
      <w:r>
        <w:rPr>
          <w:rFonts w:asciiTheme="majorEastAsia" w:eastAsiaTheme="majorEastAsia" w:hAnsiTheme="majorEastAsia" w:cs="宋体" w:hint="eastAsia"/>
          <w:b/>
          <w:sz w:val="32"/>
          <w:szCs w:val="32"/>
        </w:rPr>
        <w:t>5、抓好文明和谐寺庙创建工作。在</w:t>
      </w:r>
      <w:r>
        <w:rPr>
          <w:rFonts w:asciiTheme="majorEastAsia" w:eastAsiaTheme="majorEastAsia" w:hAnsiTheme="majorEastAsia" w:hint="eastAsia"/>
          <w:sz w:val="32"/>
        </w:rPr>
        <w:t>我县24座藏传佛教寺庙完成了省、州、县“文明和谐寺庙”第一轮创建任务的基础上，今年，我们入寺指导寺庙三级联创巩固提升工作，根据寺庙条件，申报了10座县级文明和谐寺庙创建州级文明和谐寺庙，为我县力争将全县藏传佛教寺庙都创建成省级文明和谐寺庙的目标奠定了基础。</w:t>
      </w:r>
    </w:p>
    <w:p w:rsidR="00E57291" w:rsidRDefault="0069342F">
      <w:pPr>
        <w:pBdr>
          <w:bottom w:val="single" w:sz="4" w:space="29" w:color="FFFFFF"/>
        </w:pBdr>
        <w:tabs>
          <w:tab w:val="left" w:pos="1440"/>
        </w:tabs>
        <w:spacing w:line="500" w:lineRule="exact"/>
        <w:ind w:firstLineChars="200" w:firstLine="643"/>
        <w:rPr>
          <w:rFonts w:asciiTheme="majorEastAsia" w:eastAsiaTheme="majorEastAsia" w:hAnsiTheme="majorEastAsia"/>
          <w:sz w:val="32"/>
        </w:rPr>
      </w:pPr>
      <w:r>
        <w:rPr>
          <w:rFonts w:asciiTheme="majorEastAsia" w:eastAsiaTheme="majorEastAsia" w:hAnsiTheme="majorEastAsia" w:cs="宋体" w:hint="eastAsia"/>
          <w:b/>
          <w:sz w:val="32"/>
          <w:szCs w:val="32"/>
        </w:rPr>
        <w:t>6、抓好藏胞动态管理</w:t>
      </w:r>
      <w:r>
        <w:rPr>
          <w:rFonts w:asciiTheme="majorEastAsia" w:eastAsiaTheme="majorEastAsia" w:hAnsiTheme="majorEastAsia" w:hint="eastAsia"/>
          <w:sz w:val="32"/>
        </w:rPr>
        <w:t>。</w:t>
      </w:r>
      <w:r>
        <w:rPr>
          <w:rFonts w:asciiTheme="majorEastAsia" w:eastAsiaTheme="majorEastAsia" w:hAnsiTheme="majorEastAsia" w:cs="宋体" w:hint="eastAsia"/>
          <w:kern w:val="0"/>
          <w:sz w:val="32"/>
          <w:szCs w:val="32"/>
        </w:rPr>
        <w:t>妥善</w:t>
      </w:r>
      <w:r>
        <w:rPr>
          <w:rFonts w:asciiTheme="majorEastAsia" w:eastAsiaTheme="majorEastAsia" w:hAnsiTheme="majorEastAsia" w:hint="eastAsia"/>
          <w:sz w:val="32"/>
          <w:szCs w:val="32"/>
        </w:rPr>
        <w:t>处理好藏胞回国探访申请，</w:t>
      </w:r>
      <w:r>
        <w:rPr>
          <w:rFonts w:asciiTheme="majorEastAsia" w:eastAsiaTheme="majorEastAsia" w:hAnsiTheme="majorEastAsia" w:hint="eastAsia"/>
          <w:sz w:val="32"/>
        </w:rPr>
        <w:t>统战、民宗加强与藏胞及亲属的交流，掌握其思想动态。今年，来自11个国家和地区的藏胞到我县考察，县委书记亲自陪同，增进了交流。</w:t>
      </w:r>
    </w:p>
    <w:p w:rsidR="00E57291" w:rsidRDefault="0069342F">
      <w:pPr>
        <w:pBdr>
          <w:bottom w:val="single" w:sz="4" w:space="29" w:color="FFFFFF"/>
        </w:pBdr>
        <w:tabs>
          <w:tab w:val="left" w:pos="1440"/>
        </w:tabs>
        <w:spacing w:line="560" w:lineRule="exact"/>
        <w:ind w:firstLineChars="200" w:firstLine="643"/>
        <w:rPr>
          <w:rFonts w:asciiTheme="majorEastAsia" w:eastAsiaTheme="majorEastAsia" w:hAnsiTheme="majorEastAsia"/>
          <w:sz w:val="32"/>
          <w:szCs w:val="32"/>
        </w:rPr>
      </w:pPr>
      <w:r>
        <w:rPr>
          <w:rFonts w:asciiTheme="majorEastAsia" w:eastAsiaTheme="majorEastAsia" w:hAnsiTheme="majorEastAsia" w:cs="宋体" w:hint="eastAsia"/>
          <w:b/>
          <w:sz w:val="32"/>
          <w:szCs w:val="32"/>
        </w:rPr>
        <w:t>7、联系非公经济亮点纷呈。</w:t>
      </w:r>
      <w:r>
        <w:rPr>
          <w:rFonts w:asciiTheme="majorEastAsia" w:eastAsiaTheme="majorEastAsia" w:hAnsiTheme="majorEastAsia" w:hint="eastAsia"/>
          <w:sz w:val="32"/>
          <w:szCs w:val="32"/>
        </w:rPr>
        <w:t>一是统战部牵头，组织15个部门建立了非公有制经济代表人士综合评价体系，对13名非公经济代表进行了网上综合评价，全部合格上报。二是为推动县域经济持续快速发展，我部与成都金川商会联系沟通，促成县域经济发展银政企座谈会的成功召开，县人民政府与四川鑫星融资担保有限公司签订了《担保服务合作框架协议》。三是加强了对非公经济参与精准脱贫的引导，确定非公企业</w:t>
      </w:r>
      <w:r>
        <w:rPr>
          <w:rFonts w:asciiTheme="majorEastAsia" w:eastAsiaTheme="majorEastAsia" w:hAnsiTheme="majorEastAsia"/>
          <w:sz w:val="32"/>
          <w:szCs w:val="32"/>
        </w:rPr>
        <w:t>10</w:t>
      </w:r>
      <w:r>
        <w:rPr>
          <w:rFonts w:asciiTheme="majorEastAsia" w:eastAsiaTheme="majorEastAsia" w:hAnsiTheme="majorEastAsia" w:hint="eastAsia"/>
          <w:sz w:val="32"/>
          <w:szCs w:val="32"/>
        </w:rPr>
        <w:t>家结对</w:t>
      </w:r>
      <w:r>
        <w:rPr>
          <w:rFonts w:asciiTheme="majorEastAsia" w:eastAsiaTheme="majorEastAsia" w:hAnsiTheme="majorEastAsia"/>
          <w:sz w:val="32"/>
          <w:szCs w:val="32"/>
        </w:rPr>
        <w:t>15</w:t>
      </w:r>
      <w:r>
        <w:rPr>
          <w:rFonts w:asciiTheme="majorEastAsia" w:eastAsiaTheme="majorEastAsia" w:hAnsiTheme="majorEastAsia" w:hint="eastAsia"/>
          <w:sz w:val="32"/>
          <w:szCs w:val="32"/>
        </w:rPr>
        <w:t>个村（其中</w:t>
      </w:r>
      <w:r>
        <w:rPr>
          <w:rFonts w:asciiTheme="majorEastAsia" w:eastAsiaTheme="majorEastAsia" w:hAnsiTheme="majorEastAsia"/>
          <w:sz w:val="32"/>
          <w:szCs w:val="32"/>
        </w:rPr>
        <w:t>13</w:t>
      </w:r>
      <w:r>
        <w:rPr>
          <w:rFonts w:asciiTheme="majorEastAsia" w:eastAsiaTheme="majorEastAsia" w:hAnsiTheme="majorEastAsia" w:hint="eastAsia"/>
          <w:sz w:val="32"/>
          <w:szCs w:val="32"/>
        </w:rPr>
        <w:t>个贫困村）。</w:t>
      </w:r>
      <w:r>
        <w:rPr>
          <w:rFonts w:asciiTheme="majorEastAsia" w:eastAsiaTheme="majorEastAsia" w:hAnsiTheme="majorEastAsia" w:hint="eastAsia"/>
          <w:sz w:val="32"/>
          <w:szCs w:val="32"/>
        </w:rPr>
        <w:lastRenderedPageBreak/>
        <w:t>成都金川商会还为全县一级精神病人送去了2.3万元慰问金，捐资1.3万元协助团县委实现贫困儿童微心愿，为全县52个贫困村购买便携式DVD52台，丰富贫困村群众文化生活。四是7月，在县委的正确领导下，圆满完成了金川县工商联（商会）换届工作。五是统战部开启了《金川统战》微信平台，金川统战部编辑信息66期，被州委统战部采用18期，工商联编辑10期，被省工商联网站采用6期。认真收集资料，办理《金川人》期刊1期。</w:t>
      </w:r>
    </w:p>
    <w:p w:rsidR="00E57291" w:rsidRDefault="0069342F">
      <w:pPr>
        <w:pBdr>
          <w:bottom w:val="single" w:sz="4" w:space="29" w:color="FFFFFF"/>
        </w:pBdr>
        <w:tabs>
          <w:tab w:val="left" w:pos="1440"/>
        </w:tabs>
        <w:spacing w:line="560" w:lineRule="exact"/>
        <w:ind w:firstLineChars="200" w:firstLine="643"/>
        <w:rPr>
          <w:rFonts w:asciiTheme="majorEastAsia" w:eastAsiaTheme="majorEastAsia" w:hAnsiTheme="majorEastAsia" w:cs="仿宋_GB2312"/>
          <w:bCs/>
          <w:sz w:val="32"/>
          <w:szCs w:val="32"/>
        </w:rPr>
      </w:pPr>
      <w:r>
        <w:rPr>
          <w:rFonts w:asciiTheme="majorEastAsia" w:eastAsiaTheme="majorEastAsia" w:hAnsiTheme="majorEastAsia" w:cs="宋体" w:hint="eastAsia"/>
          <w:b/>
          <w:sz w:val="32"/>
          <w:szCs w:val="32"/>
        </w:rPr>
        <w:t>8、党外代表人士凝心聚力。</w:t>
      </w:r>
      <w:r>
        <w:rPr>
          <w:rFonts w:asciiTheme="majorEastAsia" w:eastAsiaTheme="majorEastAsia" w:hAnsiTheme="majorEastAsia" w:hint="eastAsia"/>
          <w:sz w:val="32"/>
          <w:szCs w:val="32"/>
        </w:rPr>
        <w:t>我们坚持走好协商沟通路，</w:t>
      </w:r>
      <w:r>
        <w:rPr>
          <w:rFonts w:asciiTheme="majorEastAsia" w:eastAsiaTheme="majorEastAsia" w:hAnsiTheme="majorEastAsia" w:cs="仿宋_GB2312" w:hint="eastAsia"/>
          <w:bCs/>
          <w:sz w:val="32"/>
          <w:szCs w:val="32"/>
        </w:rPr>
        <w:t>召开座谈会7次，专题研究人大代表、政协委员中党外人士的安排，报经县委同意，一批政治合格、有影响力的党外代表人士分别进入州、县人大代表、政协委员行列。坚持做好党外人士的提拔、评优审核，年内，安排党外代表人士4名参加省、州组织的各类培训。</w:t>
      </w:r>
      <w:bookmarkStart w:id="2" w:name="YS060102"/>
    </w:p>
    <w:p w:rsidR="00E57291" w:rsidRDefault="0069342F">
      <w:pPr>
        <w:pBdr>
          <w:bottom w:val="single" w:sz="4" w:space="29" w:color="FFFFFF"/>
        </w:pBdr>
        <w:tabs>
          <w:tab w:val="left" w:pos="1440"/>
        </w:tabs>
        <w:spacing w:line="56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二、部门概况</w:t>
      </w:r>
    </w:p>
    <w:p w:rsidR="00E57291" w:rsidRDefault="0069342F" w:rsidP="005C516A">
      <w:pPr>
        <w:pBdr>
          <w:bottom w:val="single" w:sz="4" w:space="29" w:color="FFFFFF"/>
        </w:pBdr>
        <w:tabs>
          <w:tab w:val="left" w:pos="1440"/>
        </w:tabs>
        <w:spacing w:line="560" w:lineRule="exact"/>
        <w:ind w:firstLineChars="200" w:firstLine="640"/>
        <w:rPr>
          <w:rFonts w:ascii="楷体_GB2312" w:eastAsia="楷体_GB2312" w:hAnsi="宋体" w:cs="宋体"/>
          <w:kern w:val="0"/>
          <w:sz w:val="32"/>
          <w:szCs w:val="32"/>
        </w:rPr>
      </w:pPr>
      <w:r>
        <w:rPr>
          <w:rFonts w:ascii="楷体_GB2312" w:eastAsia="楷体_GB2312" w:hAnsi="宋体" w:cs="宋体" w:hint="eastAsia"/>
          <w:kern w:val="0"/>
          <w:sz w:val="32"/>
          <w:szCs w:val="32"/>
        </w:rPr>
        <w:t>人员情况：总编制 12 名。其中:行政编制 11名，工勤编制1名；在职实有人员12名。其中：行政人员 11名，工勤人员1 名；退休人员 4</w:t>
      </w:r>
      <w:bookmarkStart w:id="3" w:name="_GoBack"/>
      <w:bookmarkEnd w:id="3"/>
      <w:r>
        <w:rPr>
          <w:rFonts w:ascii="楷体_GB2312" w:eastAsia="楷体_GB2312" w:hAnsi="宋体" w:cs="宋体" w:hint="eastAsia"/>
          <w:kern w:val="0"/>
          <w:sz w:val="32"/>
          <w:szCs w:val="32"/>
        </w:rPr>
        <w:t>人。</w:t>
      </w:r>
    </w:p>
    <w:p w:rsidR="00E57291" w:rsidRDefault="0069342F">
      <w:pPr>
        <w:pBdr>
          <w:bottom w:val="single" w:sz="4" w:space="29" w:color="FFFFFF"/>
        </w:pBdr>
        <w:tabs>
          <w:tab w:val="left" w:pos="1440"/>
        </w:tabs>
        <w:spacing w:line="56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三、收支决算总体情况说明</w:t>
      </w:r>
    </w:p>
    <w:p w:rsidR="00E57291" w:rsidRPr="005C516A" w:rsidRDefault="0069342F">
      <w:pPr>
        <w:pBdr>
          <w:bottom w:val="single" w:sz="4" w:space="29" w:color="FFFFFF"/>
        </w:pBdr>
        <w:tabs>
          <w:tab w:val="left" w:pos="1440"/>
        </w:tabs>
        <w:spacing w:line="560" w:lineRule="exact"/>
        <w:ind w:firstLineChars="200" w:firstLine="640"/>
        <w:rPr>
          <w:rFonts w:asciiTheme="majorEastAsia" w:eastAsiaTheme="majorEastAsia" w:hAnsiTheme="majorEastAsia" w:cs="仿宋_GB2312"/>
          <w:bCs/>
          <w:sz w:val="32"/>
          <w:szCs w:val="32"/>
        </w:rPr>
      </w:pPr>
      <w:r>
        <w:rPr>
          <w:rFonts w:asciiTheme="majorEastAsia" w:eastAsiaTheme="majorEastAsia" w:hAnsiTheme="majorEastAsia" w:hint="eastAsia"/>
          <w:color w:val="000000"/>
          <w:sz w:val="32"/>
          <w:szCs w:val="32"/>
        </w:rPr>
        <w:t>2017年</w:t>
      </w:r>
      <w:r>
        <w:rPr>
          <w:rFonts w:asciiTheme="majorEastAsia" w:eastAsiaTheme="majorEastAsia" w:hAnsiTheme="majorEastAsia" w:hint="eastAsia"/>
          <w:sz w:val="32"/>
          <w:szCs w:val="32"/>
        </w:rPr>
        <w:t>金川县委统战部</w:t>
      </w:r>
      <w:r>
        <w:rPr>
          <w:rFonts w:asciiTheme="majorEastAsia" w:eastAsiaTheme="majorEastAsia" w:hAnsiTheme="majorEastAsia" w:hint="eastAsia"/>
          <w:color w:val="000000"/>
          <w:sz w:val="32"/>
          <w:szCs w:val="32"/>
        </w:rPr>
        <w:t>本年收入合计</w:t>
      </w:r>
      <w:r>
        <w:rPr>
          <w:rFonts w:asciiTheme="majorEastAsia" w:eastAsiaTheme="majorEastAsia" w:hAnsiTheme="majorEastAsia" w:cs="仿宋_GB2312" w:hint="eastAsia"/>
          <w:color w:val="000000"/>
          <w:sz w:val="32"/>
          <w:szCs w:val="32"/>
        </w:rPr>
        <w:t>313.45</w:t>
      </w:r>
      <w:r>
        <w:rPr>
          <w:rFonts w:asciiTheme="majorEastAsia" w:eastAsiaTheme="majorEastAsia" w:hAnsiTheme="majorEastAsia" w:hint="eastAsia"/>
          <w:color w:val="000000"/>
          <w:sz w:val="32"/>
          <w:szCs w:val="32"/>
        </w:rPr>
        <w:t>万元，其</w:t>
      </w:r>
      <w:r w:rsidRPr="005C516A">
        <w:rPr>
          <w:rFonts w:asciiTheme="majorEastAsia" w:eastAsiaTheme="majorEastAsia" w:hAnsiTheme="majorEastAsia" w:hint="eastAsia"/>
          <w:color w:val="000000"/>
          <w:sz w:val="32"/>
          <w:szCs w:val="32"/>
        </w:rPr>
        <w:t>中：一般公共预算财政拨款收入313.45万元，占100%；政府性基金预算财政拨款收入0万元，占0%；国有资本经营预算财政拨款收入0万元，占0%；事业收入0万元，占0%；经营收入0万元，占0%；附属单位上缴收入0万元，占0%；其他收入0万元，占0%</w:t>
      </w:r>
    </w:p>
    <w:bookmarkEnd w:id="2"/>
    <w:p w:rsidR="00E57291" w:rsidRDefault="0069342F">
      <w:pPr>
        <w:rPr>
          <w:rFonts w:asciiTheme="majorEastAsia" w:eastAsiaTheme="majorEastAsia" w:hAnsiTheme="majorEastAsia"/>
          <w:color w:val="000000"/>
          <w:sz w:val="32"/>
          <w:szCs w:val="32"/>
        </w:rPr>
      </w:pPr>
      <w:r>
        <w:rPr>
          <w:rFonts w:asciiTheme="majorEastAsia" w:eastAsiaTheme="majorEastAsia" w:hAnsiTheme="majorEastAsia"/>
          <w:noProof/>
          <w:color w:val="000000"/>
          <w:sz w:val="32"/>
          <w:szCs w:val="32"/>
        </w:rPr>
        <w:lastRenderedPageBreak/>
        <w:drawing>
          <wp:inline distT="0" distB="0" distL="0" distR="0">
            <wp:extent cx="5295900" cy="3086100"/>
            <wp:effectExtent l="19050" t="0" r="0" b="0"/>
            <wp:docPr id="2" name="图表 2"/>
            <wp:cNvGraphicFramePr/>
            <a:graphic xmlns:a="http://schemas.openxmlformats.org/drawingml/2006/main">
              <a:graphicData uri="http://schemas.openxmlformats.org/drawingml/2006/picture">
                <pic:pic xmlns:pic="http://schemas.openxmlformats.org/drawingml/2006/picture">
                  <pic:nvPicPr>
                    <pic:cNvPr id="2" name="图表 2"/>
                    <pic:cNvPicPr>
                      <a:picLocks noChangeArrowheads="1"/>
                    </pic:cNvPicPr>
                  </pic:nvPicPr>
                  <pic:blipFill>
                    <a:blip r:embed="rId7"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560" w:lineRule="exact"/>
        <w:ind w:firstLineChars="200" w:firstLine="640"/>
        <w:rPr>
          <w:rFonts w:asciiTheme="majorEastAsia" w:eastAsiaTheme="majorEastAsia" w:hAnsiTheme="majorEastAsia" w:cs="仿宋_GB2312"/>
          <w:color w:val="000000"/>
          <w:sz w:val="32"/>
          <w:szCs w:val="32"/>
        </w:rPr>
      </w:pPr>
      <w:r>
        <w:rPr>
          <w:rFonts w:asciiTheme="majorEastAsia" w:eastAsiaTheme="majorEastAsia" w:hAnsiTheme="majorEastAsia" w:hint="eastAsia"/>
          <w:color w:val="000000"/>
          <w:sz w:val="32"/>
          <w:szCs w:val="32"/>
        </w:rPr>
        <w:t>2017年</w:t>
      </w:r>
      <w:r>
        <w:rPr>
          <w:rFonts w:asciiTheme="majorEastAsia" w:eastAsiaTheme="majorEastAsia" w:hAnsiTheme="majorEastAsia" w:cs="仿宋_GB2312" w:hint="eastAsia"/>
          <w:color w:val="000000"/>
          <w:sz w:val="32"/>
          <w:szCs w:val="32"/>
        </w:rPr>
        <w:t>金川县委统战部</w:t>
      </w:r>
      <w:r>
        <w:rPr>
          <w:rFonts w:asciiTheme="majorEastAsia" w:eastAsiaTheme="majorEastAsia" w:hAnsiTheme="majorEastAsia" w:hint="eastAsia"/>
          <w:color w:val="000000"/>
          <w:sz w:val="32"/>
          <w:szCs w:val="32"/>
        </w:rPr>
        <w:t>本年支出合计</w:t>
      </w:r>
      <w:r>
        <w:rPr>
          <w:rFonts w:asciiTheme="majorEastAsia" w:eastAsiaTheme="majorEastAsia" w:hAnsiTheme="majorEastAsia" w:cs="仿宋_GB2312" w:hint="eastAsia"/>
          <w:color w:val="000000"/>
          <w:sz w:val="32"/>
          <w:szCs w:val="32"/>
        </w:rPr>
        <w:t>370.45</w:t>
      </w:r>
      <w:r>
        <w:rPr>
          <w:rFonts w:asciiTheme="majorEastAsia" w:eastAsiaTheme="majorEastAsia" w:hAnsiTheme="majorEastAsia" w:hint="eastAsia"/>
          <w:color w:val="000000"/>
          <w:sz w:val="32"/>
          <w:szCs w:val="32"/>
        </w:rPr>
        <w:t>万元，其中：基本支出</w:t>
      </w:r>
      <w:r>
        <w:rPr>
          <w:rFonts w:asciiTheme="majorEastAsia" w:eastAsiaTheme="majorEastAsia" w:hAnsiTheme="majorEastAsia" w:cs="仿宋_GB2312" w:hint="eastAsia"/>
          <w:color w:val="000000"/>
          <w:sz w:val="32"/>
          <w:szCs w:val="32"/>
        </w:rPr>
        <w:t>370.45</w:t>
      </w:r>
      <w:r>
        <w:rPr>
          <w:rFonts w:asciiTheme="majorEastAsia" w:eastAsiaTheme="majorEastAsia" w:hAnsiTheme="majorEastAsia" w:hint="eastAsia"/>
          <w:color w:val="000000"/>
          <w:sz w:val="32"/>
          <w:szCs w:val="32"/>
        </w:rPr>
        <w:t>万元，占100%；项目支出0万元，占0%；上缴上级支出0万元，占0%；经营支出0万元，占0%；对附属单位补助支出0万元，占0%</w:t>
      </w:r>
    </w:p>
    <w:p w:rsidR="00E57291" w:rsidRDefault="0069342F">
      <w:pPr>
        <w:rPr>
          <w:rFonts w:asciiTheme="majorEastAsia" w:eastAsiaTheme="majorEastAsia" w:hAnsiTheme="majorEastAsia"/>
          <w:color w:val="000000"/>
          <w:sz w:val="32"/>
          <w:szCs w:val="32"/>
        </w:rPr>
      </w:pPr>
      <w:r>
        <w:rPr>
          <w:rFonts w:asciiTheme="majorEastAsia" w:eastAsiaTheme="majorEastAsia" w:hAnsiTheme="majorEastAsia"/>
          <w:noProof/>
          <w:color w:val="000000"/>
          <w:sz w:val="32"/>
          <w:szCs w:val="32"/>
        </w:rPr>
        <w:drawing>
          <wp:inline distT="0" distB="0" distL="0" distR="0">
            <wp:extent cx="5295900" cy="3086100"/>
            <wp:effectExtent l="19050" t="0" r="0" b="0"/>
            <wp:docPr id="3" name="图表 7"/>
            <wp:cNvGraphicFramePr/>
            <a:graphic xmlns:a="http://schemas.openxmlformats.org/drawingml/2006/main">
              <a:graphicData uri="http://schemas.openxmlformats.org/drawingml/2006/picture">
                <pic:pic xmlns:pic="http://schemas.openxmlformats.org/drawingml/2006/picture">
                  <pic:nvPicPr>
                    <pic:cNvPr id="3" name="图表 7"/>
                    <pic:cNvPicPr>
                      <a:picLocks noChangeArrowheads="1"/>
                    </pic:cNvPicPr>
                  </pic:nvPicPr>
                  <pic:blipFill>
                    <a:blip r:embed="rId8"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四、财政拨款收入支出决算总体情况说明</w:t>
      </w:r>
    </w:p>
    <w:p w:rsidR="00E57291" w:rsidRDefault="0069342F">
      <w:pPr>
        <w:spacing w:line="560" w:lineRule="exact"/>
        <w:ind w:firstLineChars="200" w:firstLine="640"/>
        <w:rPr>
          <w:rFonts w:asciiTheme="majorEastAsia" w:eastAsiaTheme="majorEastAsia" w:hAnsiTheme="majorEastAsia" w:cs="仿宋_GB2312"/>
          <w:color w:val="000000"/>
          <w:sz w:val="32"/>
          <w:szCs w:val="32"/>
        </w:rPr>
      </w:pPr>
      <w:r>
        <w:rPr>
          <w:rFonts w:asciiTheme="majorEastAsia" w:eastAsiaTheme="majorEastAsia" w:hAnsiTheme="majorEastAsia" w:hint="eastAsia"/>
          <w:color w:val="000000"/>
          <w:sz w:val="32"/>
          <w:szCs w:val="32"/>
        </w:rPr>
        <w:t>2017年度财政拨款收、支总计175.72万元。与2016年相比，财政拨款收、支总计各增加10.62万元，增长6.05%.</w:t>
      </w:r>
    </w:p>
    <w:p w:rsidR="00E57291" w:rsidRDefault="0069342F">
      <w:pPr>
        <w:rPr>
          <w:rFonts w:asciiTheme="majorEastAsia" w:eastAsiaTheme="majorEastAsia" w:hAnsiTheme="majorEastAsia"/>
          <w:color w:val="000000"/>
          <w:sz w:val="32"/>
          <w:szCs w:val="32"/>
        </w:rPr>
      </w:pPr>
      <w:r>
        <w:rPr>
          <w:rFonts w:asciiTheme="majorEastAsia" w:eastAsiaTheme="majorEastAsia" w:hAnsiTheme="majorEastAsia"/>
          <w:noProof/>
          <w:color w:val="000000"/>
          <w:sz w:val="32"/>
          <w:szCs w:val="32"/>
        </w:rPr>
        <w:lastRenderedPageBreak/>
        <w:drawing>
          <wp:inline distT="0" distB="0" distL="0" distR="0">
            <wp:extent cx="5295900" cy="3086100"/>
            <wp:effectExtent l="19050" t="0" r="0" b="0"/>
            <wp:docPr id="5" name="图表 3"/>
            <wp:cNvGraphicFramePr/>
            <a:graphic xmlns:a="http://schemas.openxmlformats.org/drawingml/2006/main">
              <a:graphicData uri="http://schemas.openxmlformats.org/drawingml/2006/picture">
                <pic:pic xmlns:pic="http://schemas.openxmlformats.org/drawingml/2006/picture">
                  <pic:nvPicPr>
                    <pic:cNvPr id="5" name="图表 3"/>
                    <pic:cNvPicPr>
                      <a:picLocks noChangeArrowheads="1"/>
                    </pic:cNvPicPr>
                  </pic:nvPicPr>
                  <pic:blipFill>
                    <a:blip r:embed="rId9"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五、一般公共预算财政拨款支出决算情况说明</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（一）一般公共预算财政拨款支出决算总体情况</w:t>
      </w:r>
    </w:p>
    <w:p w:rsidR="00E57291" w:rsidRDefault="0069342F">
      <w:pPr>
        <w:spacing w:line="560" w:lineRule="exact"/>
        <w:ind w:firstLineChars="200" w:firstLine="640"/>
        <w:rPr>
          <w:rFonts w:asciiTheme="majorEastAsia" w:eastAsiaTheme="majorEastAsia" w:hAnsiTheme="majorEastAsia" w:cs="仿宋_GB2312"/>
          <w:color w:val="000000"/>
          <w:sz w:val="32"/>
          <w:szCs w:val="32"/>
        </w:rPr>
      </w:pPr>
      <w:r>
        <w:rPr>
          <w:rFonts w:asciiTheme="majorEastAsia" w:eastAsiaTheme="majorEastAsia" w:hAnsiTheme="majorEastAsia" w:hint="eastAsia"/>
          <w:color w:val="000000"/>
          <w:sz w:val="32"/>
          <w:szCs w:val="32"/>
        </w:rPr>
        <w:t>2017年度一般公共预算财政拨款支出370.45万元，占本年支出合计的100%。与2016年相比，一般公共预算财政拨款增加170.63万元，增长85.39%</w:t>
      </w:r>
    </w:p>
    <w:p w:rsidR="00E57291" w:rsidRDefault="0069342F">
      <w:pPr>
        <w:pBdr>
          <w:bottom w:val="single" w:sz="4" w:space="29" w:color="FFFFFF"/>
        </w:pBdr>
        <w:tabs>
          <w:tab w:val="left" w:pos="1440"/>
        </w:tabs>
        <w:rPr>
          <w:rFonts w:asciiTheme="majorEastAsia" w:eastAsiaTheme="majorEastAsia" w:hAnsiTheme="majorEastAsia"/>
          <w:sz w:val="32"/>
          <w:szCs w:val="32"/>
        </w:rPr>
      </w:pPr>
      <w:r>
        <w:rPr>
          <w:rFonts w:asciiTheme="majorEastAsia" w:eastAsiaTheme="majorEastAsia" w:hAnsiTheme="majorEastAsia"/>
          <w:noProof/>
          <w:sz w:val="32"/>
          <w:szCs w:val="32"/>
        </w:rPr>
        <w:drawing>
          <wp:inline distT="0" distB="0" distL="0" distR="0">
            <wp:extent cx="5295900" cy="3086100"/>
            <wp:effectExtent l="19050" t="0" r="0" b="0"/>
            <wp:docPr id="13" name="图表 8"/>
            <wp:cNvGraphicFramePr/>
            <a:graphic xmlns:a="http://schemas.openxmlformats.org/drawingml/2006/main">
              <a:graphicData uri="http://schemas.openxmlformats.org/drawingml/2006/picture">
                <pic:pic xmlns:pic="http://schemas.openxmlformats.org/drawingml/2006/picture">
                  <pic:nvPicPr>
                    <pic:cNvPr id="13" name="图表 8"/>
                    <pic:cNvPicPr>
                      <a:picLocks noChangeArrowheads="1"/>
                    </pic:cNvPicPr>
                  </pic:nvPicPr>
                  <pic:blipFill>
                    <a:blip r:embed="rId10"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（二）一般公共预算财政拨款支出决算结构情况</w:t>
      </w:r>
    </w:p>
    <w:p w:rsidR="00E57291" w:rsidRDefault="0069342F">
      <w:pPr>
        <w:spacing w:line="560" w:lineRule="exact"/>
        <w:ind w:firstLineChars="200" w:firstLine="640"/>
        <w:rPr>
          <w:rFonts w:asciiTheme="majorEastAsia" w:eastAsiaTheme="majorEastAsia" w:hAnsiTheme="majorEastAsia" w:cs="仿宋_GB2312"/>
          <w:color w:val="000000"/>
          <w:sz w:val="32"/>
          <w:szCs w:val="32"/>
        </w:rPr>
      </w:pPr>
      <w:r>
        <w:rPr>
          <w:rFonts w:asciiTheme="majorEastAsia" w:eastAsiaTheme="majorEastAsia" w:hAnsiTheme="majorEastAsia" w:hint="eastAsia"/>
          <w:color w:val="000000"/>
          <w:sz w:val="32"/>
          <w:szCs w:val="32"/>
        </w:rPr>
        <w:lastRenderedPageBreak/>
        <w:t>2017年一般公共预算财政拨款支出370.45万元，主要用于以下方面:一般公共服务支出322.93万元，占81.17%；教育支出0万元，占0%；社会保障和就业支出27.09万元，占7.31%；医疗卫生支出6.8万元，占1.84%；住房保障支出13.63万元，占3.68%；</w:t>
      </w:r>
      <w:r>
        <w:rPr>
          <w:rFonts w:asciiTheme="majorEastAsia" w:eastAsiaTheme="majorEastAsia" w:hAnsiTheme="majorEastAsia" w:cs="仿宋_GB2312" w:hint="eastAsia"/>
          <w:color w:val="000000"/>
          <w:sz w:val="32"/>
          <w:szCs w:val="32"/>
        </w:rPr>
        <w:t>基本工资、津补贴、奖金、其他社会保障缴费102.8万元，占27.75%，项目支出88万元，占23.75%</w:t>
      </w:r>
      <w:r>
        <w:rPr>
          <w:rFonts w:asciiTheme="majorEastAsia" w:eastAsiaTheme="majorEastAsia" w:hAnsiTheme="majorEastAsia" w:hint="eastAsia"/>
          <w:color w:val="000000"/>
          <w:sz w:val="32"/>
          <w:szCs w:val="32"/>
        </w:rPr>
        <w:t>。</w:t>
      </w:r>
    </w:p>
    <w:p w:rsidR="00E57291" w:rsidRDefault="00E57291">
      <w:pPr>
        <w:spacing w:line="560" w:lineRule="exact"/>
        <w:ind w:firstLineChars="200" w:firstLine="640"/>
        <w:rPr>
          <w:rFonts w:asciiTheme="majorEastAsia" w:eastAsiaTheme="majorEastAsia" w:hAnsiTheme="majorEastAsia" w:cs="仿宋_GB2312"/>
          <w:color w:val="000000"/>
          <w:sz w:val="32"/>
          <w:szCs w:val="32"/>
        </w:rPr>
      </w:pPr>
    </w:p>
    <w:p w:rsidR="00E57291" w:rsidRDefault="0069342F">
      <w:pPr>
        <w:rPr>
          <w:rFonts w:asciiTheme="majorEastAsia" w:eastAsiaTheme="majorEastAsia" w:hAnsiTheme="majorEastAsia"/>
          <w:color w:val="000000"/>
          <w:sz w:val="32"/>
          <w:szCs w:val="32"/>
        </w:rPr>
      </w:pPr>
      <w:r>
        <w:rPr>
          <w:rFonts w:asciiTheme="majorEastAsia" w:eastAsiaTheme="majorEastAsia" w:hAnsiTheme="majorEastAsia"/>
          <w:noProof/>
          <w:color w:val="000000"/>
          <w:sz w:val="32"/>
          <w:szCs w:val="32"/>
        </w:rPr>
        <w:drawing>
          <wp:inline distT="0" distB="0" distL="0" distR="0">
            <wp:extent cx="5295900" cy="3086100"/>
            <wp:effectExtent l="19050" t="0" r="0" b="0"/>
            <wp:docPr id="6" name="图表 1"/>
            <wp:cNvGraphicFramePr/>
            <a:graphic xmlns:a="http://schemas.openxmlformats.org/drawingml/2006/main">
              <a:graphicData uri="http://schemas.openxmlformats.org/drawingml/2006/picture">
                <pic:pic xmlns:pic="http://schemas.openxmlformats.org/drawingml/2006/picture">
                  <pic:nvPicPr>
                    <pic:cNvPr id="6" name="图表 1"/>
                    <pic:cNvPicPr>
                      <a:picLocks noChangeArrowheads="1"/>
                    </pic:cNvPicPr>
                  </pic:nvPicPr>
                  <pic:blipFill>
                    <a:blip r:embed="rId11"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（三）一般公共预算财政拨款支出决算具体情况</w:t>
      </w:r>
    </w:p>
    <w:tbl>
      <w:tblPr>
        <w:tblW w:w="9184" w:type="dxa"/>
        <w:tblCellSpacing w:w="0" w:type="dxa"/>
        <w:tblLayout w:type="fixed"/>
        <w:tblCellMar>
          <w:left w:w="0" w:type="dxa"/>
          <w:right w:w="0" w:type="dxa"/>
        </w:tblCellMar>
        <w:tblLook w:val="04A0"/>
      </w:tblPr>
      <w:tblGrid>
        <w:gridCol w:w="9184"/>
      </w:tblGrid>
      <w:tr w:rsidR="00E57291">
        <w:trPr>
          <w:tblCellSpacing w:w="0" w:type="dxa"/>
        </w:trPr>
        <w:tc>
          <w:tcPr>
            <w:tcW w:w="9184" w:type="dxa"/>
            <w:shd w:val="clear" w:color="auto" w:fill="FFFFFF"/>
          </w:tcPr>
          <w:tbl>
            <w:tblPr>
              <w:tblW w:w="12000" w:type="dxa"/>
              <w:jc w:val="center"/>
              <w:tblCellSpacing w:w="0" w:type="dxa"/>
              <w:tblLayout w:type="fixed"/>
              <w:tblCellMar>
                <w:left w:w="0" w:type="dxa"/>
                <w:right w:w="0" w:type="dxa"/>
              </w:tblCellMar>
              <w:tblLook w:val="04A0"/>
            </w:tblPr>
            <w:tblGrid>
              <w:gridCol w:w="12000"/>
            </w:tblGrid>
            <w:tr w:rsidR="00E57291">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E57291">
                    <w:trPr>
                      <w:tblCellSpacing w:w="0" w:type="dxa"/>
                    </w:trPr>
                    <w:tc>
                      <w:tcPr>
                        <w:tcW w:w="12000" w:type="dxa"/>
                      </w:tcPr>
                      <w:p w:rsidR="00E57291" w:rsidRDefault="00E57291">
                        <w:pPr>
                          <w:widowControl/>
                          <w:jc w:val="left"/>
                          <w:rPr>
                            <w:rFonts w:asciiTheme="majorEastAsia" w:eastAsiaTheme="majorEastAsia" w:hAnsiTheme="majorEastAsia" w:cs="宋体"/>
                            <w:color w:val="000000"/>
                            <w:kern w:val="0"/>
                            <w:szCs w:val="21"/>
                          </w:rPr>
                        </w:pPr>
                      </w:p>
                    </w:tc>
                  </w:tr>
                </w:tbl>
                <w:p w:rsidR="00E57291" w:rsidRDefault="00E57291">
                  <w:pPr>
                    <w:widowControl/>
                    <w:jc w:val="left"/>
                    <w:rPr>
                      <w:rFonts w:asciiTheme="majorEastAsia" w:eastAsiaTheme="majorEastAsia" w:hAnsiTheme="majorEastAsia" w:cs="宋体"/>
                      <w:color w:val="000000"/>
                      <w:kern w:val="0"/>
                      <w:szCs w:val="21"/>
                    </w:rPr>
                  </w:pPr>
                </w:p>
              </w:tc>
            </w:tr>
            <w:tr w:rsidR="00E57291">
              <w:trPr>
                <w:trHeight w:val="75"/>
                <w:tblCellSpacing w:w="0" w:type="dxa"/>
                <w:jc w:val="center"/>
              </w:trPr>
              <w:tc>
                <w:tcPr>
                  <w:tcW w:w="12000" w:type="dxa"/>
                  <w:vAlign w:val="center"/>
                </w:tcPr>
                <w:p w:rsidR="00E57291" w:rsidRDefault="00E57291">
                  <w:pPr>
                    <w:widowControl/>
                    <w:jc w:val="left"/>
                    <w:rPr>
                      <w:rFonts w:asciiTheme="majorEastAsia" w:eastAsiaTheme="majorEastAsia" w:hAnsiTheme="majorEastAsia" w:cs="宋体"/>
                      <w:color w:val="000000"/>
                      <w:kern w:val="0"/>
                      <w:sz w:val="8"/>
                      <w:szCs w:val="21"/>
                    </w:rPr>
                  </w:pPr>
                </w:p>
              </w:tc>
            </w:tr>
          </w:tbl>
          <w:p w:rsidR="00E57291" w:rsidRDefault="00E57291">
            <w:pPr>
              <w:widowControl/>
              <w:jc w:val="center"/>
              <w:rPr>
                <w:rFonts w:asciiTheme="majorEastAsia" w:eastAsiaTheme="majorEastAsia" w:hAnsiTheme="majorEastAsia" w:cs="宋体"/>
                <w:color w:val="000000"/>
                <w:kern w:val="0"/>
                <w:szCs w:val="21"/>
              </w:rPr>
            </w:pPr>
          </w:p>
        </w:tc>
      </w:tr>
      <w:tr w:rsidR="00E57291">
        <w:trPr>
          <w:tblCellSpacing w:w="0" w:type="dxa"/>
        </w:trPr>
        <w:tc>
          <w:tcPr>
            <w:tcW w:w="9184" w:type="dxa"/>
            <w:shd w:val="clear" w:color="auto" w:fill="FFFFFF"/>
          </w:tcPr>
          <w:p w:rsidR="00E57291" w:rsidRDefault="00E57291">
            <w:pPr>
              <w:widowControl/>
              <w:jc w:val="left"/>
              <w:rPr>
                <w:rFonts w:asciiTheme="majorEastAsia" w:eastAsiaTheme="majorEastAsia" w:hAnsiTheme="majorEastAsia" w:cs="宋体"/>
                <w:color w:val="000000"/>
                <w:kern w:val="0"/>
                <w:szCs w:val="21"/>
              </w:rPr>
            </w:pPr>
          </w:p>
        </w:tc>
      </w:tr>
    </w:tbl>
    <w:p w:rsidR="00E57291" w:rsidRDefault="0069342F">
      <w:pPr>
        <w:spacing w:line="600" w:lineRule="exact"/>
        <w:ind w:firstLineChars="200" w:firstLine="643"/>
        <w:rPr>
          <w:rFonts w:asciiTheme="majorEastAsia" w:eastAsiaTheme="majorEastAsia" w:hAnsiTheme="majorEastAsia"/>
          <w:b/>
          <w:color w:val="000000"/>
          <w:sz w:val="32"/>
          <w:szCs w:val="32"/>
        </w:rPr>
      </w:pPr>
      <w:r>
        <w:rPr>
          <w:rStyle w:val="a7"/>
          <w:rFonts w:asciiTheme="majorEastAsia" w:eastAsiaTheme="majorEastAsia" w:hAnsiTheme="majorEastAsia" w:hint="eastAsia"/>
          <w:color w:val="000000"/>
          <w:sz w:val="32"/>
          <w:szCs w:val="32"/>
        </w:rPr>
        <w:t>1.一般公共服务（类）201（款）99（项）:</w:t>
      </w:r>
      <w:r>
        <w:rPr>
          <w:rStyle w:val="a7"/>
          <w:rFonts w:asciiTheme="majorEastAsia" w:eastAsiaTheme="majorEastAsia" w:hAnsiTheme="majorEastAsia" w:hint="eastAsia"/>
          <w:b w:val="0"/>
          <w:color w:val="000000"/>
          <w:sz w:val="32"/>
          <w:szCs w:val="32"/>
        </w:rPr>
        <w:t xml:space="preserve"> 支出决算为322.93万元，完成预算256%，决算数大于预算数的主要原因是</w:t>
      </w:r>
      <w:r>
        <w:rPr>
          <w:rFonts w:asciiTheme="majorEastAsia" w:eastAsiaTheme="majorEastAsia" w:hAnsiTheme="majorEastAsia" w:hint="eastAsia"/>
          <w:sz w:val="32"/>
          <w:szCs w:val="32"/>
        </w:rPr>
        <w:t>结转了2016年的寺庙维修经费2013499中77万元和上级拨付的寺庙维修经费40万元，省州文明和谐寺庙奖励金和先进僧尼奖励金（2013499中22万元，2299901中21万元），2013499中寺庙工作经费27万元等</w:t>
      </w:r>
      <w:r>
        <w:rPr>
          <w:rStyle w:val="a7"/>
          <w:rFonts w:asciiTheme="majorEastAsia" w:eastAsiaTheme="majorEastAsia" w:hAnsiTheme="majorEastAsia" w:hint="eastAsia"/>
          <w:b w:val="0"/>
          <w:color w:val="000000"/>
          <w:sz w:val="32"/>
          <w:szCs w:val="32"/>
        </w:rPr>
        <w:t>。</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Style w:val="a7"/>
          <w:rFonts w:asciiTheme="majorEastAsia" w:eastAsiaTheme="majorEastAsia" w:hAnsiTheme="majorEastAsia" w:hint="eastAsia"/>
          <w:color w:val="000000"/>
          <w:sz w:val="32"/>
          <w:szCs w:val="32"/>
        </w:rPr>
        <w:lastRenderedPageBreak/>
        <w:t>2.教育（类）205（款）01（项）:</w:t>
      </w:r>
      <w:r>
        <w:rPr>
          <w:rStyle w:val="a7"/>
          <w:rFonts w:asciiTheme="majorEastAsia" w:eastAsiaTheme="majorEastAsia" w:hAnsiTheme="majorEastAsia" w:hint="eastAsia"/>
          <w:b w:val="0"/>
          <w:color w:val="000000"/>
          <w:sz w:val="32"/>
          <w:szCs w:val="32"/>
        </w:rPr>
        <w:t xml:space="preserve"> 支出决算为0万元，完成预算0%，决算数大于/小于预算数的主要原因是0支出。</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Style w:val="a7"/>
          <w:rFonts w:asciiTheme="majorEastAsia" w:eastAsiaTheme="majorEastAsia" w:hAnsiTheme="majorEastAsia" w:hint="eastAsia"/>
          <w:color w:val="000000"/>
          <w:sz w:val="32"/>
          <w:szCs w:val="32"/>
        </w:rPr>
        <w:t>3.科学技术（类）206（款）01（项）:</w:t>
      </w:r>
      <w:r>
        <w:rPr>
          <w:rStyle w:val="a7"/>
          <w:rFonts w:asciiTheme="majorEastAsia" w:eastAsiaTheme="majorEastAsia" w:hAnsiTheme="majorEastAsia" w:hint="eastAsia"/>
          <w:b w:val="0"/>
          <w:color w:val="000000"/>
          <w:sz w:val="32"/>
          <w:szCs w:val="32"/>
        </w:rPr>
        <w:t xml:space="preserve"> 支出决算为0万元，完成预算0%，决算数大于/小于预算数的主要原因是0支出。</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Style w:val="a7"/>
          <w:rFonts w:asciiTheme="majorEastAsia" w:eastAsiaTheme="majorEastAsia" w:hAnsiTheme="majorEastAsia" w:hint="eastAsia"/>
          <w:color w:val="000000"/>
          <w:sz w:val="32"/>
          <w:szCs w:val="32"/>
        </w:rPr>
        <w:t>4.文化体育与传媒（类）207（款）01（项）:</w:t>
      </w:r>
      <w:r>
        <w:rPr>
          <w:rStyle w:val="a7"/>
          <w:rFonts w:asciiTheme="majorEastAsia" w:eastAsiaTheme="majorEastAsia" w:hAnsiTheme="majorEastAsia" w:hint="eastAsia"/>
          <w:b w:val="0"/>
          <w:color w:val="000000"/>
          <w:sz w:val="32"/>
          <w:szCs w:val="32"/>
        </w:rPr>
        <w:t xml:space="preserve"> 支出决算为0万元，完成预算0%，决算数大于/小于预算数的主要原因是0支出。</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Style w:val="a7"/>
          <w:rFonts w:asciiTheme="majorEastAsia" w:eastAsiaTheme="majorEastAsia" w:hAnsiTheme="majorEastAsia" w:hint="eastAsia"/>
          <w:color w:val="000000"/>
          <w:sz w:val="32"/>
          <w:szCs w:val="32"/>
        </w:rPr>
        <w:t>5.社会保障和就业（类）208（款）05（项）:</w:t>
      </w:r>
      <w:r>
        <w:rPr>
          <w:rStyle w:val="a7"/>
          <w:rFonts w:asciiTheme="majorEastAsia" w:eastAsiaTheme="majorEastAsia" w:hAnsiTheme="majorEastAsia" w:hint="eastAsia"/>
          <w:b w:val="0"/>
          <w:color w:val="000000"/>
          <w:sz w:val="32"/>
          <w:szCs w:val="32"/>
        </w:rPr>
        <w:t xml:space="preserve"> 支出决算为27.09万元，完成预算100%，决算数大于/小于预算数的主要原因是人员经费调整减少。</w:t>
      </w:r>
    </w:p>
    <w:p w:rsidR="00E57291" w:rsidRDefault="0069342F">
      <w:pPr>
        <w:ind w:firstLineChars="200" w:firstLine="643"/>
        <w:rPr>
          <w:rFonts w:asciiTheme="majorEastAsia" w:eastAsiaTheme="majorEastAsia" w:hAnsiTheme="majorEastAsia"/>
          <w:color w:val="000000"/>
          <w:sz w:val="32"/>
          <w:szCs w:val="32"/>
        </w:rPr>
      </w:pPr>
      <w:r>
        <w:rPr>
          <w:rStyle w:val="a7"/>
          <w:rFonts w:asciiTheme="majorEastAsia" w:eastAsiaTheme="majorEastAsia" w:hAnsiTheme="majorEastAsia" w:hint="eastAsia"/>
          <w:color w:val="000000"/>
          <w:sz w:val="32"/>
          <w:szCs w:val="32"/>
        </w:rPr>
        <w:t>6.医疗卫生与计划生育（类）210（款）05（项）:</w:t>
      </w:r>
      <w:r>
        <w:rPr>
          <w:rStyle w:val="a7"/>
          <w:rFonts w:asciiTheme="majorEastAsia" w:eastAsiaTheme="majorEastAsia" w:hAnsiTheme="majorEastAsia" w:hint="eastAsia"/>
          <w:b w:val="0"/>
          <w:color w:val="000000"/>
          <w:sz w:val="32"/>
          <w:szCs w:val="32"/>
        </w:rPr>
        <w:t>支出决算为6.8万元，完成预算100%，决算数大于/小于预算数的主要原因是人员经费调整减少。</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六、一般公共预算财政拨款基本支出决算情况说明</w:t>
      </w:r>
    </w:p>
    <w:p w:rsidR="00E57291" w:rsidRDefault="0069342F">
      <w:pPr>
        <w:spacing w:line="600" w:lineRule="exact"/>
        <w:ind w:firstLine="645"/>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2017年度一般公共预算财政拨款基本支出282.45万元，其中：</w:t>
      </w:r>
    </w:p>
    <w:p w:rsidR="00E57291" w:rsidRDefault="0069342F">
      <w:pPr>
        <w:spacing w:line="600" w:lineRule="exact"/>
        <w:ind w:firstLine="645"/>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人员经费173.45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Theme="majorEastAsia" w:eastAsiaTheme="majorEastAsia" w:hAnsiTheme="majorEastAsia" w:hint="eastAsia"/>
          <w:color w:val="000000"/>
          <w:sz w:val="32"/>
          <w:szCs w:val="32"/>
        </w:rPr>
        <w:br/>
        <w:t xml:space="preserve">　　公用经费109万元，主要包括：办公费、印刷费、咨询费、手续费、水费、电费、邮电费、取暖费、物业管理费、差旅费、因公出国（境）费用、维修（护）费、租赁费、会议费、培训费、公务接待费、劳务费、委托业务费、工会经费、福利费、公务用车运行</w:t>
      </w:r>
      <w:r>
        <w:rPr>
          <w:rFonts w:asciiTheme="majorEastAsia" w:eastAsiaTheme="majorEastAsia" w:hAnsiTheme="majorEastAsia" w:hint="eastAsia"/>
          <w:color w:val="000000"/>
          <w:sz w:val="32"/>
          <w:szCs w:val="32"/>
        </w:rPr>
        <w:lastRenderedPageBreak/>
        <w:t>维护费、其他交通费、税金及附加费用、其他商品和服务支出、办公设备购置、专用设备购置、信息网络及软件购置更新、其他资本性支出等。</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七、“三公”经费财政拨款支出决算情况说明</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（一）“三公”经费财政拨款支出决算总体情况说明</w:t>
      </w:r>
    </w:p>
    <w:p w:rsidR="00E57291" w:rsidRDefault="0069342F">
      <w:pPr>
        <w:ind w:firstLineChars="200"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2017年度“三公”经费财政拨款支出决算为12.57万元，完成预算100%，决算数小于预算数（或与预算数持平）的主要原因是上年度车辆有大修。</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（二）“三公”经费财政拨款支出决算具体情况说明</w:t>
      </w:r>
    </w:p>
    <w:p w:rsidR="00E57291" w:rsidRDefault="0069342F">
      <w:pPr>
        <w:ind w:firstLineChars="200"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2017年度“三公”经费财政拨款支出决算中，因公出国（境）费支出决算0万元，占0%；公务用车购置及运行维护费支出决算12.57万元，占100%；公务接待费支出决算0万元，占0%。具体情况如下：</w:t>
      </w:r>
    </w:p>
    <w:p w:rsidR="00E57291" w:rsidRDefault="00E57291">
      <w:pPr>
        <w:ind w:firstLineChars="200" w:firstLine="640"/>
        <w:rPr>
          <w:rFonts w:asciiTheme="majorEastAsia" w:eastAsiaTheme="majorEastAsia" w:hAnsiTheme="majorEastAsia"/>
          <w:color w:val="000000"/>
          <w:sz w:val="32"/>
          <w:szCs w:val="32"/>
        </w:rPr>
      </w:pPr>
    </w:p>
    <w:p w:rsidR="00E57291" w:rsidRDefault="0069342F">
      <w:pPr>
        <w:rPr>
          <w:rFonts w:asciiTheme="majorEastAsia" w:eastAsiaTheme="majorEastAsia" w:hAnsiTheme="majorEastAsia"/>
          <w:color w:val="000000"/>
          <w:sz w:val="32"/>
          <w:szCs w:val="32"/>
        </w:rPr>
      </w:pPr>
      <w:r>
        <w:rPr>
          <w:rFonts w:asciiTheme="majorEastAsia" w:eastAsiaTheme="majorEastAsia" w:hAnsiTheme="majorEastAsia"/>
          <w:noProof/>
          <w:color w:val="000000"/>
          <w:sz w:val="32"/>
          <w:szCs w:val="32"/>
        </w:rPr>
        <w:drawing>
          <wp:inline distT="0" distB="0" distL="0" distR="0">
            <wp:extent cx="5295900" cy="3086100"/>
            <wp:effectExtent l="19050" t="0" r="0" b="0"/>
            <wp:docPr id="12" name="图表 6"/>
            <wp:cNvGraphicFramePr/>
            <a:graphic xmlns:a="http://schemas.openxmlformats.org/drawingml/2006/main">
              <a:graphicData uri="http://schemas.openxmlformats.org/drawingml/2006/picture">
                <pic:pic xmlns:pic="http://schemas.openxmlformats.org/drawingml/2006/picture">
                  <pic:nvPicPr>
                    <pic:cNvPr id="12" name="图表 6"/>
                    <pic:cNvPicPr>
                      <a:picLocks noChangeArrowheads="1"/>
                    </pic:cNvPicPr>
                  </pic:nvPicPr>
                  <pic:blipFill>
                    <a:blip r:embed="rId12" cstate="print"/>
                    <a:srcRect/>
                    <a:stretch>
                      <a:fillRect/>
                    </a:stretch>
                  </pic:blipFill>
                  <pic:spPr>
                    <a:xfrm>
                      <a:off x="0" y="0"/>
                      <a:ext cx="5295900" cy="3086100"/>
                    </a:xfrm>
                    <a:prstGeom prst="rect">
                      <a:avLst/>
                    </a:prstGeom>
                    <a:noFill/>
                    <a:ln w="9525">
                      <a:noFill/>
                      <a:miter lim="800000"/>
                      <a:headEnd/>
                      <a:tailEnd/>
                    </a:ln>
                  </pic:spPr>
                </pic:pic>
              </a:graphicData>
            </a:graphic>
          </wp:inline>
        </w:drawing>
      </w:r>
    </w:p>
    <w:p w:rsidR="00E57291" w:rsidRDefault="0069342F">
      <w:pPr>
        <w:spacing w:line="600" w:lineRule="exact"/>
        <w:ind w:firstLine="640"/>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1.因公出国（境）经费支出</w:t>
      </w:r>
      <w:r>
        <w:rPr>
          <w:rFonts w:asciiTheme="majorEastAsia" w:eastAsiaTheme="majorEastAsia" w:hAnsiTheme="majorEastAsia" w:hint="eastAsia"/>
          <w:color w:val="000000"/>
          <w:sz w:val="32"/>
          <w:szCs w:val="32"/>
        </w:rPr>
        <w:t>0万元。全年安排因公出国（境）</w:t>
      </w:r>
      <w:r>
        <w:rPr>
          <w:rFonts w:asciiTheme="majorEastAsia" w:eastAsiaTheme="majorEastAsia" w:hAnsiTheme="majorEastAsia" w:hint="eastAsia"/>
          <w:color w:val="000000"/>
          <w:sz w:val="32"/>
          <w:szCs w:val="32"/>
        </w:rPr>
        <w:lastRenderedPageBreak/>
        <w:t>团组0次，出国（境）0人。开支内容包括：无。</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color w:val="000000"/>
          <w:sz w:val="32"/>
          <w:szCs w:val="32"/>
        </w:rPr>
        <w:t>因公出国（境）支出决算比2016年增加/减少0万元，增长/下降0%。主要原因是无。</w:t>
      </w:r>
    </w:p>
    <w:p w:rsidR="00E57291" w:rsidRDefault="0069342F">
      <w:pPr>
        <w:spacing w:line="600" w:lineRule="exact"/>
        <w:ind w:firstLineChars="200" w:firstLine="643"/>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2.公务用车购置及运行维护费支出</w:t>
      </w:r>
      <w:r>
        <w:rPr>
          <w:rFonts w:asciiTheme="majorEastAsia" w:eastAsiaTheme="majorEastAsia" w:hAnsiTheme="majorEastAsia" w:hint="eastAsia"/>
          <w:color w:val="000000"/>
          <w:sz w:val="32"/>
          <w:szCs w:val="32"/>
        </w:rPr>
        <w:t>12.57万元。其中：</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公务用车购置支出</w:t>
      </w:r>
      <w:r>
        <w:rPr>
          <w:rFonts w:asciiTheme="majorEastAsia" w:eastAsiaTheme="majorEastAsia" w:hAnsiTheme="majorEastAsia" w:hint="eastAsia"/>
          <w:color w:val="000000"/>
          <w:sz w:val="32"/>
          <w:szCs w:val="32"/>
        </w:rPr>
        <w:t>0万元。全年按规定更新购置公务用车0辆，其中：轿车0辆、金额0万元，越野车0辆、金额0万元，载客汽车0辆、金额0万元。截至2016年12月底，单位共有公务用车1辆，其中：轿车0辆、越野车1辆、载客汽车0辆。</w:t>
      </w:r>
    </w:p>
    <w:p w:rsidR="00E57291" w:rsidRDefault="0069342F">
      <w:pPr>
        <w:spacing w:line="600" w:lineRule="exact"/>
        <w:ind w:firstLine="640"/>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公务用车运行维护费支出</w:t>
      </w:r>
      <w:r>
        <w:rPr>
          <w:rFonts w:asciiTheme="majorEastAsia" w:eastAsiaTheme="majorEastAsia" w:hAnsiTheme="majorEastAsia" w:hint="eastAsia"/>
          <w:color w:val="000000"/>
          <w:sz w:val="32"/>
          <w:szCs w:val="32"/>
        </w:rPr>
        <w:t>12.57万元。主要用于出差、下乡等所需的公务用车燃料费、维修费、过路过桥费、保险费等支出。</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color w:val="000000"/>
          <w:sz w:val="32"/>
          <w:szCs w:val="32"/>
        </w:rPr>
        <w:t>公务用车购置及运行维护费支出决算比2016年减少6.43万元，下降33.82%。主要原因是上年车辆有大修。</w:t>
      </w:r>
    </w:p>
    <w:p w:rsidR="00E57291" w:rsidRDefault="0069342F">
      <w:pPr>
        <w:spacing w:line="600" w:lineRule="exact"/>
        <w:ind w:firstLineChars="200" w:firstLine="643"/>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3.公务接待费支出</w:t>
      </w:r>
      <w:r>
        <w:rPr>
          <w:rFonts w:asciiTheme="majorEastAsia" w:eastAsiaTheme="majorEastAsia" w:hAnsiTheme="majorEastAsia" w:hint="eastAsia"/>
          <w:color w:val="000000"/>
          <w:sz w:val="32"/>
          <w:szCs w:val="32"/>
        </w:rPr>
        <w:t>0万元。主要用于执行公务、开展业务活动开支的交通费、住宿费、用餐费等。国内公务接待0批次，0人次（不包括陪同人员），共计支出0万元.其中：外事接待0批次，0人，共计支出0万元。</w:t>
      </w:r>
    </w:p>
    <w:p w:rsidR="00E57291" w:rsidRDefault="0069342F">
      <w:pPr>
        <w:spacing w:line="560" w:lineRule="exact"/>
        <w:ind w:firstLineChars="200" w:firstLine="640"/>
        <w:rPr>
          <w:rFonts w:asciiTheme="majorEastAsia" w:eastAsiaTheme="majorEastAsia" w:hAnsiTheme="majorEastAsia" w:cs="仿宋_GB2312"/>
          <w:b/>
          <w:bCs/>
          <w:color w:val="000000"/>
          <w:sz w:val="32"/>
          <w:szCs w:val="32"/>
        </w:rPr>
      </w:pPr>
      <w:r>
        <w:rPr>
          <w:rFonts w:asciiTheme="majorEastAsia" w:eastAsiaTheme="majorEastAsia" w:hAnsiTheme="majorEastAsia" w:hint="eastAsia"/>
          <w:color w:val="000000"/>
          <w:sz w:val="32"/>
          <w:szCs w:val="32"/>
        </w:rPr>
        <w:t>公务接待费支出决算比2016年增加/减少0万元，增长/下降0%.</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八、政府性基金预算支出决算情况说明</w:t>
      </w:r>
    </w:p>
    <w:p w:rsidR="00E57291" w:rsidRDefault="0069342F">
      <w:pPr>
        <w:spacing w:line="600" w:lineRule="exact"/>
        <w:ind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2017年度政府性基金预算拨款支出0万元。</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九、国有资本经营预算支出决算情况说明</w:t>
      </w:r>
    </w:p>
    <w:p w:rsidR="00E57291" w:rsidRDefault="0069342F">
      <w:pPr>
        <w:spacing w:line="600" w:lineRule="exact"/>
        <w:ind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2017年度国有资本经营预算拨款支出0万元。</w:t>
      </w:r>
    </w:p>
    <w:p w:rsidR="00E57291" w:rsidRDefault="0069342F">
      <w:pPr>
        <w:spacing w:line="600" w:lineRule="exac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十、其他重要事项的情况说明</w:t>
      </w:r>
    </w:p>
    <w:p w:rsidR="00E57291" w:rsidRDefault="0069342F">
      <w:pPr>
        <w:spacing w:line="600" w:lineRule="exact"/>
        <w:ind w:firstLineChars="200" w:firstLine="643"/>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lastRenderedPageBreak/>
        <w:t>（一）机关运行经费支出情况</w:t>
      </w:r>
    </w:p>
    <w:p w:rsidR="00E57291" w:rsidRDefault="0069342F">
      <w:pPr>
        <w:spacing w:line="560" w:lineRule="exact"/>
        <w:ind w:firstLineChars="200"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2017年度，统战部机关运行经费支出109万元，比2016年增加54.2万元，增长98.91%。</w:t>
      </w:r>
    </w:p>
    <w:p w:rsidR="00E57291" w:rsidRDefault="0069342F">
      <w:pPr>
        <w:autoSpaceDE w:val="0"/>
        <w:autoSpaceDN w:val="0"/>
        <w:adjustRightInd w:val="0"/>
        <w:spacing w:line="600" w:lineRule="exact"/>
        <w:ind w:firstLineChars="200" w:firstLine="643"/>
        <w:jc w:val="left"/>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（二）政府采购支出情况</w:t>
      </w:r>
    </w:p>
    <w:p w:rsidR="00E57291" w:rsidRDefault="0069342F">
      <w:pPr>
        <w:spacing w:line="560" w:lineRule="exact"/>
        <w:ind w:firstLineChars="200" w:firstLine="640"/>
        <w:rPr>
          <w:rFonts w:asciiTheme="majorEastAsia" w:eastAsiaTheme="majorEastAsia" w:hAnsiTheme="majorEastAsia" w:cs="仿宋_GB2312"/>
          <w:b/>
          <w:bCs/>
          <w:color w:val="000000"/>
          <w:sz w:val="32"/>
          <w:szCs w:val="32"/>
        </w:rPr>
      </w:pPr>
      <w:r>
        <w:rPr>
          <w:rFonts w:asciiTheme="majorEastAsia" w:eastAsiaTheme="majorEastAsia" w:hAnsiTheme="majorEastAsia" w:hint="eastAsia"/>
          <w:color w:val="000000"/>
          <w:sz w:val="32"/>
          <w:szCs w:val="32"/>
        </w:rPr>
        <w:t>2017年度，统战部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rsidR="00E57291" w:rsidRDefault="0069342F">
      <w:pPr>
        <w:autoSpaceDE w:val="0"/>
        <w:autoSpaceDN w:val="0"/>
        <w:adjustRightInd w:val="0"/>
        <w:spacing w:line="600" w:lineRule="exact"/>
        <w:ind w:firstLineChars="200" w:firstLine="643"/>
        <w:jc w:val="left"/>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（三）国有资产占有使用情况</w:t>
      </w:r>
    </w:p>
    <w:p w:rsidR="00E57291" w:rsidRDefault="0069342F">
      <w:pPr>
        <w:autoSpaceDE w:val="0"/>
        <w:autoSpaceDN w:val="0"/>
        <w:adjustRightInd w:val="0"/>
        <w:spacing w:line="600" w:lineRule="exact"/>
        <w:ind w:firstLineChars="200" w:firstLine="640"/>
        <w:jc w:val="left"/>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t>截至2017年12月31日，金川统战部共有车辆1辆，其中：部级领导干部用车0辆、一般公务用车1辆、一般执法执勤用车0辆、特种专业技术用车0辆、其他用车1辆；单价29万元以上通用设备1台（套），单价100万元以上专用设备0台（套）。</w:t>
      </w:r>
    </w:p>
    <w:p w:rsidR="00E57291" w:rsidRDefault="0069342F">
      <w:pPr>
        <w:autoSpaceDE w:val="0"/>
        <w:autoSpaceDN w:val="0"/>
        <w:adjustRightInd w:val="0"/>
        <w:spacing w:line="600" w:lineRule="exact"/>
        <w:ind w:firstLineChars="200" w:firstLine="643"/>
        <w:jc w:val="left"/>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（四）预算绩效情况</w:t>
      </w:r>
    </w:p>
    <w:p w:rsidR="00E57291" w:rsidRDefault="0069342F">
      <w:pPr>
        <w:spacing w:line="600" w:lineRule="atLeast"/>
        <w:ind w:firstLineChars="200" w:firstLine="643"/>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1.绩效目标管理情况</w:t>
      </w:r>
      <w:r>
        <w:rPr>
          <w:rFonts w:asciiTheme="majorEastAsia" w:eastAsiaTheme="majorEastAsia" w:hAnsiTheme="majorEastAsia" w:hint="eastAsia"/>
          <w:color w:val="000000"/>
          <w:sz w:val="32"/>
          <w:szCs w:val="32"/>
        </w:rPr>
        <w:t>。</w:t>
      </w:r>
    </w:p>
    <w:p w:rsidR="00E57291" w:rsidRDefault="0069342F">
      <w:pPr>
        <w:spacing w:line="560" w:lineRule="exact"/>
        <w:ind w:firstLineChars="200" w:firstLine="640"/>
        <w:rPr>
          <w:rFonts w:asciiTheme="majorEastAsia" w:eastAsiaTheme="majorEastAsia" w:hAnsiTheme="majorEastAsia" w:cs="仿宋_GB2312"/>
          <w:b/>
          <w:bCs/>
          <w:color w:val="000000"/>
          <w:sz w:val="32"/>
          <w:szCs w:val="32"/>
        </w:rPr>
      </w:pPr>
      <w:r>
        <w:rPr>
          <w:rFonts w:asciiTheme="majorEastAsia" w:eastAsiaTheme="majorEastAsia" w:hAnsiTheme="majorEastAsia" w:hint="eastAsia"/>
          <w:color w:val="000000"/>
          <w:sz w:val="32"/>
          <w:szCs w:val="32"/>
        </w:rPr>
        <w:t>按照预算绩效管理要求，本部门对2017年一般公共预算项目支出开展了绩效目标管理，共编制绩效目标1个，涉及财政资金370.45万元，覆盖率达到100%</w:t>
      </w:r>
    </w:p>
    <w:p w:rsidR="00E57291" w:rsidRDefault="0069342F">
      <w:pPr>
        <w:spacing w:line="600" w:lineRule="atLeast"/>
        <w:ind w:firstLineChars="200" w:firstLine="643"/>
        <w:rPr>
          <w:rFonts w:asciiTheme="majorEastAsia" w:eastAsiaTheme="majorEastAsia" w:hAnsiTheme="majorEastAsia"/>
          <w:color w:val="000000"/>
          <w:sz w:val="32"/>
          <w:szCs w:val="32"/>
        </w:rPr>
      </w:pPr>
      <w:r>
        <w:rPr>
          <w:rFonts w:asciiTheme="majorEastAsia" w:eastAsiaTheme="majorEastAsia" w:hAnsiTheme="majorEastAsia" w:hint="eastAsia"/>
          <w:b/>
          <w:color w:val="000000"/>
          <w:sz w:val="32"/>
          <w:szCs w:val="32"/>
        </w:rPr>
        <w:t>2.部门整体支出绩效自评开展情况</w:t>
      </w:r>
      <w:r>
        <w:rPr>
          <w:rFonts w:asciiTheme="majorEastAsia" w:eastAsiaTheme="majorEastAsia" w:hAnsiTheme="majorEastAsia" w:hint="eastAsia"/>
          <w:color w:val="000000"/>
          <w:sz w:val="32"/>
          <w:szCs w:val="32"/>
        </w:rPr>
        <w:t>。</w:t>
      </w:r>
    </w:p>
    <w:p w:rsidR="00E57291" w:rsidRDefault="0069342F">
      <w:pPr>
        <w:spacing w:line="600" w:lineRule="atLeast"/>
        <w:ind w:firstLineChars="200" w:firstLine="640"/>
        <w:rPr>
          <w:rFonts w:asciiTheme="majorEastAsia" w:eastAsiaTheme="majorEastAsia" w:hAnsiTheme="majorEastAsia"/>
          <w:b/>
          <w:color w:val="000000"/>
          <w:sz w:val="32"/>
          <w:szCs w:val="32"/>
        </w:rPr>
      </w:pPr>
      <w:r>
        <w:rPr>
          <w:rFonts w:asciiTheme="majorEastAsia" w:eastAsiaTheme="majorEastAsia" w:hAnsiTheme="majorEastAsia" w:hint="eastAsia"/>
          <w:color w:val="000000"/>
          <w:sz w:val="32"/>
          <w:szCs w:val="32"/>
        </w:rPr>
        <w:t>按照预算绩效管理要求，本部门对2017年整体支出开展绩效自评，自评得分91分，存在的问题：一是部门履职成效不高，二是内部控制管理不健全；三是目标任务不明确。下一步改进措施：一是改进工作方式，明确预算目标任务，做到相关性、合理性；二是加大对内部控制的管理建立健全制度，提高绩效管理履职成效。</w:t>
      </w:r>
    </w:p>
    <w:p w:rsidR="00E57291" w:rsidRDefault="0069342F">
      <w:pPr>
        <w:jc w:val="center"/>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lastRenderedPageBreak/>
        <w:t>2017年部门整体支出绩效评价得分表</w:t>
      </w:r>
    </w:p>
    <w:tbl>
      <w:tblPr>
        <w:tblW w:w="9498" w:type="dxa"/>
        <w:tblInd w:w="-176" w:type="dxa"/>
        <w:tblLayout w:type="fixed"/>
        <w:tblLook w:val="04A0"/>
      </w:tblPr>
      <w:tblGrid>
        <w:gridCol w:w="1702"/>
        <w:gridCol w:w="2268"/>
        <w:gridCol w:w="3402"/>
        <w:gridCol w:w="2126"/>
      </w:tblGrid>
      <w:tr w:rsidR="00E57291">
        <w:trPr>
          <w:trHeight w:val="24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b/>
                <w:bCs/>
                <w:color w:val="000000"/>
                <w:kern w:val="0"/>
                <w:sz w:val="20"/>
                <w:szCs w:val="20"/>
              </w:rPr>
            </w:pPr>
            <w:r>
              <w:rPr>
                <w:rFonts w:asciiTheme="majorEastAsia" w:eastAsiaTheme="majorEastAsia" w:hAnsiTheme="majorEastAsia"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b/>
                <w:bCs/>
                <w:color w:val="000000"/>
                <w:kern w:val="0"/>
                <w:sz w:val="20"/>
                <w:szCs w:val="20"/>
              </w:rPr>
            </w:pPr>
            <w:r>
              <w:rPr>
                <w:rFonts w:asciiTheme="majorEastAsia" w:eastAsiaTheme="majorEastAsia" w:hAnsiTheme="majorEastAsia"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b/>
                <w:bCs/>
                <w:color w:val="000000"/>
                <w:kern w:val="0"/>
                <w:sz w:val="20"/>
                <w:szCs w:val="20"/>
              </w:rPr>
            </w:pPr>
            <w:r>
              <w:rPr>
                <w:rFonts w:asciiTheme="majorEastAsia" w:eastAsiaTheme="majorEastAsia" w:hAnsiTheme="majorEastAsia"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b/>
                <w:bCs/>
                <w:color w:val="000000"/>
                <w:kern w:val="0"/>
                <w:sz w:val="20"/>
                <w:szCs w:val="20"/>
              </w:rPr>
            </w:pPr>
            <w:r>
              <w:rPr>
                <w:rFonts w:asciiTheme="majorEastAsia" w:eastAsiaTheme="majorEastAsia" w:hAnsiTheme="majorEastAsia" w:cs="宋体" w:hint="eastAsia"/>
                <w:b/>
                <w:bCs/>
                <w:color w:val="000000"/>
                <w:kern w:val="0"/>
                <w:sz w:val="20"/>
                <w:szCs w:val="20"/>
              </w:rPr>
              <w:t>得分</w:t>
            </w:r>
          </w:p>
        </w:tc>
      </w:tr>
      <w:tr w:rsidR="00E57291">
        <w:trPr>
          <w:trHeight w:val="520"/>
        </w:trPr>
        <w:tc>
          <w:tcPr>
            <w:tcW w:w="1702" w:type="dxa"/>
            <w:vMerge w:val="restart"/>
            <w:tcBorders>
              <w:top w:val="nil"/>
              <w:left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目标任务（15分）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相关性（5分）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r w:rsidR="00E57291">
        <w:trPr>
          <w:trHeight w:val="413"/>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明确性（5分）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r w:rsidR="00E57291">
        <w:trPr>
          <w:trHeight w:val="420"/>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合理性（5分）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r w:rsidR="00E57291">
        <w:trPr>
          <w:trHeight w:val="269"/>
        </w:trPr>
        <w:tc>
          <w:tcPr>
            <w:tcW w:w="1702" w:type="dxa"/>
            <w:vMerge/>
            <w:tcBorders>
              <w:left w:val="single" w:sz="4" w:space="0" w:color="auto"/>
              <w:right w:val="single" w:sz="4" w:space="0" w:color="auto"/>
            </w:tcBorders>
            <w:shd w:val="clear" w:color="auto" w:fill="auto"/>
            <w:vAlign w:val="center"/>
          </w:tcPr>
          <w:p w:rsidR="00E57291" w:rsidRDefault="00E57291">
            <w:pPr>
              <w:widowControl/>
              <w:jc w:val="center"/>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预算编制（10分）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测算依据（5分）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5</w:t>
            </w:r>
          </w:p>
        </w:tc>
      </w:tr>
      <w:tr w:rsidR="00E57291">
        <w:trPr>
          <w:trHeight w:val="231"/>
        </w:trPr>
        <w:tc>
          <w:tcPr>
            <w:tcW w:w="1702" w:type="dxa"/>
            <w:vMerge/>
            <w:tcBorders>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目标管理（5分）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r w:rsidR="00E57291">
        <w:trPr>
          <w:trHeight w:val="477"/>
        </w:trPr>
        <w:tc>
          <w:tcPr>
            <w:tcW w:w="1702" w:type="dxa"/>
            <w:vMerge w:val="restart"/>
            <w:tcBorders>
              <w:top w:val="nil"/>
              <w:left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专项资金分配时限（2分）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省级财力专项预算分配时限（1分）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w:t>
            </w:r>
          </w:p>
        </w:tc>
      </w:tr>
      <w:tr w:rsidR="00E57291">
        <w:trPr>
          <w:trHeight w:val="413"/>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中央专款分配合规率（1分）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w:t>
            </w:r>
          </w:p>
        </w:tc>
      </w:tr>
      <w:tr w:rsidR="00E57291">
        <w:trPr>
          <w:trHeight w:val="277"/>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中期评估（2分）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执行中期评估（2分）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381"/>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绩效监控（5分）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预算执行进度监控（2分）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73"/>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绩效目标动态监控（3分）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35"/>
        </w:trPr>
        <w:tc>
          <w:tcPr>
            <w:tcW w:w="1702" w:type="dxa"/>
            <w:vMerge/>
            <w:tcBorders>
              <w:left w:val="single" w:sz="4" w:space="0" w:color="auto"/>
              <w:right w:val="single" w:sz="4" w:space="0" w:color="auto"/>
            </w:tcBorders>
            <w:shd w:val="clear" w:color="auto" w:fill="auto"/>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非税收入执收情况（2分）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非税收入征收情况（1分）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w:t>
            </w:r>
          </w:p>
        </w:tc>
      </w:tr>
      <w:tr w:rsidR="00E57291">
        <w:trPr>
          <w:trHeight w:val="325"/>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非税收入上缴情况（1分）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w:t>
            </w:r>
          </w:p>
        </w:tc>
      </w:tr>
      <w:tr w:rsidR="00E57291">
        <w:trPr>
          <w:trHeight w:val="287"/>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资产管理（6分）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资产管理信息化情况（2分）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35"/>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行政事业单位资产报告情况（2分）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353"/>
        </w:trPr>
        <w:tc>
          <w:tcPr>
            <w:tcW w:w="1702" w:type="dxa"/>
            <w:vMerge/>
            <w:tcBorders>
              <w:left w:val="single" w:sz="4" w:space="0" w:color="auto"/>
              <w:right w:val="single" w:sz="4" w:space="0" w:color="auto"/>
            </w:tcBorders>
            <w:vAlign w:val="center"/>
          </w:tcPr>
          <w:p w:rsidR="00E57291" w:rsidRDefault="00E57291">
            <w:pPr>
              <w:jc w:val="center"/>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资产管理与预算管理相结合（2分）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72"/>
        </w:trPr>
        <w:tc>
          <w:tcPr>
            <w:tcW w:w="1702" w:type="dxa"/>
            <w:vMerge/>
            <w:tcBorders>
              <w:left w:val="single" w:sz="4" w:space="0" w:color="auto"/>
              <w:right w:val="single" w:sz="4" w:space="0" w:color="auto"/>
            </w:tcBorders>
            <w:shd w:val="clear" w:color="auto" w:fill="auto"/>
            <w:vAlign w:val="center"/>
          </w:tcPr>
          <w:p w:rsidR="00E57291" w:rsidRDefault="00E57291">
            <w:pPr>
              <w:widowControl/>
              <w:jc w:val="center"/>
              <w:rPr>
                <w:rFonts w:asciiTheme="majorEastAsia" w:eastAsiaTheme="majorEastAsia" w:hAnsiTheme="majorEastAsia"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内控制度管理（2分）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内部控制度健全完整（2分）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w:t>
            </w:r>
          </w:p>
        </w:tc>
      </w:tr>
      <w:tr w:rsidR="00E57291">
        <w:trPr>
          <w:trHeight w:val="221"/>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信息公开（6分）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预算公开（2分）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197"/>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决算公开（2分）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87"/>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绩效信息公开（2分）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405"/>
        </w:trPr>
        <w:tc>
          <w:tcPr>
            <w:tcW w:w="1702" w:type="dxa"/>
            <w:vMerge/>
            <w:tcBorders>
              <w:left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绩效评价（5分）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绩效评价开展（2分）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127"/>
        </w:trPr>
        <w:tc>
          <w:tcPr>
            <w:tcW w:w="1702" w:type="dxa"/>
            <w:vMerge/>
            <w:tcBorders>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评价结果应用（3分）</w:t>
            </w:r>
          </w:p>
        </w:tc>
        <w:tc>
          <w:tcPr>
            <w:tcW w:w="2126" w:type="dxa"/>
            <w:tcBorders>
              <w:top w:val="nil"/>
              <w:left w:val="nil"/>
              <w:bottom w:val="single" w:sz="4" w:space="0" w:color="auto"/>
              <w:right w:val="single" w:sz="4" w:space="0" w:color="auto"/>
            </w:tcBorders>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2</w:t>
            </w:r>
          </w:p>
        </w:tc>
      </w:tr>
      <w:tr w:rsidR="00E57291">
        <w:trPr>
          <w:trHeight w:val="231"/>
        </w:trPr>
        <w:tc>
          <w:tcPr>
            <w:tcW w:w="1702" w:type="dxa"/>
            <w:vMerge w:val="restart"/>
            <w:tcBorders>
              <w:top w:val="nil"/>
              <w:left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履职成效（20分）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19</w:t>
            </w:r>
          </w:p>
        </w:tc>
      </w:tr>
      <w:tr w:rsidR="00E57291">
        <w:trPr>
          <w:trHeight w:val="180"/>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E57291">
            <w:pPr>
              <w:widowControl/>
              <w:jc w:val="center"/>
              <w:rPr>
                <w:rFonts w:asciiTheme="majorEastAsia" w:eastAsiaTheme="majorEastAsia" w:hAnsiTheme="majorEastAsia" w:cs="宋体"/>
                <w:color w:val="000000"/>
                <w:kern w:val="0"/>
                <w:sz w:val="20"/>
                <w:szCs w:val="20"/>
              </w:rPr>
            </w:pPr>
          </w:p>
        </w:tc>
        <w:tc>
          <w:tcPr>
            <w:tcW w:w="2126" w:type="dxa"/>
            <w:tcBorders>
              <w:top w:val="nil"/>
              <w:left w:val="nil"/>
              <w:bottom w:val="single" w:sz="4" w:space="0" w:color="auto"/>
              <w:right w:val="single" w:sz="4" w:space="0" w:color="auto"/>
            </w:tcBorders>
          </w:tcPr>
          <w:p w:rsidR="00E57291" w:rsidRDefault="00E57291">
            <w:pPr>
              <w:widowControl/>
              <w:jc w:val="center"/>
              <w:rPr>
                <w:rFonts w:asciiTheme="majorEastAsia" w:eastAsiaTheme="majorEastAsia" w:hAnsiTheme="majorEastAsia" w:cs="宋体"/>
                <w:color w:val="000000"/>
                <w:kern w:val="0"/>
                <w:sz w:val="20"/>
                <w:szCs w:val="20"/>
              </w:rPr>
            </w:pPr>
          </w:p>
        </w:tc>
      </w:tr>
      <w:tr w:rsidR="00E57291">
        <w:trPr>
          <w:trHeight w:val="240"/>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E57291">
            <w:pPr>
              <w:widowControl/>
              <w:jc w:val="center"/>
              <w:rPr>
                <w:rFonts w:asciiTheme="majorEastAsia" w:eastAsiaTheme="majorEastAsia" w:hAnsiTheme="majorEastAsia" w:cs="宋体"/>
                <w:color w:val="000000"/>
                <w:kern w:val="0"/>
                <w:sz w:val="20"/>
                <w:szCs w:val="20"/>
              </w:rPr>
            </w:pPr>
          </w:p>
        </w:tc>
        <w:tc>
          <w:tcPr>
            <w:tcW w:w="2126" w:type="dxa"/>
            <w:tcBorders>
              <w:top w:val="nil"/>
              <w:left w:val="nil"/>
              <w:bottom w:val="single" w:sz="4" w:space="0" w:color="auto"/>
              <w:right w:val="single" w:sz="4" w:space="0" w:color="auto"/>
            </w:tcBorders>
          </w:tcPr>
          <w:p w:rsidR="00E57291" w:rsidRDefault="00E57291">
            <w:pPr>
              <w:widowControl/>
              <w:jc w:val="center"/>
              <w:rPr>
                <w:rFonts w:asciiTheme="majorEastAsia" w:eastAsiaTheme="majorEastAsia" w:hAnsiTheme="majorEastAsia" w:cs="宋体"/>
                <w:color w:val="000000"/>
                <w:kern w:val="0"/>
                <w:sz w:val="20"/>
                <w:szCs w:val="20"/>
              </w:rPr>
            </w:pPr>
          </w:p>
        </w:tc>
      </w:tr>
      <w:tr w:rsidR="00E57291">
        <w:trPr>
          <w:trHeight w:val="240"/>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E57291">
            <w:pPr>
              <w:widowControl/>
              <w:jc w:val="center"/>
              <w:rPr>
                <w:rFonts w:asciiTheme="majorEastAsia" w:eastAsiaTheme="majorEastAsia" w:hAnsiTheme="majorEastAsia" w:cs="宋体"/>
                <w:color w:val="000000"/>
                <w:kern w:val="0"/>
                <w:sz w:val="20"/>
                <w:szCs w:val="20"/>
              </w:rPr>
            </w:pPr>
          </w:p>
        </w:tc>
        <w:tc>
          <w:tcPr>
            <w:tcW w:w="2126" w:type="dxa"/>
            <w:tcBorders>
              <w:top w:val="nil"/>
              <w:left w:val="nil"/>
              <w:bottom w:val="single" w:sz="4" w:space="0" w:color="auto"/>
              <w:right w:val="single" w:sz="4" w:space="0" w:color="auto"/>
            </w:tcBorders>
          </w:tcPr>
          <w:p w:rsidR="00E57291" w:rsidRDefault="00E57291">
            <w:pPr>
              <w:widowControl/>
              <w:jc w:val="center"/>
              <w:rPr>
                <w:rFonts w:asciiTheme="majorEastAsia" w:eastAsiaTheme="majorEastAsia" w:hAnsiTheme="majorEastAsia" w:cs="宋体"/>
                <w:color w:val="000000"/>
                <w:kern w:val="0"/>
                <w:sz w:val="20"/>
                <w:szCs w:val="20"/>
              </w:rPr>
            </w:pPr>
          </w:p>
        </w:tc>
      </w:tr>
      <w:tr w:rsidR="00E57291">
        <w:trPr>
          <w:trHeight w:val="157"/>
        </w:trPr>
        <w:tc>
          <w:tcPr>
            <w:tcW w:w="1702" w:type="dxa"/>
            <w:vMerge/>
            <w:tcBorders>
              <w:left w:val="single" w:sz="4" w:space="0" w:color="auto"/>
              <w:right w:val="single" w:sz="4" w:space="0" w:color="auto"/>
            </w:tcBorders>
            <w:shd w:val="clear" w:color="auto" w:fill="auto"/>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E57291" w:rsidRDefault="0069342F">
            <w:pPr>
              <w:widowControl/>
              <w:jc w:val="left"/>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可持续发展能力（15分）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重点改革（重点工作）完成情况（5分）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5</w:t>
            </w:r>
          </w:p>
        </w:tc>
      </w:tr>
      <w:tr w:rsidR="00E57291">
        <w:trPr>
          <w:trHeight w:val="320"/>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科技（制度、方法、机制等）创新（5分）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r w:rsidR="00E57291">
        <w:trPr>
          <w:trHeight w:val="385"/>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人才培养（5分）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5</w:t>
            </w:r>
          </w:p>
        </w:tc>
      </w:tr>
      <w:tr w:rsidR="00E57291">
        <w:trPr>
          <w:trHeight w:val="432"/>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val="restart"/>
            <w:tcBorders>
              <w:top w:val="nil"/>
              <w:left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满意度（10分）</w:t>
            </w: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协作部门满意度（3分）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3</w:t>
            </w:r>
          </w:p>
        </w:tc>
      </w:tr>
      <w:tr w:rsidR="00E57291">
        <w:trPr>
          <w:trHeight w:val="396"/>
        </w:trPr>
        <w:tc>
          <w:tcPr>
            <w:tcW w:w="1702"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2268" w:type="dxa"/>
            <w:vMerge/>
            <w:tcBorders>
              <w:left w:val="single" w:sz="4" w:space="0" w:color="auto"/>
              <w:right w:val="single" w:sz="4" w:space="0" w:color="auto"/>
            </w:tcBorders>
            <w:vAlign w:val="center"/>
          </w:tcPr>
          <w:p w:rsidR="00E57291" w:rsidRDefault="00E57291">
            <w:pPr>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管理对象满意度（3分）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3</w:t>
            </w:r>
          </w:p>
        </w:tc>
      </w:tr>
      <w:tr w:rsidR="00E57291">
        <w:trPr>
          <w:trHeight w:val="411"/>
        </w:trPr>
        <w:tc>
          <w:tcPr>
            <w:tcW w:w="1702" w:type="dxa"/>
            <w:vMerge/>
            <w:tcBorders>
              <w:left w:val="single" w:sz="4" w:space="0" w:color="auto"/>
              <w:bottom w:val="single" w:sz="4" w:space="0" w:color="auto"/>
              <w:right w:val="single" w:sz="4" w:space="0" w:color="auto"/>
            </w:tcBorders>
            <w:shd w:val="clear" w:color="auto" w:fill="auto"/>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2268" w:type="dxa"/>
            <w:vMerge/>
            <w:tcBorders>
              <w:left w:val="single" w:sz="4" w:space="0" w:color="auto"/>
              <w:bottom w:val="single" w:sz="4" w:space="0" w:color="auto"/>
              <w:right w:val="single" w:sz="4" w:space="0" w:color="auto"/>
            </w:tcBorders>
            <w:shd w:val="clear" w:color="auto" w:fill="auto"/>
            <w:vAlign w:val="center"/>
          </w:tcPr>
          <w:p w:rsidR="00E57291" w:rsidRDefault="00E57291">
            <w:pPr>
              <w:widowControl/>
              <w:jc w:val="left"/>
              <w:rPr>
                <w:rFonts w:asciiTheme="majorEastAsia" w:eastAsiaTheme="majorEastAsia" w:hAnsiTheme="majorEastAsia"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社会公众满意度（4分）</w:t>
            </w:r>
          </w:p>
        </w:tc>
        <w:tc>
          <w:tcPr>
            <w:tcW w:w="2126" w:type="dxa"/>
            <w:tcBorders>
              <w:top w:val="nil"/>
              <w:left w:val="nil"/>
              <w:bottom w:val="single" w:sz="4" w:space="0" w:color="auto"/>
              <w:right w:val="single" w:sz="4" w:space="0" w:color="auto"/>
            </w:tcBorders>
          </w:tcPr>
          <w:p w:rsidR="00E57291" w:rsidRDefault="0069342F">
            <w:pPr>
              <w:widowControl/>
              <w:jc w:val="center"/>
              <w:rPr>
                <w:rFonts w:asciiTheme="majorEastAsia" w:eastAsiaTheme="majorEastAsia" w:hAnsiTheme="majorEastAsia" w:cs="宋体"/>
                <w:color w:val="000000"/>
                <w:kern w:val="0"/>
                <w:sz w:val="20"/>
                <w:szCs w:val="20"/>
              </w:rPr>
            </w:pPr>
            <w:r>
              <w:rPr>
                <w:rFonts w:asciiTheme="majorEastAsia" w:eastAsiaTheme="majorEastAsia" w:hAnsiTheme="majorEastAsia" w:cs="宋体" w:hint="eastAsia"/>
                <w:color w:val="000000"/>
                <w:kern w:val="0"/>
                <w:sz w:val="20"/>
                <w:szCs w:val="20"/>
              </w:rPr>
              <w:t>4</w:t>
            </w:r>
          </w:p>
        </w:tc>
      </w:tr>
    </w:tbl>
    <w:p w:rsidR="00E57291" w:rsidRDefault="00E57291">
      <w:pPr>
        <w:rPr>
          <w:rFonts w:asciiTheme="majorEastAsia" w:eastAsiaTheme="majorEastAsia" w:hAnsiTheme="majorEastAsia"/>
          <w:color w:val="000000"/>
        </w:rPr>
      </w:pPr>
    </w:p>
    <w:p w:rsidR="00E57291" w:rsidRDefault="0069342F">
      <w:pPr>
        <w:spacing w:line="600" w:lineRule="atLeast"/>
        <w:ind w:firstLineChars="200" w:firstLine="643"/>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3.部门自行组织绩效评价开展情况。</w:t>
      </w:r>
    </w:p>
    <w:p w:rsidR="00E57291" w:rsidRDefault="0069342F">
      <w:pPr>
        <w:spacing w:line="600" w:lineRule="atLeast"/>
        <w:ind w:firstLineChars="200" w:firstLine="640"/>
        <w:rPr>
          <w:rFonts w:asciiTheme="majorEastAsia" w:eastAsiaTheme="majorEastAsia" w:hAnsiTheme="majorEastAsia"/>
          <w:color w:val="000000"/>
          <w:sz w:val="32"/>
          <w:szCs w:val="32"/>
        </w:rPr>
      </w:pPr>
      <w:r>
        <w:rPr>
          <w:rFonts w:asciiTheme="majorEastAsia" w:eastAsiaTheme="majorEastAsia" w:hAnsiTheme="majorEastAsia" w:hint="eastAsia"/>
          <w:color w:val="000000"/>
          <w:sz w:val="32"/>
          <w:szCs w:val="32"/>
        </w:rPr>
        <w:lastRenderedPageBreak/>
        <w:t>本部门无下属单位。</w:t>
      </w:r>
    </w:p>
    <w:p w:rsidR="00E57291" w:rsidRDefault="0069342F">
      <w:pPr>
        <w:autoSpaceDE w:val="0"/>
        <w:autoSpaceDN w:val="0"/>
        <w:adjustRightInd w:val="0"/>
        <w:spacing w:line="600" w:lineRule="exact"/>
        <w:ind w:firstLineChars="200" w:firstLine="643"/>
        <w:jc w:val="left"/>
        <w:rPr>
          <w:rFonts w:asciiTheme="majorEastAsia" w:eastAsiaTheme="majorEastAsia" w:hAnsiTheme="majorEastAsia"/>
          <w:b/>
          <w:color w:val="000000"/>
          <w:sz w:val="32"/>
          <w:szCs w:val="32"/>
        </w:rPr>
      </w:pPr>
      <w:r>
        <w:rPr>
          <w:rFonts w:asciiTheme="majorEastAsia" w:eastAsiaTheme="majorEastAsia" w:hAnsiTheme="majorEastAsia" w:hint="eastAsia"/>
          <w:b/>
          <w:color w:val="000000"/>
          <w:sz w:val="32"/>
          <w:szCs w:val="32"/>
        </w:rPr>
        <w:t>十一、名词解释</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w:t>
      </w:r>
      <w:r>
        <w:rPr>
          <w:rFonts w:asciiTheme="majorEastAsia" w:eastAsiaTheme="majorEastAsia" w:hAnsiTheme="majorEastAsia" w:cs="仿宋_GB2312" w:hint="eastAsia"/>
          <w:sz w:val="32"/>
          <w:szCs w:val="32"/>
        </w:rPr>
        <w:t xml:space="preserve">财政拨款收入：指州级财政当年拨付的资金。 </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2.</w:t>
      </w:r>
      <w:r>
        <w:rPr>
          <w:rFonts w:asciiTheme="majorEastAsia" w:eastAsiaTheme="majorEastAsia" w:hAnsiTheme="majorEastAsia" w:cs="仿宋_GB2312" w:hint="eastAsia"/>
          <w:sz w:val="32"/>
          <w:szCs w:val="32"/>
        </w:rPr>
        <w:t>事业收入：指事业单位开展专业业务活动及辅助活动所取得的收入。</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3.</w:t>
      </w:r>
      <w:r>
        <w:rPr>
          <w:rFonts w:asciiTheme="majorEastAsia" w:eastAsiaTheme="majorEastAsia" w:hAnsiTheme="majorEastAsia" w:cs="仿宋_GB2312" w:hint="eastAsia"/>
          <w:sz w:val="32"/>
          <w:szCs w:val="32"/>
        </w:rPr>
        <w:t>经营收入：指事业单位在专业业务活动及其辅助活动之外开展非独立核算经营活动取得的收入。</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4.</w:t>
      </w:r>
      <w:r>
        <w:rPr>
          <w:rFonts w:asciiTheme="majorEastAsia" w:eastAsiaTheme="majorEastAsia" w:hAnsiTheme="majorEastAsia" w:cs="仿宋_GB2312" w:hint="eastAsia"/>
          <w:sz w:val="32"/>
          <w:szCs w:val="32"/>
        </w:rPr>
        <w:t xml:space="preserve">其他收入：指除上述“财政拨款收入”、“事业收入”、“经营收入”等以外的收入。 </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5.</w:t>
      </w:r>
      <w:r>
        <w:rPr>
          <w:rFonts w:asciiTheme="majorEastAsia" w:eastAsiaTheme="majorEastAsia" w:hAnsiTheme="majorEastAsia" w:cs="仿宋_GB2312" w:hint="eastAsia"/>
          <w:sz w:val="32"/>
          <w:szCs w:val="32"/>
        </w:rPr>
        <w:t xml:space="preserve">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6.</w:t>
      </w:r>
      <w:r>
        <w:rPr>
          <w:rFonts w:asciiTheme="majorEastAsia" w:eastAsiaTheme="majorEastAsia" w:hAnsiTheme="majorEastAsia" w:cs="仿宋_GB2312" w:hint="eastAsia"/>
          <w:sz w:val="32"/>
          <w:szCs w:val="32"/>
        </w:rPr>
        <w:t xml:space="preserve">年初结转和结余：指以前年度尚未完成、结转到本年按有关规定继续使用的资金。  </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7.</w:t>
      </w:r>
      <w:r>
        <w:rPr>
          <w:rFonts w:asciiTheme="majorEastAsia" w:eastAsiaTheme="majorEastAsia" w:hAnsiTheme="majorEastAsia" w:cs="仿宋_GB2312" w:hint="eastAsia"/>
          <w:sz w:val="32"/>
          <w:szCs w:val="32"/>
        </w:rPr>
        <w:t>社会保障和就业（208）行政事业单位离退休（20805）机关事业单位基本养老保险（2080505）机关事业单位职业年金（2080506）：指反映机关事业单位实施养老保险制度由单位缴纳的基本养老保险费支出和职业年金支出。</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8.</w:t>
      </w:r>
      <w:r>
        <w:rPr>
          <w:rFonts w:asciiTheme="majorEastAsia" w:eastAsiaTheme="majorEastAsia" w:hAnsiTheme="majorEastAsia" w:cs="仿宋_GB2312" w:hint="eastAsia"/>
          <w:sz w:val="32"/>
          <w:szCs w:val="32"/>
        </w:rPr>
        <w:t>医疗卫生与计划生育(210)医疗保障（21005）行政单位医疗（2100501）:指反映财政部门集中安排的行政单位基本医疗保险缴费经费，未参加医疗保险的行政单位的公费医疗经费，按国家规定享受离休人员、红军老战士待遇人员的医疗经费。</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lastRenderedPageBreak/>
        <w:t>9.</w:t>
      </w:r>
      <w:r>
        <w:rPr>
          <w:rFonts w:asciiTheme="majorEastAsia" w:eastAsiaTheme="majorEastAsia" w:hAnsiTheme="majorEastAsia" w:cs="仿宋_GB2312" w:hint="eastAsia"/>
          <w:sz w:val="32"/>
          <w:szCs w:val="32"/>
        </w:rPr>
        <w:t>商业服务业(2012801):反映除上述项目以外其他用于商品服务方面的支出。</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10.</w:t>
      </w:r>
      <w:r>
        <w:rPr>
          <w:rFonts w:asciiTheme="majorEastAsia" w:eastAsiaTheme="majorEastAsia" w:hAnsiTheme="majorEastAsia" w:cs="仿宋_GB2312" w:hint="eastAsia"/>
          <w:sz w:val="32"/>
          <w:szCs w:val="32"/>
        </w:rPr>
        <w:t>住房保障支出（221）住房改革支出（22102）住房公积金（2210201）：指反映行政事业单位按人力资源和社会保障部、财政部规定的基本工资和津贴补贴以及规定比例为职工缴纳的住房公积金。</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11.</w:t>
      </w:r>
      <w:r>
        <w:rPr>
          <w:rFonts w:asciiTheme="majorEastAsia" w:eastAsiaTheme="majorEastAsia" w:hAnsiTheme="majorEastAsia" w:cs="仿宋_GB2312" w:hint="eastAsia"/>
          <w:sz w:val="32"/>
          <w:szCs w:val="32"/>
        </w:rPr>
        <w:t>结余分配：指事业单位按规定提取的职工福利基金、事业基金和缴纳的所得税，以及建设单位按规定应交回的基本建设竣工项目结余资金。</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12.</w:t>
      </w:r>
      <w:r>
        <w:rPr>
          <w:rFonts w:asciiTheme="majorEastAsia" w:eastAsiaTheme="majorEastAsia" w:hAnsiTheme="majorEastAsia" w:cs="仿宋_GB2312" w:hint="eastAsia"/>
          <w:sz w:val="32"/>
          <w:szCs w:val="32"/>
        </w:rPr>
        <w:t>年末结转和结余：指本年度或以前年度预算安排、因客观条件发生变化无法按原计划实施，需延迟到以后年度按有关规定继续使用的资金。</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13.</w:t>
      </w:r>
      <w:r>
        <w:rPr>
          <w:rFonts w:asciiTheme="majorEastAsia" w:eastAsiaTheme="majorEastAsia" w:hAnsiTheme="majorEastAsia" w:cs="仿宋_GB2312" w:hint="eastAsia"/>
          <w:sz w:val="32"/>
          <w:szCs w:val="32"/>
        </w:rPr>
        <w:t>基本支出：指为保障机构正常运转、完成日常工作任务而发生的人员支出和公用支出。</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14.</w:t>
      </w:r>
      <w:r>
        <w:rPr>
          <w:rFonts w:asciiTheme="majorEastAsia" w:eastAsiaTheme="majorEastAsia" w:hAnsiTheme="majorEastAsia" w:cs="仿宋_GB2312" w:hint="eastAsia"/>
          <w:sz w:val="32"/>
          <w:szCs w:val="32"/>
        </w:rPr>
        <w:t xml:space="preserve">项目支出：指在基本支出之外为完成特定行政任务和事业发展目标所发生的支出。 </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15.</w:t>
      </w:r>
      <w:r>
        <w:rPr>
          <w:rFonts w:asciiTheme="majorEastAsia" w:eastAsiaTheme="majorEastAsia" w:hAnsiTheme="majorEastAsia" w:cs="仿宋_GB2312" w:hint="eastAsia"/>
          <w:sz w:val="32"/>
          <w:szCs w:val="32"/>
        </w:rPr>
        <w:t>经营支出：指事业单位在专业业务活动及其辅助活动之外开展非独立核算经营活动发生的支出。</w:t>
      </w:r>
    </w:p>
    <w:p w:rsidR="00E57291" w:rsidRDefault="0069342F">
      <w:pPr>
        <w:spacing w:line="576" w:lineRule="exact"/>
        <w:ind w:firstLineChars="200" w:firstLine="643"/>
        <w:rPr>
          <w:rFonts w:asciiTheme="majorEastAsia" w:eastAsiaTheme="majorEastAsia" w:hAnsiTheme="majorEastAsia" w:cs="仿宋_GB2312"/>
          <w:sz w:val="32"/>
          <w:szCs w:val="32"/>
        </w:rPr>
      </w:pPr>
      <w:r>
        <w:rPr>
          <w:rFonts w:asciiTheme="majorEastAsia" w:eastAsiaTheme="majorEastAsia" w:hAnsiTheme="majorEastAsia" w:cs="仿宋_GB2312" w:hint="eastAsia"/>
          <w:b/>
          <w:bCs/>
          <w:sz w:val="32"/>
          <w:szCs w:val="32"/>
        </w:rPr>
        <w:t>16.</w:t>
      </w:r>
      <w:r>
        <w:rPr>
          <w:rFonts w:asciiTheme="majorEastAsia" w:eastAsiaTheme="majorEastAsia" w:hAnsiTheme="majorEastAsia" w:cs="仿宋_GB2312"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w:t>
      </w:r>
      <w:r>
        <w:rPr>
          <w:rFonts w:asciiTheme="majorEastAsia" w:eastAsiaTheme="majorEastAsia" w:hAnsiTheme="majorEastAsia" w:cs="仿宋_GB2312" w:hint="eastAsia"/>
          <w:sz w:val="32"/>
          <w:szCs w:val="32"/>
        </w:rPr>
        <w:lastRenderedPageBreak/>
        <w:t>费、安全奖励费用等支出；公务接待费反映单位按规定开支的各类公务接待（含外宾接待）支出。</w:t>
      </w:r>
    </w:p>
    <w:p w:rsidR="00E57291" w:rsidRDefault="0069342F">
      <w:pPr>
        <w:spacing w:line="600" w:lineRule="exact"/>
        <w:ind w:firstLine="640"/>
        <w:rPr>
          <w:rFonts w:asciiTheme="majorEastAsia" w:eastAsiaTheme="majorEastAsia" w:hAnsiTheme="majorEastAsia"/>
          <w:b/>
          <w:color w:val="000000"/>
          <w:sz w:val="32"/>
          <w:szCs w:val="32"/>
        </w:rPr>
      </w:pPr>
      <w:r>
        <w:rPr>
          <w:rFonts w:asciiTheme="majorEastAsia" w:eastAsiaTheme="majorEastAsia" w:hAnsiTheme="majorEastAsia" w:cs="仿宋_GB2312" w:hint="eastAsia"/>
          <w:b/>
          <w:bCs/>
          <w:sz w:val="32"/>
          <w:szCs w:val="32"/>
        </w:rPr>
        <w:t>17.</w:t>
      </w:r>
      <w:r>
        <w:rPr>
          <w:rFonts w:asciiTheme="majorEastAsia" w:eastAsiaTheme="majorEastAsia" w:hAnsiTheme="majorEastAsia"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及其他费用。</w:t>
      </w:r>
    </w:p>
    <w:p w:rsidR="00E57291" w:rsidRDefault="00E57291">
      <w:pPr>
        <w:spacing w:line="560" w:lineRule="exact"/>
        <w:ind w:firstLineChars="200" w:firstLine="643"/>
        <w:rPr>
          <w:rFonts w:asciiTheme="majorEastAsia" w:eastAsiaTheme="majorEastAsia" w:hAnsiTheme="majorEastAsia" w:cs="仿宋_GB2312"/>
          <w:b/>
          <w:bCs/>
          <w:color w:val="000000"/>
          <w:sz w:val="32"/>
          <w:szCs w:val="32"/>
        </w:rPr>
      </w:pPr>
    </w:p>
    <w:p w:rsidR="00E57291" w:rsidRDefault="00E57291">
      <w:pPr>
        <w:spacing w:line="560" w:lineRule="exact"/>
        <w:ind w:firstLineChars="200" w:firstLine="643"/>
        <w:rPr>
          <w:rFonts w:asciiTheme="majorEastAsia" w:eastAsiaTheme="majorEastAsia" w:hAnsiTheme="majorEastAsia" w:cs="仿宋_GB2312"/>
          <w:b/>
          <w:bCs/>
          <w:color w:val="000000"/>
          <w:sz w:val="32"/>
          <w:szCs w:val="32"/>
        </w:rPr>
      </w:pPr>
    </w:p>
    <w:p w:rsidR="00E57291" w:rsidRDefault="00E57291">
      <w:pPr>
        <w:spacing w:line="560" w:lineRule="exact"/>
        <w:ind w:firstLineChars="200" w:firstLine="643"/>
        <w:rPr>
          <w:rFonts w:asciiTheme="majorEastAsia" w:eastAsiaTheme="majorEastAsia" w:hAnsiTheme="majorEastAsia" w:cs="仿宋_GB2312"/>
          <w:b/>
          <w:bCs/>
          <w:color w:val="000000"/>
          <w:sz w:val="32"/>
          <w:szCs w:val="32"/>
        </w:rPr>
      </w:pPr>
    </w:p>
    <w:p w:rsidR="00E57291" w:rsidRDefault="00E57291">
      <w:pPr>
        <w:spacing w:line="560" w:lineRule="exact"/>
        <w:ind w:firstLineChars="200" w:firstLine="643"/>
        <w:rPr>
          <w:rFonts w:asciiTheme="majorEastAsia" w:eastAsiaTheme="majorEastAsia" w:hAnsiTheme="majorEastAsia" w:cs="仿宋_GB2312"/>
          <w:b/>
          <w:bCs/>
          <w:color w:val="000000"/>
          <w:sz w:val="32"/>
          <w:szCs w:val="32"/>
        </w:rPr>
      </w:pPr>
    </w:p>
    <w:p w:rsidR="00E57291" w:rsidRDefault="00E57291">
      <w:pPr>
        <w:spacing w:line="560" w:lineRule="exact"/>
        <w:ind w:firstLineChars="200" w:firstLine="643"/>
        <w:rPr>
          <w:rFonts w:asciiTheme="majorEastAsia" w:eastAsiaTheme="majorEastAsia" w:hAnsiTheme="majorEastAsia" w:cs="仿宋_GB2312"/>
          <w:b/>
          <w:bCs/>
          <w:color w:val="000000"/>
          <w:sz w:val="32"/>
          <w:szCs w:val="32"/>
        </w:rPr>
      </w:pPr>
    </w:p>
    <w:bookmarkEnd w:id="1"/>
    <w:p w:rsidR="00E57291" w:rsidRDefault="00E57291">
      <w:pPr>
        <w:rPr>
          <w:rFonts w:asciiTheme="majorEastAsia" w:eastAsiaTheme="majorEastAsia" w:hAnsiTheme="majorEastAsia"/>
        </w:rPr>
      </w:pPr>
    </w:p>
    <w:sectPr w:rsidR="00E57291" w:rsidSect="00E57291">
      <w:headerReference w:type="default" r:id="rId13"/>
      <w:footerReference w:type="default" r:id="rId14"/>
      <w:pgSz w:w="11906" w:h="16838"/>
      <w:pgMar w:top="1134" w:right="1361" w:bottom="1134"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D1C" w:rsidRDefault="00DA0D1C" w:rsidP="00E57291">
      <w:r>
        <w:separator/>
      </w:r>
    </w:p>
  </w:endnote>
  <w:endnote w:type="continuationSeparator" w:id="0">
    <w:p w:rsidR="00DA0D1C" w:rsidRDefault="00DA0D1C" w:rsidP="00E572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charset w:val="86"/>
    <w:family w:val="modern"/>
    <w:pitch w:val="default"/>
    <w:sig w:usb0="00000000" w:usb1="0000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楷体_GB2312">
    <w:altName w:val="宋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291" w:rsidRDefault="00083697">
    <w:pPr>
      <w:pStyle w:val="a5"/>
      <w:jc w:val="center"/>
      <w:rPr>
        <w:rFonts w:ascii="Arial" w:hAnsi="Arial" w:cs="Arial"/>
        <w:sz w:val="24"/>
        <w:szCs w:val="24"/>
      </w:rPr>
    </w:pPr>
    <w:r>
      <w:rPr>
        <w:rFonts w:ascii="Arial" w:hAnsi="Arial" w:cs="Arial"/>
        <w:sz w:val="24"/>
        <w:szCs w:val="24"/>
      </w:rPr>
      <w:fldChar w:fldCharType="begin"/>
    </w:r>
    <w:r w:rsidR="0069342F">
      <w:rPr>
        <w:rFonts w:ascii="Arial" w:hAnsi="Arial" w:cs="Arial"/>
        <w:sz w:val="24"/>
        <w:szCs w:val="24"/>
      </w:rPr>
      <w:instrText xml:space="preserve"> PAGE   \* MERGEFORMAT </w:instrText>
    </w:r>
    <w:r>
      <w:rPr>
        <w:rFonts w:ascii="Arial" w:hAnsi="Arial" w:cs="Arial"/>
        <w:sz w:val="24"/>
        <w:szCs w:val="24"/>
      </w:rPr>
      <w:fldChar w:fldCharType="separate"/>
    </w:r>
    <w:r w:rsidR="00A84D33" w:rsidRPr="00A84D33">
      <w:rPr>
        <w:rFonts w:ascii="Arial" w:hAnsi="Arial" w:cs="Arial"/>
        <w:noProof/>
        <w:sz w:val="24"/>
        <w:szCs w:val="24"/>
        <w:lang w:val="zh-CN"/>
      </w:rPr>
      <w:t>15</w:t>
    </w:r>
    <w:r>
      <w:rPr>
        <w:rFonts w:ascii="Arial" w:hAnsi="Arial" w:cs="Arial"/>
        <w:sz w:val="24"/>
        <w:szCs w:val="24"/>
      </w:rPr>
      <w:fldChar w:fldCharType="end"/>
    </w:r>
  </w:p>
  <w:p w:rsidR="00E57291" w:rsidRDefault="00E5729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D1C" w:rsidRDefault="00DA0D1C" w:rsidP="00E57291">
      <w:r>
        <w:separator/>
      </w:r>
    </w:p>
  </w:footnote>
  <w:footnote w:type="continuationSeparator" w:id="0">
    <w:p w:rsidR="00DA0D1C" w:rsidRDefault="00DA0D1C" w:rsidP="00E57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291" w:rsidRDefault="00E57291">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2BBD"/>
    <w:rsid w:val="00083697"/>
    <w:rsid w:val="000C5E56"/>
    <w:rsid w:val="001972D7"/>
    <w:rsid w:val="00202190"/>
    <w:rsid w:val="002023A9"/>
    <w:rsid w:val="002F6C6F"/>
    <w:rsid w:val="003402A7"/>
    <w:rsid w:val="00542DD3"/>
    <w:rsid w:val="00574AF7"/>
    <w:rsid w:val="005C516A"/>
    <w:rsid w:val="0069342F"/>
    <w:rsid w:val="006B1FD8"/>
    <w:rsid w:val="0074717A"/>
    <w:rsid w:val="00776939"/>
    <w:rsid w:val="007F1CC6"/>
    <w:rsid w:val="008406AE"/>
    <w:rsid w:val="00852BBD"/>
    <w:rsid w:val="00901DC9"/>
    <w:rsid w:val="00A84D33"/>
    <w:rsid w:val="00AC4C2C"/>
    <w:rsid w:val="00AE5F30"/>
    <w:rsid w:val="00B933DF"/>
    <w:rsid w:val="00C43A0B"/>
    <w:rsid w:val="00CB0A53"/>
    <w:rsid w:val="00CD5D9C"/>
    <w:rsid w:val="00DA0D1C"/>
    <w:rsid w:val="00E57291"/>
    <w:rsid w:val="00E8202F"/>
    <w:rsid w:val="5B536E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29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E57291"/>
    <w:pPr>
      <w:spacing w:beforeLines="30"/>
    </w:pPr>
    <w:rPr>
      <w:rFonts w:ascii="仿宋_GB2312" w:eastAsia="仿宋_GB2312"/>
      <w:kern w:val="0"/>
      <w:sz w:val="30"/>
    </w:rPr>
  </w:style>
  <w:style w:type="paragraph" w:styleId="a4">
    <w:name w:val="Balloon Text"/>
    <w:basedOn w:val="a"/>
    <w:link w:val="Char0"/>
    <w:uiPriority w:val="99"/>
    <w:unhideWhenUsed/>
    <w:qFormat/>
    <w:rsid w:val="00E57291"/>
    <w:rPr>
      <w:sz w:val="18"/>
      <w:szCs w:val="18"/>
    </w:rPr>
  </w:style>
  <w:style w:type="paragraph" w:styleId="a5">
    <w:name w:val="footer"/>
    <w:basedOn w:val="a"/>
    <w:link w:val="Char1"/>
    <w:uiPriority w:val="99"/>
    <w:rsid w:val="00E57291"/>
    <w:pPr>
      <w:tabs>
        <w:tab w:val="center" w:pos="4153"/>
        <w:tab w:val="right" w:pos="8306"/>
      </w:tabs>
      <w:snapToGrid w:val="0"/>
      <w:jc w:val="left"/>
    </w:pPr>
    <w:rPr>
      <w:sz w:val="18"/>
      <w:szCs w:val="18"/>
    </w:rPr>
  </w:style>
  <w:style w:type="paragraph" w:styleId="a6">
    <w:name w:val="header"/>
    <w:basedOn w:val="a"/>
    <w:link w:val="Char2"/>
    <w:rsid w:val="00E57291"/>
    <w:pPr>
      <w:pBdr>
        <w:bottom w:val="single" w:sz="6" w:space="1" w:color="auto"/>
      </w:pBdr>
      <w:tabs>
        <w:tab w:val="center" w:pos="4153"/>
        <w:tab w:val="right" w:pos="8306"/>
      </w:tabs>
      <w:snapToGrid w:val="0"/>
      <w:jc w:val="center"/>
    </w:pPr>
    <w:rPr>
      <w:sz w:val="18"/>
      <w:szCs w:val="18"/>
    </w:rPr>
  </w:style>
  <w:style w:type="character" w:styleId="a7">
    <w:name w:val="Strong"/>
    <w:uiPriority w:val="22"/>
    <w:qFormat/>
    <w:rsid w:val="00E57291"/>
    <w:rPr>
      <w:b/>
      <w:bCs/>
    </w:rPr>
  </w:style>
  <w:style w:type="character" w:customStyle="1" w:styleId="Char2">
    <w:name w:val="页眉 Char"/>
    <w:basedOn w:val="a0"/>
    <w:link w:val="a6"/>
    <w:rsid w:val="00E57291"/>
    <w:rPr>
      <w:rFonts w:ascii="Times New Roman" w:eastAsia="宋体" w:hAnsi="Times New Roman" w:cs="Times New Roman"/>
      <w:sz w:val="18"/>
      <w:szCs w:val="18"/>
    </w:rPr>
  </w:style>
  <w:style w:type="character" w:customStyle="1" w:styleId="Char1">
    <w:name w:val="页脚 Char"/>
    <w:basedOn w:val="a0"/>
    <w:link w:val="a5"/>
    <w:uiPriority w:val="99"/>
    <w:rsid w:val="00E57291"/>
    <w:rPr>
      <w:rFonts w:ascii="Times New Roman" w:eastAsia="宋体" w:hAnsi="Times New Roman" w:cs="Times New Roman"/>
      <w:sz w:val="18"/>
      <w:szCs w:val="18"/>
    </w:rPr>
  </w:style>
  <w:style w:type="character" w:customStyle="1" w:styleId="Char0">
    <w:name w:val="批注框文本 Char"/>
    <w:basedOn w:val="a0"/>
    <w:link w:val="a4"/>
    <w:uiPriority w:val="99"/>
    <w:semiHidden/>
    <w:qFormat/>
    <w:rsid w:val="00E57291"/>
    <w:rPr>
      <w:rFonts w:ascii="Times New Roman" w:eastAsia="宋体" w:hAnsi="Times New Roman" w:cs="Times New Roman"/>
      <w:sz w:val="18"/>
      <w:szCs w:val="18"/>
    </w:rPr>
  </w:style>
  <w:style w:type="character" w:customStyle="1" w:styleId="Char">
    <w:name w:val="正文文本 Char"/>
    <w:basedOn w:val="a0"/>
    <w:link w:val="a3"/>
    <w:rsid w:val="00E57291"/>
    <w:rPr>
      <w:rFonts w:ascii="仿宋_GB2312" w:eastAsia="仿宋_GB2312" w:hAnsi="Times New Roman" w:cs="Times New Roman"/>
      <w:kern w:val="0"/>
      <w:sz w:val="30"/>
      <w:szCs w:val="24"/>
    </w:rPr>
  </w:style>
  <w:style w:type="paragraph" w:customStyle="1" w:styleId="Default">
    <w:name w:val="Default"/>
    <w:qFormat/>
    <w:rsid w:val="00E57291"/>
    <w:pPr>
      <w:widowControl w:val="0"/>
      <w:autoSpaceDE w:val="0"/>
      <w:autoSpaceDN w:val="0"/>
      <w:adjustRightInd w:val="0"/>
    </w:pPr>
    <w:rPr>
      <w:rFonts w:ascii="仿宋" w:eastAsia="仿宋" w:hAnsi="Calibri" w:cs="仿宋"/>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1100</Words>
  <Characters>6271</Characters>
  <Application>Microsoft Office Word</Application>
  <DocSecurity>0</DocSecurity>
  <Lines>52</Lines>
  <Paragraphs>14</Paragraphs>
  <ScaleCrop>false</ScaleCrop>
  <Company>Sky123.Org</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Administrator</cp:lastModifiedBy>
  <cp:revision>6</cp:revision>
  <cp:lastPrinted>2018-08-10T00:26:00Z</cp:lastPrinted>
  <dcterms:created xsi:type="dcterms:W3CDTF">2018-08-09T10:00:00Z</dcterms:created>
  <dcterms:modified xsi:type="dcterms:W3CDTF">2018-08-13T09:56:00Z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