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 xml:space="preserve">四川省阿坝州金川县交通运输局        </w:t>
      </w:r>
    </w:p>
    <w:p>
      <w:pPr>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2017年农村公路养护资金</w:t>
      </w:r>
    </w:p>
    <w:p>
      <w:pPr>
        <w:spacing w:line="940" w:lineRule="atLeast"/>
        <w:jc w:val="center"/>
        <w:rPr>
          <w:rFonts w:hint="eastAsia" w:ascii="华文行楷" w:hAnsi="华文行楷" w:eastAsia="华文行楷" w:cs="华文行楷"/>
          <w:b/>
          <w:color w:val="auto"/>
          <w:sz w:val="52"/>
          <w:szCs w:val="52"/>
        </w:rPr>
      </w:pPr>
      <w:r>
        <w:rPr>
          <w:rFonts w:hint="eastAsia" w:ascii="华文行楷" w:hAnsi="华文行楷" w:eastAsia="华文行楷" w:cs="华文行楷"/>
          <w:b/>
          <w:color w:val="auto"/>
          <w:sz w:val="52"/>
          <w:szCs w:val="52"/>
          <w:lang w:val="en-US" w:eastAsia="zh-CN"/>
        </w:rPr>
        <w:t>绩效评价</w:t>
      </w:r>
      <w:r>
        <w:rPr>
          <w:rFonts w:hint="eastAsia" w:ascii="华文行楷" w:hAnsi="华文行楷" w:eastAsia="华文行楷" w:cs="华文行楷"/>
          <w:b/>
          <w:color w:val="auto"/>
          <w:sz w:val="52"/>
          <w:szCs w:val="52"/>
        </w:rPr>
        <w:t>报告书</w:t>
      </w: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r>
        <w:rPr>
          <w:rFonts w:ascii="隶书" w:hAnsi="Courier New" w:eastAsia="隶书"/>
          <w:color w:val="auto"/>
          <w:spacing w:val="20"/>
          <w:sz w:val="36"/>
          <w:szCs w:val="36"/>
        </w:rPr>
        <w:drawing>
          <wp:inline distT="0" distB="0" distL="114300" distR="114300">
            <wp:extent cx="3466465" cy="1506220"/>
            <wp:effectExtent l="0" t="0" r="635" b="17780"/>
            <wp:docPr id="1" name="图片 1" descr="中兴华会计师事务所所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兴华会计师事务所所标1"/>
                    <pic:cNvPicPr>
                      <a:picLocks noChangeAspect="1"/>
                    </pic:cNvPicPr>
                  </pic:nvPicPr>
                  <pic:blipFill>
                    <a:blip r:embed="rId5"/>
                    <a:stretch>
                      <a:fillRect/>
                    </a:stretch>
                  </pic:blipFill>
                  <pic:spPr>
                    <a:xfrm>
                      <a:off x="0" y="0"/>
                      <a:ext cx="3466465" cy="1506220"/>
                    </a:xfrm>
                    <a:prstGeom prst="rect">
                      <a:avLst/>
                    </a:prstGeom>
                    <a:noFill/>
                    <a:ln w="9525">
                      <a:noFill/>
                    </a:ln>
                  </pic:spPr>
                </pic:pic>
              </a:graphicData>
            </a:graphic>
          </wp:inline>
        </w:drawing>
      </w: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p>
    <w:p>
      <w:pPr>
        <w:spacing w:line="800" w:lineRule="atLeast"/>
        <w:jc w:val="both"/>
        <w:rPr>
          <w:rFonts w:hint="eastAsia" w:ascii="Arial" w:hAnsi="Arial" w:eastAsia="华文新魏" w:cs="Arial"/>
          <w:color w:val="auto"/>
          <w:sz w:val="48"/>
        </w:rPr>
      </w:pPr>
    </w:p>
    <w:p>
      <w:pPr>
        <w:rPr>
          <w:rFonts w:hint="eastAsia"/>
          <w:color w:val="auto"/>
        </w:rPr>
      </w:pPr>
    </w:p>
    <w:p>
      <w:pPr>
        <w:jc w:val="center"/>
        <w:rPr>
          <w:rFonts w:hint="eastAsia" w:eastAsia="华文行楷"/>
          <w:b/>
          <w:bCs/>
          <w:color w:val="auto"/>
          <w:sz w:val="44"/>
        </w:rPr>
      </w:pPr>
      <w:r>
        <w:rPr>
          <w:rFonts w:hint="eastAsia" w:eastAsia="华文行楷"/>
          <w:b/>
          <w:bCs/>
          <w:color w:val="auto"/>
          <w:sz w:val="44"/>
        </w:rPr>
        <w:t>中兴华会计师事务所(特殊普通合伙)</w:t>
      </w:r>
    </w:p>
    <w:p>
      <w:pPr>
        <w:jc w:val="center"/>
        <w:rPr>
          <w:rFonts w:hint="eastAsia"/>
          <w:color w:val="auto"/>
          <w:sz w:val="28"/>
        </w:rPr>
      </w:pPr>
      <w:r>
        <w:rPr>
          <w:rFonts w:hint="eastAsia"/>
          <w:color w:val="auto"/>
          <w:sz w:val="28"/>
        </w:rPr>
        <w:t>ZHONGXINGHAU CERTIFIED PUBLIC ACCOUNTANTS LLP</w:t>
      </w:r>
    </w:p>
    <w:p>
      <w:pPr>
        <w:spacing w:line="160" w:lineRule="exact"/>
        <w:rPr>
          <w:rFonts w:ascii="黑体" w:eastAsia="黑体"/>
          <w:color w:val="auto"/>
          <w:w w:val="90"/>
          <w:sz w:val="28"/>
        </w:rPr>
      </w:pPr>
    </w:p>
    <w:p>
      <w:pPr>
        <w:spacing w:line="600" w:lineRule="atLeast"/>
        <w:rPr>
          <w:rFonts w:hint="eastAsia" w:ascii="黑体" w:eastAsia="黑体"/>
          <w:color w:val="auto"/>
          <w:w w:val="90"/>
          <w:sz w:val="28"/>
        </w:rPr>
      </w:pPr>
      <w:r>
        <w:rPr>
          <w:rFonts w:hint="eastAsia" w:ascii="黑体" w:eastAsia="黑体"/>
          <w:color w:val="auto"/>
          <w:w w:val="90"/>
          <w:sz w:val="28"/>
        </w:rPr>
        <w:t>地址：</w:t>
      </w:r>
      <w:r>
        <w:rPr>
          <w:rFonts w:hint="eastAsia" w:ascii="黑体" w:eastAsia="黑体"/>
          <w:color w:val="auto"/>
          <w:w w:val="90"/>
          <w:sz w:val="28"/>
          <w:lang w:eastAsia="zh-CN"/>
        </w:rPr>
        <w:t>成都市金牛区蜀西路</w:t>
      </w:r>
      <w:r>
        <w:rPr>
          <w:rFonts w:hint="eastAsia" w:ascii="黑体" w:eastAsia="黑体"/>
          <w:color w:val="auto"/>
          <w:w w:val="90"/>
          <w:sz w:val="28"/>
          <w:lang w:val="en-US" w:eastAsia="zh-CN"/>
        </w:rPr>
        <w:t>49号盛大国际3幢4楼401</w:t>
      </w:r>
      <w:r>
        <w:rPr>
          <w:rFonts w:hint="eastAsia" w:ascii="黑体" w:eastAsia="黑体"/>
          <w:color w:val="auto"/>
          <w:w w:val="90"/>
          <w:sz w:val="28"/>
        </w:rPr>
        <w:t xml:space="preserve"> </w:t>
      </w:r>
      <w:r>
        <w:rPr>
          <w:rFonts w:ascii="黑体" w:eastAsia="黑体"/>
          <w:color w:val="auto"/>
          <w:w w:val="90"/>
          <w:sz w:val="24"/>
        </w:rPr>
        <w:t xml:space="preserve"> </w:t>
      </w:r>
      <w:r>
        <w:rPr>
          <w:rFonts w:hint="eastAsia" w:ascii="黑体" w:eastAsia="黑体"/>
          <w:color w:val="auto"/>
          <w:w w:val="90"/>
          <w:sz w:val="24"/>
        </w:rPr>
        <w:t xml:space="preserve">    </w:t>
      </w:r>
      <w:r>
        <w:rPr>
          <w:rFonts w:ascii="黑体" w:eastAsia="黑体"/>
          <w:color w:val="auto"/>
          <w:w w:val="90"/>
          <w:sz w:val="24"/>
        </w:rPr>
        <w:t xml:space="preserve"> </w:t>
      </w:r>
      <w:r>
        <w:rPr>
          <w:rFonts w:ascii="黑体" w:eastAsia="黑体"/>
          <w:color w:val="auto"/>
          <w:w w:val="90"/>
          <w:sz w:val="28"/>
        </w:rPr>
        <w:t xml:space="preserve"> </w:t>
      </w:r>
      <w:r>
        <w:rPr>
          <w:rFonts w:hint="eastAsia" w:ascii="黑体" w:eastAsia="黑体"/>
          <w:color w:val="auto"/>
          <w:w w:val="90"/>
          <w:sz w:val="28"/>
        </w:rPr>
        <w:t>邮编：</w:t>
      </w:r>
      <w:r>
        <w:rPr>
          <w:rFonts w:hint="eastAsia" w:ascii="黑体" w:eastAsia="黑体"/>
          <w:color w:val="auto"/>
          <w:w w:val="90"/>
          <w:sz w:val="28"/>
          <w:lang w:val="en-US" w:eastAsia="zh-CN"/>
        </w:rPr>
        <w:t>610037</w:t>
      </w:r>
    </w:p>
    <w:p>
      <w:pPr>
        <w:spacing w:line="600" w:lineRule="atLeast"/>
        <w:rPr>
          <w:rFonts w:ascii="黑体" w:eastAsia="黑体"/>
          <w:color w:val="auto"/>
          <w:w w:val="90"/>
          <w:sz w:val="28"/>
        </w:rPr>
      </w:pPr>
      <w:r>
        <w:rPr>
          <w:rFonts w:hint="eastAsia" w:ascii="黑体" w:eastAsia="黑体"/>
          <w:color w:val="auto"/>
          <w:w w:val="90"/>
          <w:sz w:val="28"/>
        </w:rPr>
        <w:t>电话：</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87779320</w:t>
      </w:r>
      <w:r>
        <w:rPr>
          <w:rFonts w:hint="eastAsia" w:ascii="黑体" w:eastAsia="黑体"/>
          <w:color w:val="auto"/>
          <w:w w:val="90"/>
          <w:sz w:val="28"/>
          <w:lang w:val="en-US" w:eastAsia="zh-CN"/>
        </w:rPr>
        <w:t>\18190919202</w:t>
      </w:r>
      <w:r>
        <w:rPr>
          <w:rFonts w:ascii="黑体" w:eastAsia="黑体"/>
          <w:color w:val="auto"/>
          <w:w w:val="90"/>
          <w:sz w:val="28"/>
        </w:rPr>
        <w:t xml:space="preserve">         </w:t>
      </w:r>
      <w:r>
        <w:rPr>
          <w:rFonts w:hint="eastAsia" w:ascii="黑体" w:eastAsia="黑体"/>
          <w:color w:val="auto"/>
          <w:w w:val="90"/>
          <w:sz w:val="28"/>
        </w:rPr>
        <w:t xml:space="preserve"> </w:t>
      </w:r>
      <w:r>
        <w:rPr>
          <w:rFonts w:ascii="黑体" w:eastAsia="黑体"/>
          <w:color w:val="auto"/>
          <w:w w:val="90"/>
          <w:sz w:val="28"/>
        </w:rPr>
        <w:t xml:space="preserve">   </w:t>
      </w:r>
      <w:r>
        <w:rPr>
          <w:rFonts w:hint="eastAsia" w:ascii="黑体" w:eastAsia="黑体"/>
          <w:color w:val="auto"/>
          <w:w w:val="90"/>
          <w:sz w:val="28"/>
        </w:rPr>
        <w:t xml:space="preserve">   传真：</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87776280</w:t>
      </w:r>
    </w:p>
    <w:p>
      <w:pPr>
        <w:snapToGrid w:val="0"/>
        <w:spacing w:line="400" w:lineRule="exact"/>
        <w:jc w:val="center"/>
        <w:rPr>
          <w:rFonts w:hint="eastAsia" w:ascii="宋体" w:hAnsi="宋体" w:eastAsia="宋体"/>
          <w:b/>
          <w:color w:val="auto"/>
          <w:sz w:val="28"/>
          <w:szCs w:val="30"/>
        </w:rPr>
      </w:pPr>
    </w:p>
    <w:p>
      <w:pPr>
        <w:snapToGrid w:val="0"/>
        <w:spacing w:line="400" w:lineRule="exact"/>
        <w:jc w:val="center"/>
        <w:rPr>
          <w:rFonts w:hint="eastAsia" w:ascii="宋体" w:hAnsi="宋体" w:eastAsia="宋体"/>
          <w:b/>
          <w:color w:val="auto"/>
          <w:sz w:val="28"/>
          <w:szCs w:val="30"/>
        </w:rPr>
      </w:pPr>
    </w:p>
    <w:p>
      <w:pPr>
        <w:snapToGrid w:val="0"/>
        <w:spacing w:line="400" w:lineRule="exact"/>
        <w:jc w:val="center"/>
        <w:rPr>
          <w:rFonts w:hint="eastAsia" w:ascii="宋体" w:hAnsi="宋体" w:eastAsia="宋体"/>
          <w:b/>
          <w:color w:val="auto"/>
          <w:sz w:val="28"/>
          <w:szCs w:val="30"/>
        </w:rPr>
      </w:pPr>
    </w:p>
    <w:p>
      <w:pPr>
        <w:snapToGrid w:val="0"/>
        <w:spacing w:line="400" w:lineRule="exact"/>
        <w:jc w:val="center"/>
        <w:rPr>
          <w:rFonts w:hint="eastAsia" w:ascii="宋体" w:hAnsi="宋体" w:eastAsia="宋体"/>
          <w:b/>
          <w:color w:val="auto"/>
          <w:sz w:val="36"/>
          <w:szCs w:val="36"/>
          <w:lang w:val="en-US" w:eastAsia="zh-CN"/>
        </w:rPr>
      </w:pPr>
      <w:r>
        <w:rPr>
          <w:rFonts w:hint="eastAsia" w:ascii="宋体" w:hAnsi="宋体" w:eastAsia="宋体"/>
          <w:b/>
          <w:color w:val="auto"/>
          <w:sz w:val="36"/>
          <w:szCs w:val="36"/>
          <w:lang w:val="en-US" w:eastAsia="zh-CN"/>
        </w:rPr>
        <w:t>金川县交通运输局</w:t>
      </w:r>
    </w:p>
    <w:p>
      <w:pPr>
        <w:snapToGrid w:val="0"/>
        <w:spacing w:line="400" w:lineRule="exact"/>
        <w:jc w:val="center"/>
        <w:rPr>
          <w:rFonts w:ascii="宋体" w:hAnsi="宋体" w:eastAsia="宋体"/>
          <w:b/>
          <w:color w:val="auto"/>
          <w:sz w:val="36"/>
          <w:szCs w:val="36"/>
        </w:rPr>
      </w:pPr>
      <w:r>
        <w:rPr>
          <w:rFonts w:hint="eastAsia" w:ascii="宋体" w:hAnsi="宋体" w:eastAsia="宋体"/>
          <w:b/>
          <w:color w:val="auto"/>
          <w:sz w:val="36"/>
          <w:szCs w:val="36"/>
          <w:lang w:val="en-US" w:eastAsia="zh-CN"/>
        </w:rPr>
        <w:t>2017年农村公路养护资金</w:t>
      </w:r>
      <w:r>
        <w:rPr>
          <w:rFonts w:ascii="宋体" w:hAnsi="宋体" w:eastAsia="宋体"/>
          <w:b/>
          <w:color w:val="auto"/>
          <w:sz w:val="36"/>
          <w:szCs w:val="36"/>
        </w:rPr>
        <w:t>绩效</w:t>
      </w:r>
      <w:r>
        <w:rPr>
          <w:rFonts w:hint="eastAsia" w:ascii="宋体" w:hAnsi="宋体" w:eastAsia="宋体"/>
          <w:b/>
          <w:color w:val="auto"/>
          <w:sz w:val="36"/>
          <w:szCs w:val="36"/>
        </w:rPr>
        <w:t>评价</w:t>
      </w:r>
      <w:r>
        <w:rPr>
          <w:rFonts w:ascii="宋体" w:hAnsi="宋体" w:eastAsia="宋体"/>
          <w:b/>
          <w:color w:val="auto"/>
          <w:sz w:val="36"/>
          <w:szCs w:val="36"/>
        </w:rPr>
        <w:t>报告</w:t>
      </w:r>
    </w:p>
    <w:p>
      <w:pPr>
        <w:spacing w:line="578" w:lineRule="exact"/>
        <w:jc w:val="both"/>
        <w:rPr>
          <w:rFonts w:hint="eastAsia" w:ascii="宋体" w:hAnsi="宋体" w:eastAsia="仿宋_GB2312"/>
          <w:b/>
          <w:bCs/>
          <w:color w:val="auto"/>
          <w:sz w:val="24"/>
          <w:szCs w:val="24"/>
          <w:lang w:val="en-US" w:eastAsia="zh-CN"/>
        </w:rPr>
      </w:pPr>
      <w:r>
        <w:rPr>
          <w:rFonts w:hint="eastAsia" w:ascii="宋体" w:hAnsi="宋体"/>
          <w:b/>
          <w:bCs/>
          <w:color w:val="auto"/>
          <w:sz w:val="24"/>
          <w:szCs w:val="24"/>
          <w:lang w:val="en-US" w:eastAsia="zh-CN"/>
        </w:rPr>
        <w:t>金川县财政局: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rPr>
      </w:pPr>
      <w:r>
        <w:rPr>
          <w:rFonts w:hint="eastAsia" w:ascii="宋体" w:hAnsi="宋体"/>
          <w:color w:val="auto"/>
          <w:sz w:val="24"/>
          <w:szCs w:val="24"/>
        </w:rPr>
        <w:t>我们接受委托，对</w:t>
      </w:r>
      <w:r>
        <w:rPr>
          <w:rFonts w:hint="eastAsia" w:ascii="宋体" w:hAnsi="宋体"/>
          <w:color w:val="auto"/>
          <w:sz w:val="24"/>
          <w:szCs w:val="24"/>
          <w:lang w:val="en-US" w:eastAsia="zh-CN"/>
        </w:rPr>
        <w:t>金川县交通运输局“</w:t>
      </w:r>
      <w:r>
        <w:rPr>
          <w:rFonts w:hint="eastAsia" w:ascii="宋体" w:hAnsi="宋体"/>
          <w:color w:val="auto"/>
          <w:sz w:val="24"/>
          <w:szCs w:val="24"/>
        </w:rPr>
        <w:t>关于201</w:t>
      </w:r>
      <w:r>
        <w:rPr>
          <w:rFonts w:hint="eastAsia" w:ascii="宋体" w:hAnsi="宋体"/>
          <w:color w:val="auto"/>
          <w:sz w:val="24"/>
          <w:szCs w:val="24"/>
          <w:lang w:val="en-US" w:eastAsia="zh-CN"/>
        </w:rPr>
        <w:t>7</w:t>
      </w:r>
      <w:r>
        <w:rPr>
          <w:rFonts w:hint="eastAsia" w:ascii="宋体" w:hAnsi="宋体"/>
          <w:color w:val="auto"/>
          <w:sz w:val="24"/>
          <w:szCs w:val="24"/>
        </w:rPr>
        <w:t>年</w:t>
      </w:r>
      <w:r>
        <w:rPr>
          <w:rFonts w:hint="eastAsia" w:ascii="宋体" w:hAnsi="宋体"/>
          <w:color w:val="auto"/>
          <w:sz w:val="24"/>
          <w:szCs w:val="24"/>
          <w:lang w:val="en-US" w:eastAsia="zh-CN"/>
        </w:rPr>
        <w:t>农村公路养护资金”</w:t>
      </w:r>
      <w:r>
        <w:rPr>
          <w:rFonts w:hint="eastAsia" w:ascii="宋体" w:hAnsi="宋体"/>
          <w:color w:val="auto"/>
          <w:sz w:val="24"/>
          <w:szCs w:val="24"/>
        </w:rPr>
        <w:t>(以下简称“该项目</w:t>
      </w:r>
      <w:r>
        <w:rPr>
          <w:rFonts w:hint="eastAsia" w:ascii="宋体" w:hAnsi="宋体"/>
          <w:color w:val="auto"/>
          <w:sz w:val="24"/>
          <w:szCs w:val="24"/>
          <w:lang w:val="en-US" w:eastAsia="zh-CN"/>
        </w:rPr>
        <w:t>或项目</w:t>
      </w:r>
      <w:r>
        <w:rPr>
          <w:rFonts w:hint="eastAsia" w:ascii="宋体" w:hAnsi="宋体"/>
          <w:color w:val="auto"/>
          <w:sz w:val="24"/>
          <w:szCs w:val="24"/>
        </w:rPr>
        <w:t>”)</w:t>
      </w:r>
      <w:r>
        <w:rPr>
          <w:rFonts w:hint="eastAsia" w:ascii="宋体" w:hAnsi="宋体"/>
          <w:color w:val="auto"/>
          <w:sz w:val="24"/>
          <w:szCs w:val="24"/>
          <w:lang w:val="en-US" w:eastAsia="zh-CN"/>
        </w:rPr>
        <w:t>进行了绩效评价。</w:t>
      </w:r>
      <w:r>
        <w:rPr>
          <w:rFonts w:hint="eastAsia" w:ascii="宋体" w:hAnsi="宋体"/>
          <w:color w:val="auto"/>
          <w:sz w:val="24"/>
          <w:szCs w:val="24"/>
        </w:rPr>
        <w:t>提供该项目有关</w:t>
      </w:r>
      <w:r>
        <w:rPr>
          <w:rFonts w:ascii="宋体" w:hAnsi="宋体"/>
          <w:color w:val="auto"/>
          <w:sz w:val="24"/>
          <w:szCs w:val="24"/>
        </w:rPr>
        <w:t>的真实、合法、完整</w:t>
      </w:r>
      <w:r>
        <w:rPr>
          <w:rFonts w:hint="eastAsia" w:ascii="宋体" w:hAnsi="宋体"/>
          <w:color w:val="auto"/>
          <w:sz w:val="24"/>
          <w:szCs w:val="24"/>
          <w:lang w:val="zh-CN"/>
        </w:rPr>
        <w:t>的专项</w:t>
      </w:r>
      <w:r>
        <w:rPr>
          <w:rFonts w:hint="eastAsia" w:ascii="宋体" w:hAnsi="宋体"/>
          <w:color w:val="auto"/>
          <w:sz w:val="24"/>
          <w:szCs w:val="24"/>
        </w:rPr>
        <w:t>资金</w:t>
      </w:r>
      <w:r>
        <w:rPr>
          <w:rFonts w:hint="eastAsia" w:ascii="宋体" w:hAnsi="宋体"/>
          <w:color w:val="auto"/>
          <w:sz w:val="24"/>
          <w:szCs w:val="24"/>
          <w:lang w:val="zh-CN"/>
        </w:rPr>
        <w:t>收支的财务资料以及相关的文件</w:t>
      </w:r>
      <w:r>
        <w:rPr>
          <w:rFonts w:ascii="宋体" w:hAnsi="宋体"/>
          <w:color w:val="auto"/>
          <w:sz w:val="24"/>
          <w:szCs w:val="24"/>
        </w:rPr>
        <w:t>是</w:t>
      </w:r>
      <w:r>
        <w:rPr>
          <w:rFonts w:hint="eastAsia" w:ascii="宋体" w:hAnsi="宋体"/>
          <w:color w:val="auto"/>
          <w:sz w:val="24"/>
          <w:szCs w:val="24"/>
          <w:lang w:val="en-US" w:eastAsia="zh-CN"/>
        </w:rPr>
        <w:t>金川县交通运输局的</w:t>
      </w:r>
      <w:r>
        <w:rPr>
          <w:rFonts w:ascii="宋体" w:hAnsi="宋体"/>
          <w:color w:val="auto"/>
          <w:sz w:val="24"/>
          <w:szCs w:val="24"/>
        </w:rPr>
        <w:t>的责任，我们的责任</w:t>
      </w:r>
      <w:r>
        <w:rPr>
          <w:rFonts w:hint="eastAsia" w:ascii="宋体" w:hAnsi="宋体"/>
          <w:color w:val="auto"/>
          <w:sz w:val="24"/>
          <w:szCs w:val="24"/>
        </w:rPr>
        <w:t>是</w:t>
      </w:r>
      <w:r>
        <w:rPr>
          <w:rFonts w:ascii="宋体" w:hAnsi="宋体"/>
          <w:color w:val="auto"/>
          <w:sz w:val="24"/>
          <w:szCs w:val="24"/>
        </w:rPr>
        <w:t>本着独立、客观、公正的原则，在实施必要</w:t>
      </w:r>
      <w:r>
        <w:rPr>
          <w:rFonts w:hint="eastAsia" w:ascii="宋体" w:hAnsi="宋体"/>
          <w:color w:val="auto"/>
          <w:sz w:val="24"/>
          <w:szCs w:val="24"/>
        </w:rPr>
        <w:t>评价</w:t>
      </w:r>
      <w:r>
        <w:rPr>
          <w:rFonts w:ascii="宋体" w:hAnsi="宋体"/>
          <w:color w:val="auto"/>
          <w:sz w:val="24"/>
          <w:szCs w:val="24"/>
        </w:rPr>
        <w:t>程序的基础上发表</w:t>
      </w:r>
      <w:r>
        <w:rPr>
          <w:rFonts w:hint="eastAsia" w:ascii="宋体" w:hAnsi="宋体"/>
          <w:color w:val="auto"/>
          <w:sz w:val="24"/>
          <w:szCs w:val="24"/>
        </w:rPr>
        <w:t>评价</w:t>
      </w:r>
      <w:r>
        <w:rPr>
          <w:rFonts w:ascii="宋体" w:hAnsi="宋体"/>
          <w:color w:val="auto"/>
          <w:sz w:val="24"/>
          <w:szCs w:val="24"/>
        </w:rPr>
        <w:t>意见。</w:t>
      </w:r>
      <w:r>
        <w:rPr>
          <w:rFonts w:hint="eastAsia" w:ascii="宋体" w:hAnsi="宋体"/>
          <w:color w:val="auto"/>
          <w:sz w:val="24"/>
          <w:szCs w:val="24"/>
        </w:rPr>
        <w:t>我们的评价是依据财政部《财政支出绩效评价管理暂行办法》(财预〔2011〕285号）</w:t>
      </w:r>
      <w:r>
        <w:rPr>
          <w:rFonts w:hint="eastAsia" w:ascii="宋体" w:hAnsi="宋体"/>
          <w:color w:val="auto"/>
          <w:sz w:val="24"/>
          <w:szCs w:val="24"/>
          <w:lang w:val="en-US" w:eastAsia="zh-CN"/>
        </w:rPr>
        <w:t>和四川省财政厅《关于四川省财政支出绩效评价操作规程（试行）》（川财绩</w:t>
      </w:r>
      <w:r>
        <w:rPr>
          <w:rFonts w:hint="eastAsia" w:ascii="宋体" w:hAnsi="宋体"/>
          <w:color w:val="auto"/>
          <w:sz w:val="24"/>
          <w:szCs w:val="24"/>
        </w:rPr>
        <w:t>〔201</w:t>
      </w:r>
      <w:r>
        <w:rPr>
          <w:rFonts w:hint="eastAsia" w:ascii="宋体" w:hAnsi="宋体"/>
          <w:color w:val="auto"/>
          <w:sz w:val="24"/>
          <w:szCs w:val="24"/>
          <w:lang w:val="en-US" w:eastAsia="zh-CN"/>
        </w:rPr>
        <w:t>8</w:t>
      </w:r>
      <w:r>
        <w:rPr>
          <w:rFonts w:hint="eastAsia" w:ascii="宋体" w:hAnsi="宋体"/>
          <w:color w:val="auto"/>
          <w:sz w:val="24"/>
          <w:szCs w:val="24"/>
        </w:rPr>
        <w:t>〕</w:t>
      </w:r>
      <w:r>
        <w:rPr>
          <w:rFonts w:hint="eastAsia" w:ascii="宋体" w:hAnsi="宋体"/>
          <w:color w:val="auto"/>
          <w:sz w:val="24"/>
          <w:szCs w:val="24"/>
          <w:lang w:val="en-US" w:eastAsia="zh-CN"/>
        </w:rPr>
        <w:t>2号）、</w:t>
      </w:r>
      <w:r>
        <w:rPr>
          <w:rFonts w:hint="eastAsia" w:ascii="宋体" w:hAnsi="宋体"/>
          <w:color w:val="auto"/>
          <w:sz w:val="24"/>
          <w:szCs w:val="24"/>
          <w:highlight w:val="none"/>
          <w:lang w:val="en-US" w:eastAsia="zh-CN"/>
        </w:rPr>
        <w:t>《农村公路养护管理办法》</w:t>
      </w:r>
      <w:r>
        <w:rPr>
          <w:rFonts w:hint="eastAsia" w:ascii="宋体" w:hAnsi="宋体"/>
          <w:color w:val="auto"/>
          <w:sz w:val="24"/>
          <w:szCs w:val="24"/>
        </w:rPr>
        <w:t>进行的。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olor w:val="auto"/>
          <w:sz w:val="24"/>
          <w:szCs w:val="24"/>
        </w:rPr>
      </w:pPr>
      <w:r>
        <w:rPr>
          <w:rFonts w:hint="eastAsia" w:ascii="宋体" w:hAnsi="宋体"/>
          <w:color w:val="auto"/>
          <w:sz w:val="24"/>
          <w:szCs w:val="24"/>
        </w:rPr>
        <w:t>在评价过程中，我们结合该项目的实际情况，实施了包括检查会计记录、</w:t>
      </w:r>
      <w:r>
        <w:rPr>
          <w:rFonts w:hint="eastAsia" w:ascii="宋体" w:hAnsi="宋体"/>
          <w:color w:val="auto"/>
          <w:sz w:val="24"/>
          <w:szCs w:val="24"/>
          <w:lang w:val="en-US" w:eastAsia="zh-CN"/>
        </w:rPr>
        <w:t>实地查看、</w:t>
      </w:r>
      <w:r>
        <w:rPr>
          <w:rFonts w:hint="eastAsia" w:ascii="宋体" w:hAnsi="宋体"/>
          <w:color w:val="auto"/>
          <w:sz w:val="24"/>
          <w:szCs w:val="24"/>
        </w:rPr>
        <w:t>核实和调阅上级文件等我们认为必要的评价程序。我们相信，我们的工作为发表评价意见提供了合理的基础。</w:t>
      </w:r>
    </w:p>
    <w:p>
      <w:pPr>
        <w:keepNext w:val="0"/>
        <w:keepLines w:val="0"/>
        <w:pageBreakBefore w:val="0"/>
        <w:widowControl w:val="0"/>
        <w:kinsoku/>
        <w:wordWrap/>
        <w:overflowPunct/>
        <w:topLinePunct w:val="0"/>
        <w:autoSpaceDE/>
        <w:autoSpaceDN/>
        <w:bidi w:val="0"/>
        <w:adjustRightInd/>
        <w:snapToGrid/>
        <w:spacing w:line="360" w:lineRule="auto"/>
        <w:ind w:firstLine="555"/>
        <w:textAlignment w:val="auto"/>
        <w:rPr>
          <w:rFonts w:hint="eastAsia" w:hAnsi="宋体" w:eastAsia="仿宋_GB2312"/>
          <w:color w:val="auto"/>
          <w:sz w:val="21"/>
          <w:szCs w:val="24"/>
          <w:lang w:eastAsia="zh-CN"/>
        </w:rPr>
      </w:pPr>
      <w:r>
        <w:rPr>
          <w:rFonts w:hint="eastAsia" w:ascii="宋体" w:hAnsi="宋体"/>
          <w:color w:val="auto"/>
          <w:sz w:val="24"/>
          <w:szCs w:val="24"/>
        </w:rPr>
        <w:t>我们的</w:t>
      </w:r>
      <w:r>
        <w:rPr>
          <w:rFonts w:ascii="宋体" w:hAnsi="宋体"/>
          <w:color w:val="auto"/>
          <w:sz w:val="24"/>
          <w:szCs w:val="24"/>
        </w:rPr>
        <w:t>现场</w:t>
      </w:r>
      <w:r>
        <w:rPr>
          <w:rFonts w:hint="eastAsia" w:ascii="宋体" w:hAnsi="宋体"/>
          <w:color w:val="auto"/>
          <w:sz w:val="24"/>
          <w:szCs w:val="24"/>
        </w:rPr>
        <w:t>评价</w:t>
      </w:r>
      <w:r>
        <w:rPr>
          <w:rFonts w:ascii="宋体" w:hAnsi="宋体"/>
          <w:color w:val="auto"/>
          <w:sz w:val="24"/>
          <w:szCs w:val="24"/>
        </w:rPr>
        <w:t>工作已</w:t>
      </w:r>
      <w:r>
        <w:rPr>
          <w:rFonts w:ascii="宋体" w:hAnsi="宋体"/>
          <w:color w:val="auto"/>
          <w:sz w:val="24"/>
          <w:szCs w:val="24"/>
          <w:highlight w:val="none"/>
        </w:rPr>
        <w:t>于</w:t>
      </w:r>
      <w:r>
        <w:rPr>
          <w:rFonts w:hint="eastAsia" w:ascii="宋体" w:hAnsi="宋体"/>
          <w:color w:val="auto"/>
          <w:sz w:val="24"/>
          <w:szCs w:val="24"/>
          <w:highlight w:val="none"/>
        </w:rPr>
        <w:t>201</w:t>
      </w:r>
      <w:r>
        <w:rPr>
          <w:rFonts w:hint="eastAsia" w:ascii="宋体" w:hAnsi="宋体"/>
          <w:color w:val="auto"/>
          <w:sz w:val="24"/>
          <w:szCs w:val="24"/>
          <w:highlight w:val="none"/>
          <w:lang w:val="en-US" w:eastAsia="zh-CN"/>
        </w:rPr>
        <w:t>8</w:t>
      </w:r>
      <w:r>
        <w:rPr>
          <w:rFonts w:ascii="宋体" w:hAnsi="宋体"/>
          <w:color w:val="auto"/>
          <w:sz w:val="24"/>
          <w:szCs w:val="24"/>
          <w:highlight w:val="none"/>
        </w:rPr>
        <w:t>年</w:t>
      </w:r>
      <w:r>
        <w:rPr>
          <w:rFonts w:hint="eastAsia" w:ascii="宋体" w:hAnsi="宋体"/>
          <w:color w:val="auto"/>
          <w:sz w:val="24"/>
          <w:szCs w:val="24"/>
          <w:highlight w:val="none"/>
          <w:lang w:val="en-US" w:eastAsia="zh-CN"/>
        </w:rPr>
        <w:t>9</w:t>
      </w:r>
      <w:r>
        <w:rPr>
          <w:rFonts w:ascii="宋体" w:hAnsi="宋体"/>
          <w:color w:val="auto"/>
          <w:sz w:val="24"/>
          <w:szCs w:val="24"/>
          <w:highlight w:val="none"/>
        </w:rPr>
        <w:t>月</w:t>
      </w:r>
      <w:r>
        <w:rPr>
          <w:rFonts w:hint="eastAsia" w:ascii="宋体" w:hAnsi="宋体"/>
          <w:color w:val="auto"/>
          <w:sz w:val="24"/>
          <w:szCs w:val="24"/>
          <w:highlight w:val="none"/>
          <w:lang w:val="en-US" w:eastAsia="zh-CN"/>
        </w:rPr>
        <w:t>15</w:t>
      </w:r>
      <w:r>
        <w:rPr>
          <w:rFonts w:ascii="宋体" w:hAnsi="宋体"/>
          <w:color w:val="auto"/>
          <w:sz w:val="24"/>
          <w:szCs w:val="24"/>
          <w:highlight w:val="none"/>
        </w:rPr>
        <w:t>日结束</w:t>
      </w:r>
      <w:r>
        <w:rPr>
          <w:rFonts w:ascii="宋体" w:hAnsi="宋体"/>
          <w:color w:val="auto"/>
          <w:sz w:val="24"/>
          <w:szCs w:val="24"/>
        </w:rPr>
        <w:t>，现将</w:t>
      </w:r>
      <w:r>
        <w:rPr>
          <w:rFonts w:hint="eastAsia" w:ascii="宋体" w:hAnsi="宋体"/>
          <w:color w:val="auto"/>
          <w:sz w:val="24"/>
          <w:szCs w:val="24"/>
        </w:rPr>
        <w:t>评价</w:t>
      </w:r>
      <w:r>
        <w:rPr>
          <w:rFonts w:ascii="宋体" w:hAnsi="宋体"/>
          <w:color w:val="auto"/>
          <w:sz w:val="24"/>
          <w:szCs w:val="24"/>
        </w:rPr>
        <w:t>情况报告如下</w:t>
      </w:r>
      <w:r>
        <w:rPr>
          <w:rFonts w:hint="eastAsia" w:ascii="宋体" w:hAnsi="宋体"/>
          <w:color w:val="auto"/>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项目情况</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项目实施单位基本情况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金川县交通运输局人员编制9人，实有10人（其中机关工勤2人）。下属事业单位：农村公路管理办公室编制6人，实有5人；道理桥梁管理站编制7人，实有6人；农村公路养护中心编制10人，实有9人。车辆数5辆，编制5辆（其中公务用车3辆，生活用车2辆）。退休人员14人。单位股室：办公室、计划财务股、安全运输管理股、行政审批股。</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highlight w:val="none"/>
          <w:lang w:val="en-US" w:eastAsia="zh-CN"/>
        </w:rPr>
      </w:pPr>
      <w:r>
        <w:rPr>
          <w:rFonts w:hint="eastAsia" w:ascii="宋体" w:hAnsi="宋体"/>
          <w:b w:val="0"/>
          <w:bCs w:val="0"/>
          <w:color w:val="auto"/>
          <w:sz w:val="24"/>
          <w:szCs w:val="24"/>
          <w:highlight w:val="none"/>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根据金川县财政局《关于下达2017年农村公路养护资金预算的通知》（金财建[2017]23号）下达资金2,150,000.00元，其中省级财政资金2,150,000.00元。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项目资金主要用于：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省级财政资金2,150,000元，其中：县道151.033公里*7000元/公里，补助1,060,000.00元；乡道86.718公里*3500元/公里，补助300,00元；村道786.856公里*1000元/公里，补助790,000.00元。</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评价结论及绩效分析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（一）评价结论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2017年农村公路养护资金2,150,000.00元，项目已基本完成，取得了相应的效益。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sz w:val="24"/>
          <w:szCs w:val="24"/>
          <w:lang w:val="en-US" w:eastAsia="zh-CN"/>
        </w:rPr>
        <w:t>根据</w:t>
      </w:r>
      <w:r>
        <w:rPr>
          <w:rFonts w:hint="eastAsia" w:ascii="宋体" w:hAnsi="宋体"/>
          <w:sz w:val="24"/>
          <w:szCs w:val="24"/>
        </w:rPr>
        <w:t>2018年阿坝州项目支出绩效评价指标体系</w:t>
      </w:r>
      <w:r>
        <w:rPr>
          <w:rFonts w:hint="eastAsia" w:ascii="宋体" w:hAnsi="宋体"/>
          <w:sz w:val="24"/>
          <w:szCs w:val="24"/>
          <w:lang w:val="en-US" w:eastAsia="zh-CN"/>
        </w:rPr>
        <w:t>评分，该项目综合得分92份。具体</w:t>
      </w:r>
      <w:r>
        <w:rPr>
          <w:rFonts w:hint="eastAsia" w:ascii="宋体" w:hAnsi="宋体"/>
          <w:color w:val="auto"/>
          <w:sz w:val="24"/>
          <w:szCs w:val="24"/>
          <w:lang w:val="en-US" w:eastAsia="zh-CN"/>
        </w:rPr>
        <w:t>评分情况详见附表一：</w:t>
      </w:r>
      <w:r>
        <w:rPr>
          <w:rFonts w:hint="eastAsia" w:ascii="宋体" w:hAnsi="宋体"/>
          <w:color w:val="auto"/>
          <w:sz w:val="24"/>
          <w:szCs w:val="24"/>
        </w:rPr>
        <w:t>2018年阿坝州项目支出绩效评价指标体系</w:t>
      </w:r>
      <w:r>
        <w:rPr>
          <w:rFonts w:hint="eastAsia" w:ascii="宋体" w:hAnsi="宋体"/>
          <w:color w:val="auto"/>
          <w:sz w:val="24"/>
          <w:szCs w:val="24"/>
          <w:lang w:val="en-US" w:eastAsia="zh-CN"/>
        </w:rPr>
        <w:t>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（二）绩效分析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1、项目决策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项目的必要性：因金川县是属于高海拔地区的山区县，县内各种地质灾害和隐患较多。通过实施本项目，有利于保障群众生产生活及生命财产安全，促进农村公路管理养护持续健康发展。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项目的可行性：随着农村公路建设的快速推进，农村公路里程还将不断增加。为加强农村公路管理养护工作，巩固建设成果，确保公路安全畅通，为农村经济社会发展提供更好的服务。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绩效目标设置情况：基本建立符合我州农村实际的农村公路管理养护体制和运行机制，保障养护资金稳定投入，确保农村公路的日常养护和正常使用，延长农村公路使用寿命，实现农村公路管理养护的正常化和规范化。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2、项目管理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项目资金到位情况：2017年下达我局《阿州财建〔2017〕64号》文件，2,150,000.00元，资金到位率100%。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项目资金使用情况：2,150,000.00</w:t>
      </w:r>
      <w:bookmarkStart w:id="0" w:name="_GoBack"/>
      <w:bookmarkEnd w:id="0"/>
      <w:r>
        <w:rPr>
          <w:rFonts w:hint="eastAsia" w:ascii="宋体" w:hAnsi="宋体"/>
          <w:sz w:val="24"/>
          <w:szCs w:val="24"/>
          <w:lang w:val="en-US" w:eastAsia="zh-CN"/>
        </w:rPr>
        <w:t>元已按照专款专用拨付到每个乡镇，剩余705.68元。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项目资金管理情况：全部资金由财政直接拨付到交通运输局账户。项目资金做到了专款专用。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3、项目绩效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按照预定进度计划已完成目标任务。完成目标任务率为100%。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该项目取得经济效益：增加当地人民的收入、提高人民的生活水平。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社会效益：充</w:t>
      </w:r>
      <w:r>
        <w:rPr>
          <w:rFonts w:hint="eastAsia" w:ascii="宋体" w:hAnsi="宋体"/>
          <w:color w:val="auto"/>
          <w:sz w:val="24"/>
          <w:szCs w:val="24"/>
        </w:rPr>
        <w:t>分调动各镇（街道）乡村公路管理养护工作的积极性，从而提高乡村公路服务功能、使用品质和投资效益，营造出“畅、安、舒、美”的乡村公路通行环境。对群众的出行等提供了很大的保障</w:t>
      </w:r>
      <w:r>
        <w:rPr>
          <w:rFonts w:hint="eastAsia" w:ascii="宋体" w:hAnsi="宋体"/>
          <w:color w:val="auto"/>
          <w:sz w:val="24"/>
          <w:szCs w:val="24"/>
          <w:lang w:eastAsia="zh-CN"/>
        </w:rPr>
        <w:t>。</w:t>
      </w:r>
      <w:r>
        <w:rPr>
          <w:rFonts w:hint="eastAsia" w:ascii="宋体" w:hAnsi="宋体"/>
          <w:color w:val="auto"/>
          <w:sz w:val="24"/>
          <w:szCs w:val="24"/>
          <w:lang w:val="en-US" w:eastAsia="zh-CN"/>
        </w:rPr>
        <w:t>统一领导、分级管理、以县为主、乡村尽责”的农村公路管理养护体制和符合农村公路管理养护要求的运行机制，实现了农村公路管理养护工作的正常化、制度化和规范化。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我们选择抽取了</w:t>
      </w:r>
      <w:r>
        <w:rPr>
          <w:rFonts w:hint="eastAsia" w:ascii="宋体" w:hAnsi="宋体"/>
          <w:color w:val="auto"/>
          <w:sz w:val="24"/>
          <w:szCs w:val="24"/>
        </w:rPr>
        <w:t>沙耳乡、庆宁乡、咯尔乡、卡撒乡、安宁镇、观音桥镇、毛日乡、河西乡、河东乡、勒乌镇、阿科里乡</w:t>
      </w:r>
      <w:r>
        <w:rPr>
          <w:rFonts w:hint="eastAsia" w:ascii="宋体" w:hAnsi="宋体"/>
          <w:color w:val="auto"/>
          <w:sz w:val="24"/>
          <w:szCs w:val="24"/>
          <w:lang w:val="en-US" w:eastAsia="zh-CN"/>
        </w:rPr>
        <w:t>公路养护，</w:t>
      </w:r>
      <w:r>
        <w:rPr>
          <w:rFonts w:hint="eastAsia" w:ascii="宋体" w:hAnsi="宋体"/>
          <w:sz w:val="24"/>
          <w:szCs w:val="24"/>
          <w:highlight w:val="none"/>
          <w:lang w:val="en-US" w:eastAsia="zh-CN"/>
        </w:rPr>
        <w:t>对其进行实地调查；调查表明，该项目均已实施。</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存在主要问题</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无具体项目计划及实施方案</w:t>
      </w:r>
      <w:r>
        <w:rPr>
          <w:rFonts w:hint="eastAsia" w:ascii="宋体" w:hAnsi="宋体"/>
          <w:color w:val="auto"/>
          <w:sz w:val="24"/>
          <w:szCs w:val="24"/>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相关措施建议</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b/>
          <w:bCs/>
          <w:color w:val="auto"/>
          <w:sz w:val="24"/>
          <w:szCs w:val="24"/>
          <w:lang w:val="en-US" w:eastAsia="zh-CN"/>
        </w:rPr>
      </w:pPr>
      <w:r>
        <w:rPr>
          <w:rFonts w:hint="eastAsia" w:ascii="宋体" w:hAnsi="宋体"/>
          <w:color w:val="auto"/>
          <w:sz w:val="24"/>
          <w:szCs w:val="24"/>
          <w:lang w:val="en-US" w:eastAsia="zh-CN"/>
        </w:rPr>
        <w:t>1、县道养护和乡道、村道中沥青路面、水泥混凝土路面的大中修、防护、水毁修复等技术性较强的工程项目可通过行业内部招标或委托具有养护资质的单位等方式组织实施,实行计量支付,合同管理。</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b/>
          <w:bCs/>
          <w:color w:val="auto"/>
          <w:sz w:val="24"/>
          <w:szCs w:val="24"/>
          <w:lang w:val="en-US" w:eastAsia="zh-CN"/>
        </w:rPr>
        <w:t>本报告使用范围</w:t>
      </w:r>
      <w:r>
        <w:rPr>
          <w:rFonts w:hint="eastAsia" w:ascii="宋体" w:hAnsi="宋体"/>
          <w:b/>
          <w:bCs/>
          <w:color w:val="auto"/>
          <w:sz w:val="24"/>
          <w:szCs w:val="24"/>
          <w:lang w:val="en-US" w:eastAsia="zh-CN"/>
        </w:rPr>
        <w:br w:type="textWrapping"/>
      </w:r>
      <w:r>
        <w:rPr>
          <w:rFonts w:hint="eastAsia" w:ascii="宋体" w:hAnsi="宋体"/>
          <w:b/>
          <w:bCs/>
          <w:color w:val="auto"/>
          <w:sz w:val="24"/>
          <w:szCs w:val="24"/>
          <w:lang w:val="en-US" w:eastAsia="zh-CN"/>
        </w:rPr>
        <w:t xml:space="preserve">    </w:t>
      </w:r>
      <w:r>
        <w:rPr>
          <w:rFonts w:hint="eastAsia" w:ascii="宋体" w:hAnsi="宋体"/>
          <w:color w:val="auto"/>
          <w:sz w:val="24"/>
          <w:szCs w:val="24"/>
          <w:lang w:val="en-US" w:eastAsia="zh-CN"/>
        </w:rPr>
        <w:t>本报告是在金川县交通局所提供的现有资料基础上检查做出的结论，仅供金川县财政局区了解金川县交通运输局2017年农村公路养护资金绩效评价情况时使用，不作为其他用途，如因使用不当所造成的后果，与本所和签字注册会计师无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附表一：</w:t>
      </w:r>
      <w:r>
        <w:rPr>
          <w:rFonts w:hint="eastAsia" w:ascii="宋体" w:hAnsi="宋体"/>
          <w:color w:val="auto"/>
          <w:sz w:val="24"/>
          <w:szCs w:val="24"/>
        </w:rPr>
        <w:t>2018年阿坝州项目支出绩效评价指标体系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spacing w:line="360" w:lineRule="auto"/>
        <w:rPr>
          <w:rFonts w:hint="eastAsia" w:ascii="仿宋" w:hAnsi="仿宋" w:eastAsia="仿宋" w:cs="仿宋"/>
          <w:color w:val="auto"/>
          <w:sz w:val="24"/>
        </w:rPr>
      </w:pPr>
      <w:r>
        <w:rPr>
          <w:rFonts w:hint="eastAsia" w:ascii="仿宋" w:hAnsi="仿宋" w:eastAsia="仿宋" w:cs="仿宋"/>
          <w:bCs/>
          <w:color w:val="auto"/>
          <w:sz w:val="24"/>
        </w:rPr>
        <w:t xml:space="preserve"> </w:t>
      </w:r>
      <w:r>
        <w:rPr>
          <w:rFonts w:hint="eastAsia" w:ascii="仿宋" w:hAnsi="仿宋" w:eastAsia="仿宋" w:cs="仿宋"/>
          <w:b w:val="0"/>
          <w:bCs/>
          <w:color w:val="auto"/>
          <w:sz w:val="24"/>
        </w:rPr>
        <w:t>中兴华会计师事务所</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spacing w:line="360" w:lineRule="auto"/>
        <w:rPr>
          <w:rFonts w:hint="eastAsia" w:ascii="仿宋" w:hAnsi="仿宋" w:eastAsia="仿宋" w:cs="仿宋"/>
          <w:color w:val="auto"/>
          <w:sz w:val="24"/>
        </w:rPr>
      </w:pPr>
      <w:r>
        <w:rPr>
          <w:rFonts w:hint="eastAsia" w:ascii="仿宋" w:hAnsi="仿宋" w:eastAsia="仿宋" w:cs="仿宋"/>
          <w:color w:val="auto"/>
          <w:sz w:val="24"/>
        </w:rPr>
        <w:t xml:space="preserve">   </w:t>
      </w:r>
      <w:r>
        <w:rPr>
          <w:rFonts w:hint="eastAsia" w:ascii="仿宋" w:hAnsi="仿宋" w:eastAsia="仿宋" w:cs="仿宋"/>
          <w:b w:val="0"/>
          <w:bCs/>
          <w:color w:val="auto"/>
          <w:sz w:val="24"/>
        </w:rPr>
        <w:t>（特殊普通合伙</w:t>
      </w:r>
      <w:r>
        <w:rPr>
          <w:rFonts w:hint="eastAsia" w:ascii="仿宋" w:hAnsi="仿宋" w:eastAsia="仿宋" w:cs="仿宋"/>
          <w:b w:val="0"/>
          <w:bCs/>
          <w:color w:val="auto"/>
          <w:sz w:val="24"/>
          <w:lang w:eastAsia="zh-CN"/>
        </w:rPr>
        <w:t>）</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rPr>
        <w:t xml:space="preserve">中国·四川·成都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报告日期：二0一</w:t>
      </w:r>
      <w:r>
        <w:rPr>
          <w:rFonts w:hint="eastAsia" w:ascii="仿宋" w:hAnsi="仿宋" w:eastAsia="仿宋" w:cs="仿宋"/>
          <w:color w:val="auto"/>
          <w:sz w:val="24"/>
          <w:lang w:eastAsia="zh-CN"/>
        </w:rPr>
        <w:t>八</w:t>
      </w:r>
      <w:r>
        <w:rPr>
          <w:rFonts w:hint="eastAsia" w:ascii="仿宋" w:hAnsi="仿宋" w:eastAsia="仿宋" w:cs="仿宋"/>
          <w:color w:val="auto"/>
          <w:sz w:val="24"/>
        </w:rPr>
        <w:t>年</w:t>
      </w:r>
      <w:r>
        <w:rPr>
          <w:rFonts w:hint="eastAsia" w:ascii="仿宋" w:hAnsi="仿宋" w:eastAsia="仿宋" w:cs="仿宋"/>
          <w:color w:val="auto"/>
          <w:sz w:val="24"/>
          <w:lang w:val="en-US" w:eastAsia="zh-CN"/>
        </w:rPr>
        <w:t>九</w:t>
      </w:r>
      <w:r>
        <w:rPr>
          <w:rFonts w:hint="eastAsia" w:ascii="仿宋" w:hAnsi="仿宋" w:eastAsia="仿宋" w:cs="仿宋"/>
          <w:color w:val="auto"/>
          <w:sz w:val="24"/>
        </w:rPr>
        <w:t>月</w:t>
      </w:r>
      <w:r>
        <w:rPr>
          <w:rFonts w:hint="eastAsia" w:ascii="仿宋" w:hAnsi="仿宋" w:eastAsia="仿宋" w:cs="仿宋"/>
          <w:color w:val="auto"/>
          <w:sz w:val="24"/>
          <w:lang w:val="en-US" w:eastAsia="zh-CN"/>
        </w:rPr>
        <w:t>十五日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3"/>
                            <w:rPr>
                              <w:rFonts w:hint="eastAsia" w:eastAsia="仿宋_GB2312"/>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3"/>
                      <w:rPr>
                        <w:rFonts w:hint="eastAsia" w:eastAsia="仿宋_GB2312"/>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1FB74"/>
    <w:multiLevelType w:val="singleLevel"/>
    <w:tmpl w:val="1F11FB74"/>
    <w:lvl w:ilvl="0" w:tentative="0">
      <w:start w:val="1"/>
      <w:numFmt w:val="chineseCounting"/>
      <w:suff w:val="nothing"/>
      <w:lvlText w:val="（%1）"/>
      <w:lvlJc w:val="left"/>
      <w:rPr>
        <w:rFonts w:hint="eastAsia"/>
      </w:rPr>
    </w:lvl>
  </w:abstractNum>
  <w:abstractNum w:abstractNumId="1">
    <w:nsid w:val="368E470F"/>
    <w:multiLevelType w:val="singleLevel"/>
    <w:tmpl w:val="368E470F"/>
    <w:lvl w:ilvl="0" w:tentative="0">
      <w:start w:val="1"/>
      <w:numFmt w:val="decimal"/>
      <w:suff w:val="nothing"/>
      <w:lvlText w:val="%1、"/>
      <w:lvlJc w:val="left"/>
    </w:lvl>
  </w:abstractNum>
  <w:abstractNum w:abstractNumId="2">
    <w:nsid w:val="4115B164"/>
    <w:multiLevelType w:val="singleLevel"/>
    <w:tmpl w:val="4115B164"/>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A3999"/>
    <w:rsid w:val="052B36C2"/>
    <w:rsid w:val="094272B4"/>
    <w:rsid w:val="0B5F77F5"/>
    <w:rsid w:val="0CB253DE"/>
    <w:rsid w:val="0D9A2FD3"/>
    <w:rsid w:val="10F710BF"/>
    <w:rsid w:val="128A0EBC"/>
    <w:rsid w:val="12F73558"/>
    <w:rsid w:val="1C6322F0"/>
    <w:rsid w:val="1CF67A4F"/>
    <w:rsid w:val="1F0A50CB"/>
    <w:rsid w:val="231F61E2"/>
    <w:rsid w:val="283A4A5F"/>
    <w:rsid w:val="29205D45"/>
    <w:rsid w:val="2BA82907"/>
    <w:rsid w:val="36F81653"/>
    <w:rsid w:val="3DB108B6"/>
    <w:rsid w:val="3F6939C3"/>
    <w:rsid w:val="410601B3"/>
    <w:rsid w:val="42D577B0"/>
    <w:rsid w:val="4C523BC0"/>
    <w:rsid w:val="4CCB307D"/>
    <w:rsid w:val="4F244A54"/>
    <w:rsid w:val="50A33D36"/>
    <w:rsid w:val="540B3EAB"/>
    <w:rsid w:val="56FE3473"/>
    <w:rsid w:val="58CA2B2F"/>
    <w:rsid w:val="59495D47"/>
    <w:rsid w:val="5D7D6A2F"/>
    <w:rsid w:val="5D9E2371"/>
    <w:rsid w:val="6150132B"/>
    <w:rsid w:val="628376DE"/>
    <w:rsid w:val="6BC363D3"/>
    <w:rsid w:val="6DF75DF9"/>
    <w:rsid w:val="71EE5786"/>
    <w:rsid w:val="72CD5043"/>
    <w:rsid w:val="738F4450"/>
    <w:rsid w:val="74031A23"/>
    <w:rsid w:val="74CF000B"/>
    <w:rsid w:val="76993A7E"/>
    <w:rsid w:val="790528BB"/>
    <w:rsid w:val="7B1677D9"/>
    <w:rsid w:val="7B5452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qFormat/>
    <w:uiPriority w:val="0"/>
    <w:rPr>
      <w:color w:val="323232"/>
      <w:u w:val="none"/>
    </w:rPr>
  </w:style>
  <w:style w:type="character" w:styleId="8">
    <w:name w:val="Hyperlink"/>
    <w:basedOn w:val="6"/>
    <w:uiPriority w:val="0"/>
    <w:rPr>
      <w:color w:val="323232"/>
      <w:u w:val="none"/>
    </w:rPr>
  </w:style>
  <w:style w:type="character" w:customStyle="1" w:styleId="10">
    <w:name w:val="bsharetext"/>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孙东华</dc:creator>
  <cp:lastModifiedBy>po</cp:lastModifiedBy>
  <dcterms:modified xsi:type="dcterms:W3CDTF">2018-10-23T08:14:53Z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