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940" w:lineRule="atLeast"/>
        <w:jc w:val="center"/>
        <w:rPr>
          <w:rFonts w:hint="eastAsia" w:ascii="华文行楷" w:hAnsi="华文行楷" w:eastAsia="华文行楷" w:cs="华文行楷"/>
          <w:b/>
          <w:sz w:val="52"/>
          <w:szCs w:val="52"/>
          <w:lang w:val="en-US" w:eastAsia="zh-CN"/>
        </w:rPr>
      </w:pPr>
    </w:p>
    <w:p>
      <w:pPr>
        <w:spacing w:line="940" w:lineRule="atLeast"/>
        <w:jc w:val="center"/>
        <w:rPr>
          <w:rFonts w:hint="eastAsia" w:ascii="华文行楷" w:hAnsi="华文行楷" w:eastAsia="华文行楷" w:cs="华文行楷"/>
          <w:b/>
          <w:sz w:val="52"/>
          <w:szCs w:val="52"/>
          <w:lang w:val="en-US" w:eastAsia="zh-CN"/>
        </w:rPr>
      </w:pPr>
      <w:r>
        <w:rPr>
          <w:rFonts w:hint="eastAsia" w:ascii="华文行楷" w:hAnsi="华文行楷" w:eastAsia="华文行楷" w:cs="华文行楷"/>
          <w:b/>
          <w:sz w:val="52"/>
          <w:szCs w:val="52"/>
          <w:lang w:val="en-US" w:eastAsia="zh-CN"/>
        </w:rPr>
        <w:t>四川省阿坝州金川县</w:t>
      </w:r>
    </w:p>
    <w:p>
      <w:pPr>
        <w:spacing w:line="940" w:lineRule="atLeast"/>
        <w:jc w:val="center"/>
        <w:rPr>
          <w:rFonts w:hint="eastAsia" w:ascii="华文行楷" w:hAnsi="华文行楷" w:eastAsia="华文行楷" w:cs="华文行楷"/>
          <w:b/>
          <w:sz w:val="52"/>
          <w:szCs w:val="52"/>
          <w:lang w:val="en-US" w:eastAsia="zh-CN"/>
        </w:rPr>
      </w:pPr>
      <w:r>
        <w:rPr>
          <w:rFonts w:hint="eastAsia" w:ascii="华文行楷" w:hAnsi="华文行楷" w:eastAsia="华文行楷" w:cs="华文行楷"/>
          <w:b/>
          <w:sz w:val="52"/>
          <w:szCs w:val="52"/>
          <w:lang w:val="en-US" w:eastAsia="zh-CN"/>
        </w:rPr>
        <w:t xml:space="preserve">城乡规划建设和住房保障局        </w:t>
      </w:r>
    </w:p>
    <w:p>
      <w:pPr>
        <w:spacing w:line="940" w:lineRule="atLeast"/>
        <w:jc w:val="center"/>
        <w:rPr>
          <w:rFonts w:hint="eastAsia" w:ascii="华文行楷" w:hAnsi="华文行楷" w:eastAsia="华文行楷" w:cs="华文行楷"/>
          <w:b/>
          <w:sz w:val="52"/>
          <w:szCs w:val="52"/>
        </w:rPr>
      </w:pPr>
      <w:r>
        <w:rPr>
          <w:rFonts w:hint="eastAsia" w:ascii="华文行楷" w:hAnsi="华文行楷" w:eastAsia="华文行楷" w:cs="华文行楷"/>
          <w:b/>
          <w:sz w:val="52"/>
          <w:szCs w:val="52"/>
          <w:lang w:val="en-US" w:eastAsia="zh-CN"/>
        </w:rPr>
        <w:t>2017年藏区新居补助资金绩效评价</w:t>
      </w:r>
      <w:r>
        <w:rPr>
          <w:rFonts w:hint="eastAsia" w:ascii="华文行楷" w:hAnsi="华文行楷" w:eastAsia="华文行楷" w:cs="华文行楷"/>
          <w:b/>
          <w:sz w:val="52"/>
          <w:szCs w:val="52"/>
        </w:rPr>
        <w:t>报告书</w:t>
      </w:r>
    </w:p>
    <w:p>
      <w:pPr>
        <w:spacing w:line="800" w:lineRule="atLeast"/>
        <w:jc w:val="center"/>
        <w:rPr>
          <w:rFonts w:hint="eastAsia" w:ascii="Arial" w:hAnsi="Arial" w:eastAsia="华文新魏" w:cs="Arial"/>
          <w:sz w:val="48"/>
        </w:rPr>
      </w:pPr>
    </w:p>
    <w:p>
      <w:pPr>
        <w:spacing w:line="800" w:lineRule="atLeast"/>
        <w:jc w:val="center"/>
        <w:rPr>
          <w:rFonts w:hint="eastAsia" w:ascii="Arial" w:hAnsi="Arial" w:eastAsia="华文新魏" w:cs="Arial"/>
          <w:sz w:val="48"/>
        </w:rPr>
      </w:pPr>
    </w:p>
    <w:p>
      <w:pPr>
        <w:spacing w:line="800" w:lineRule="atLeast"/>
        <w:jc w:val="center"/>
        <w:rPr>
          <w:rFonts w:hint="eastAsia" w:ascii="Arial" w:hAnsi="Arial" w:eastAsia="华文新魏" w:cs="Arial"/>
          <w:sz w:val="48"/>
        </w:rPr>
      </w:pPr>
      <w:r>
        <w:rPr>
          <w:rFonts w:ascii="隶书" w:hAnsi="Courier New" w:eastAsia="隶书"/>
          <w:color w:val="00CCFF"/>
          <w:spacing w:val="20"/>
          <w:sz w:val="36"/>
          <w:szCs w:val="36"/>
        </w:rPr>
        <w:drawing>
          <wp:inline distT="0" distB="0" distL="114300" distR="114300">
            <wp:extent cx="3466465" cy="1506220"/>
            <wp:effectExtent l="0" t="0" r="635" b="17780"/>
            <wp:docPr id="1" name="图片 1" descr="中兴华会计师事务所所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兴华会计师事务所所标1"/>
                    <pic:cNvPicPr>
                      <a:picLocks noChangeAspect="1"/>
                    </pic:cNvPicPr>
                  </pic:nvPicPr>
                  <pic:blipFill>
                    <a:blip r:embed="rId5"/>
                    <a:stretch>
                      <a:fillRect/>
                    </a:stretch>
                  </pic:blipFill>
                  <pic:spPr>
                    <a:xfrm>
                      <a:off x="0" y="0"/>
                      <a:ext cx="3466465" cy="1506220"/>
                    </a:xfrm>
                    <a:prstGeom prst="rect">
                      <a:avLst/>
                    </a:prstGeom>
                    <a:noFill/>
                    <a:ln w="9525">
                      <a:noFill/>
                    </a:ln>
                  </pic:spPr>
                </pic:pic>
              </a:graphicData>
            </a:graphic>
          </wp:inline>
        </w:drawing>
      </w:r>
    </w:p>
    <w:p>
      <w:pPr>
        <w:spacing w:line="800" w:lineRule="atLeast"/>
        <w:jc w:val="center"/>
        <w:rPr>
          <w:rFonts w:hint="eastAsia" w:ascii="Arial" w:hAnsi="Arial" w:eastAsia="华文新魏" w:cs="Arial"/>
          <w:sz w:val="48"/>
        </w:rPr>
      </w:pPr>
    </w:p>
    <w:p>
      <w:pPr>
        <w:spacing w:line="800" w:lineRule="atLeast"/>
        <w:jc w:val="both"/>
        <w:rPr>
          <w:rFonts w:hint="eastAsia" w:ascii="Arial" w:hAnsi="Arial" w:eastAsia="华文新魏" w:cs="Arial"/>
          <w:sz w:val="48"/>
        </w:rPr>
      </w:pPr>
    </w:p>
    <w:p>
      <w:pPr>
        <w:rPr>
          <w:rFonts w:hint="eastAsia"/>
        </w:rPr>
      </w:pPr>
    </w:p>
    <w:p>
      <w:pPr>
        <w:jc w:val="center"/>
        <w:rPr>
          <w:rFonts w:hint="eastAsia" w:eastAsia="华文行楷"/>
          <w:b/>
          <w:bCs/>
          <w:sz w:val="44"/>
        </w:rPr>
      </w:pPr>
      <w:r>
        <w:rPr>
          <w:rFonts w:hint="eastAsia" w:eastAsia="华文行楷"/>
          <w:b/>
          <w:bCs/>
          <w:sz w:val="44"/>
        </w:rPr>
        <w:t>中兴华会计师事务所(特殊普通合伙)</w:t>
      </w:r>
    </w:p>
    <w:p>
      <w:pPr>
        <w:jc w:val="center"/>
        <w:rPr>
          <w:rFonts w:hint="eastAsia"/>
          <w:sz w:val="28"/>
        </w:rPr>
      </w:pPr>
      <w:r>
        <w:rPr>
          <w:rFonts w:hint="eastAsia"/>
          <w:sz w:val="28"/>
        </w:rPr>
        <w:t>ZHONGXINGHAU CERTIFIED PUBLIC ACCOUNTANTS LLP</w:t>
      </w:r>
    </w:p>
    <w:p>
      <w:pPr>
        <w:spacing w:line="160" w:lineRule="exact"/>
        <w:rPr>
          <w:rFonts w:ascii="黑体" w:eastAsia="黑体"/>
          <w:w w:val="90"/>
          <w:sz w:val="28"/>
        </w:rPr>
      </w:pPr>
    </w:p>
    <w:p>
      <w:pPr>
        <w:spacing w:line="600" w:lineRule="atLeast"/>
        <w:rPr>
          <w:rFonts w:hint="eastAsia" w:ascii="黑体" w:eastAsia="黑体"/>
          <w:w w:val="90"/>
          <w:sz w:val="28"/>
        </w:rPr>
      </w:pPr>
      <w:r>
        <w:rPr>
          <w:rFonts w:hint="eastAsia" w:ascii="黑体" w:eastAsia="黑体"/>
          <w:w w:val="90"/>
          <w:sz w:val="28"/>
        </w:rPr>
        <w:t>地址：</w:t>
      </w:r>
      <w:r>
        <w:rPr>
          <w:rFonts w:hint="eastAsia" w:ascii="黑体" w:eastAsia="黑体"/>
          <w:w w:val="90"/>
          <w:sz w:val="28"/>
          <w:lang w:eastAsia="zh-CN"/>
        </w:rPr>
        <w:t>成都市金牛区蜀西路</w:t>
      </w:r>
      <w:r>
        <w:rPr>
          <w:rFonts w:hint="eastAsia" w:ascii="黑体" w:eastAsia="黑体"/>
          <w:w w:val="90"/>
          <w:sz w:val="28"/>
          <w:lang w:val="en-US" w:eastAsia="zh-CN"/>
        </w:rPr>
        <w:t>49号盛大国际3幢4楼401</w:t>
      </w:r>
      <w:r>
        <w:rPr>
          <w:rFonts w:hint="eastAsia" w:ascii="黑体" w:eastAsia="黑体"/>
          <w:w w:val="90"/>
          <w:sz w:val="28"/>
        </w:rPr>
        <w:t xml:space="preserve"> </w:t>
      </w:r>
      <w:r>
        <w:rPr>
          <w:rFonts w:ascii="黑体" w:eastAsia="黑体"/>
          <w:w w:val="90"/>
          <w:sz w:val="24"/>
        </w:rPr>
        <w:t xml:space="preserve"> </w:t>
      </w:r>
      <w:r>
        <w:rPr>
          <w:rFonts w:hint="eastAsia" w:ascii="黑体" w:eastAsia="黑体"/>
          <w:w w:val="90"/>
          <w:sz w:val="24"/>
        </w:rPr>
        <w:t xml:space="preserve">    </w:t>
      </w:r>
      <w:r>
        <w:rPr>
          <w:rFonts w:ascii="黑体" w:eastAsia="黑体"/>
          <w:w w:val="90"/>
          <w:sz w:val="24"/>
        </w:rPr>
        <w:t xml:space="preserve"> </w:t>
      </w:r>
      <w:r>
        <w:rPr>
          <w:rFonts w:ascii="黑体" w:eastAsia="黑体"/>
          <w:w w:val="90"/>
          <w:sz w:val="28"/>
        </w:rPr>
        <w:t xml:space="preserve"> </w:t>
      </w:r>
      <w:r>
        <w:rPr>
          <w:rFonts w:hint="eastAsia" w:ascii="黑体" w:eastAsia="黑体"/>
          <w:w w:val="90"/>
          <w:sz w:val="28"/>
        </w:rPr>
        <w:t>邮编：</w:t>
      </w:r>
      <w:r>
        <w:rPr>
          <w:rFonts w:hint="eastAsia" w:ascii="黑体" w:eastAsia="黑体"/>
          <w:w w:val="90"/>
          <w:sz w:val="28"/>
          <w:lang w:val="en-US" w:eastAsia="zh-CN"/>
        </w:rPr>
        <w:t>610037</w:t>
      </w:r>
    </w:p>
    <w:p>
      <w:pPr>
        <w:spacing w:line="600" w:lineRule="atLeast"/>
        <w:rPr>
          <w:rFonts w:ascii="黑体" w:eastAsia="黑体"/>
          <w:w w:val="90"/>
          <w:sz w:val="28"/>
        </w:rPr>
      </w:pPr>
      <w:r>
        <w:rPr>
          <w:rFonts w:hint="eastAsia" w:ascii="黑体" w:eastAsia="黑体"/>
          <w:w w:val="90"/>
          <w:sz w:val="28"/>
        </w:rPr>
        <w:t>电话：</w:t>
      </w:r>
      <w:r>
        <w:rPr>
          <w:rFonts w:ascii="黑体" w:eastAsia="黑体"/>
          <w:w w:val="90"/>
          <w:sz w:val="28"/>
        </w:rPr>
        <w:t>(</w:t>
      </w:r>
      <w:r>
        <w:rPr>
          <w:rFonts w:hint="eastAsia" w:ascii="黑体" w:eastAsia="黑体"/>
          <w:w w:val="90"/>
          <w:sz w:val="28"/>
        </w:rPr>
        <w:t>0</w:t>
      </w:r>
      <w:r>
        <w:rPr>
          <w:rFonts w:hint="eastAsia" w:ascii="黑体" w:eastAsia="黑体"/>
          <w:w w:val="90"/>
          <w:sz w:val="28"/>
          <w:lang w:val="en-US" w:eastAsia="zh-CN"/>
        </w:rPr>
        <w:t>28</w:t>
      </w:r>
      <w:r>
        <w:rPr>
          <w:rFonts w:ascii="黑体" w:eastAsia="黑体"/>
          <w:w w:val="90"/>
          <w:sz w:val="28"/>
        </w:rPr>
        <w:t>)</w:t>
      </w:r>
      <w:r>
        <w:rPr>
          <w:rFonts w:hint="eastAsia" w:ascii="黑体" w:eastAsia="黑体"/>
          <w:w w:val="90"/>
          <w:sz w:val="28"/>
        </w:rPr>
        <w:t>87779320</w:t>
      </w:r>
      <w:r>
        <w:rPr>
          <w:rFonts w:hint="eastAsia" w:ascii="黑体" w:eastAsia="黑体"/>
          <w:w w:val="90"/>
          <w:sz w:val="28"/>
          <w:lang w:val="en-US" w:eastAsia="zh-CN"/>
        </w:rPr>
        <w:t>\18190919202</w:t>
      </w:r>
      <w:r>
        <w:rPr>
          <w:rFonts w:ascii="黑体" w:eastAsia="黑体"/>
          <w:w w:val="90"/>
          <w:sz w:val="28"/>
        </w:rPr>
        <w:t xml:space="preserve">         </w:t>
      </w:r>
      <w:r>
        <w:rPr>
          <w:rFonts w:hint="eastAsia" w:ascii="黑体" w:eastAsia="黑体"/>
          <w:w w:val="90"/>
          <w:sz w:val="28"/>
        </w:rPr>
        <w:t xml:space="preserve"> </w:t>
      </w:r>
      <w:r>
        <w:rPr>
          <w:rFonts w:ascii="黑体" w:eastAsia="黑体"/>
          <w:w w:val="90"/>
          <w:sz w:val="28"/>
        </w:rPr>
        <w:t xml:space="preserve">   </w:t>
      </w:r>
      <w:r>
        <w:rPr>
          <w:rFonts w:hint="eastAsia" w:ascii="黑体" w:eastAsia="黑体"/>
          <w:w w:val="90"/>
          <w:sz w:val="28"/>
        </w:rPr>
        <w:t xml:space="preserve">   传真：</w:t>
      </w:r>
      <w:r>
        <w:rPr>
          <w:rFonts w:ascii="黑体" w:eastAsia="黑体"/>
          <w:w w:val="90"/>
          <w:sz w:val="28"/>
        </w:rPr>
        <w:t>(</w:t>
      </w:r>
      <w:r>
        <w:rPr>
          <w:rFonts w:hint="eastAsia" w:ascii="黑体" w:eastAsia="黑体"/>
          <w:w w:val="90"/>
          <w:sz w:val="28"/>
        </w:rPr>
        <w:t>0</w:t>
      </w:r>
      <w:r>
        <w:rPr>
          <w:rFonts w:hint="eastAsia" w:ascii="黑体" w:eastAsia="黑体"/>
          <w:w w:val="90"/>
          <w:sz w:val="28"/>
          <w:lang w:val="en-US" w:eastAsia="zh-CN"/>
        </w:rPr>
        <w:t>28</w:t>
      </w:r>
      <w:r>
        <w:rPr>
          <w:rFonts w:ascii="黑体" w:eastAsia="黑体"/>
          <w:w w:val="90"/>
          <w:sz w:val="28"/>
        </w:rPr>
        <w:t>)</w:t>
      </w:r>
      <w:r>
        <w:rPr>
          <w:rFonts w:hint="eastAsia" w:ascii="黑体" w:eastAsia="黑体"/>
          <w:w w:val="90"/>
          <w:sz w:val="28"/>
        </w:rPr>
        <w:t>87776280</w:t>
      </w:r>
    </w:p>
    <w:p>
      <w:pPr>
        <w:snapToGrid w:val="0"/>
        <w:spacing w:line="400" w:lineRule="exact"/>
        <w:jc w:val="center"/>
        <w:rPr>
          <w:rFonts w:hint="eastAsia" w:ascii="宋体" w:hAnsi="宋体" w:eastAsia="宋体"/>
          <w:b/>
          <w:sz w:val="28"/>
          <w:szCs w:val="30"/>
        </w:rPr>
      </w:pPr>
    </w:p>
    <w:p>
      <w:pPr>
        <w:snapToGrid w:val="0"/>
        <w:spacing w:line="400" w:lineRule="exact"/>
        <w:jc w:val="center"/>
        <w:rPr>
          <w:rFonts w:hint="eastAsia" w:ascii="宋体" w:hAnsi="宋体" w:eastAsia="宋体"/>
          <w:b/>
          <w:sz w:val="36"/>
          <w:szCs w:val="36"/>
          <w:lang w:val="en-US" w:eastAsia="zh-CN"/>
        </w:rPr>
      </w:pPr>
      <w:r>
        <w:rPr>
          <w:rFonts w:hint="eastAsia" w:ascii="宋体" w:hAnsi="宋体" w:eastAsia="宋体"/>
          <w:b/>
          <w:sz w:val="36"/>
          <w:szCs w:val="36"/>
          <w:lang w:val="en-US" w:eastAsia="zh-CN"/>
        </w:rPr>
        <w:t>金川县城乡规划建设和住房保障局</w:t>
      </w:r>
    </w:p>
    <w:p>
      <w:pPr>
        <w:snapToGrid w:val="0"/>
        <w:spacing w:line="400" w:lineRule="exact"/>
        <w:jc w:val="center"/>
        <w:rPr>
          <w:rFonts w:ascii="宋体" w:hAnsi="宋体" w:eastAsia="宋体"/>
          <w:b/>
          <w:sz w:val="36"/>
          <w:szCs w:val="36"/>
        </w:rPr>
      </w:pPr>
      <w:r>
        <w:rPr>
          <w:rFonts w:hint="eastAsia" w:ascii="宋体" w:hAnsi="宋体" w:eastAsia="宋体"/>
          <w:b/>
          <w:sz w:val="36"/>
          <w:szCs w:val="36"/>
          <w:lang w:val="en-US" w:eastAsia="zh-CN"/>
        </w:rPr>
        <w:t>2017年藏区新居补助资金</w:t>
      </w:r>
      <w:r>
        <w:rPr>
          <w:rFonts w:ascii="宋体" w:hAnsi="宋体" w:eastAsia="宋体"/>
          <w:b/>
          <w:sz w:val="36"/>
          <w:szCs w:val="36"/>
        </w:rPr>
        <w:t>绩效</w:t>
      </w:r>
      <w:r>
        <w:rPr>
          <w:rFonts w:hint="eastAsia" w:ascii="宋体" w:hAnsi="宋体" w:eastAsia="宋体"/>
          <w:b/>
          <w:sz w:val="36"/>
          <w:szCs w:val="36"/>
        </w:rPr>
        <w:t>评价</w:t>
      </w:r>
      <w:r>
        <w:rPr>
          <w:rFonts w:ascii="宋体" w:hAnsi="宋体" w:eastAsia="宋体"/>
          <w:b/>
          <w:sz w:val="36"/>
          <w:szCs w:val="36"/>
        </w:rPr>
        <w:t>报告</w:t>
      </w:r>
    </w:p>
    <w:p>
      <w:pPr>
        <w:spacing w:line="578" w:lineRule="exact"/>
        <w:jc w:val="both"/>
        <w:rPr>
          <w:rFonts w:hint="eastAsia" w:ascii="宋体" w:hAnsi="宋体" w:eastAsia="仿宋_GB2312"/>
          <w:b/>
          <w:bCs/>
          <w:sz w:val="24"/>
          <w:szCs w:val="24"/>
          <w:lang w:val="en-US" w:eastAsia="zh-CN"/>
        </w:rPr>
      </w:pPr>
      <w:r>
        <w:rPr>
          <w:rFonts w:hint="eastAsia" w:ascii="宋体" w:hAnsi="宋体"/>
          <w:b/>
          <w:bCs/>
          <w:sz w:val="24"/>
          <w:szCs w:val="24"/>
          <w:lang w:val="en-US" w:eastAsia="zh-CN"/>
        </w:rPr>
        <w:t>金川县财政局：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rPr>
      </w:pPr>
      <w:r>
        <w:rPr>
          <w:rFonts w:hint="eastAsia" w:ascii="宋体" w:hAnsi="宋体"/>
          <w:sz w:val="24"/>
          <w:szCs w:val="24"/>
        </w:rPr>
        <w:t>我们接受委托，对</w:t>
      </w:r>
      <w:r>
        <w:rPr>
          <w:rFonts w:hint="eastAsia" w:ascii="宋体" w:hAnsi="宋体"/>
          <w:color w:val="000000"/>
          <w:sz w:val="24"/>
          <w:szCs w:val="24"/>
          <w:lang w:val="en-US" w:eastAsia="zh-CN"/>
        </w:rPr>
        <w:t>金川县城乡规划建设和住房保障局</w:t>
      </w:r>
      <w:r>
        <w:rPr>
          <w:rFonts w:hint="eastAsia" w:ascii="宋体" w:hAnsi="宋体"/>
          <w:color w:val="000000"/>
          <w:sz w:val="24"/>
          <w:szCs w:val="24"/>
        </w:rPr>
        <w:t>关于201</w:t>
      </w:r>
      <w:r>
        <w:rPr>
          <w:rFonts w:hint="eastAsia" w:ascii="宋体" w:hAnsi="宋体"/>
          <w:color w:val="000000"/>
          <w:sz w:val="24"/>
          <w:szCs w:val="24"/>
          <w:lang w:val="en-US" w:eastAsia="zh-CN"/>
        </w:rPr>
        <w:t>7</w:t>
      </w:r>
      <w:r>
        <w:rPr>
          <w:rFonts w:hint="eastAsia" w:ascii="宋体" w:hAnsi="宋体"/>
          <w:color w:val="000000"/>
          <w:sz w:val="24"/>
          <w:szCs w:val="24"/>
        </w:rPr>
        <w:t>年</w:t>
      </w:r>
      <w:r>
        <w:rPr>
          <w:rFonts w:hint="eastAsia" w:ascii="宋体" w:hAnsi="宋体"/>
          <w:color w:val="000000"/>
          <w:sz w:val="24"/>
          <w:szCs w:val="24"/>
          <w:lang w:val="en-US" w:eastAsia="zh-CN"/>
        </w:rPr>
        <w:t>藏区新居补助资金</w:t>
      </w:r>
      <w:r>
        <w:rPr>
          <w:rFonts w:hint="eastAsia" w:ascii="宋体" w:hAnsi="宋体"/>
          <w:color w:val="000000"/>
          <w:sz w:val="24"/>
          <w:szCs w:val="24"/>
        </w:rPr>
        <w:t>(以下简称“该项目</w:t>
      </w:r>
      <w:r>
        <w:rPr>
          <w:rFonts w:hint="eastAsia" w:ascii="宋体" w:hAnsi="宋体"/>
          <w:color w:val="000000"/>
          <w:sz w:val="24"/>
          <w:szCs w:val="24"/>
          <w:lang w:val="en-US" w:eastAsia="zh-CN"/>
        </w:rPr>
        <w:t>或项目</w:t>
      </w:r>
      <w:r>
        <w:rPr>
          <w:rFonts w:hint="eastAsia" w:ascii="宋体" w:hAnsi="宋体"/>
          <w:color w:val="000000"/>
          <w:sz w:val="24"/>
          <w:szCs w:val="24"/>
        </w:rPr>
        <w:t>”)</w:t>
      </w:r>
      <w:r>
        <w:rPr>
          <w:rFonts w:hint="eastAsia" w:ascii="宋体" w:hAnsi="宋体"/>
          <w:sz w:val="24"/>
          <w:szCs w:val="24"/>
          <w:lang w:val="en-US" w:eastAsia="zh-CN"/>
        </w:rPr>
        <w:t>进行了绩效评价。</w:t>
      </w:r>
      <w:r>
        <w:rPr>
          <w:rFonts w:hint="eastAsia" w:ascii="宋体" w:hAnsi="宋体"/>
          <w:color w:val="000000"/>
          <w:sz w:val="24"/>
          <w:szCs w:val="24"/>
        </w:rPr>
        <w:t>提供该项目有关</w:t>
      </w:r>
      <w:r>
        <w:rPr>
          <w:rFonts w:ascii="宋体" w:hAnsi="宋体"/>
          <w:sz w:val="24"/>
          <w:szCs w:val="24"/>
        </w:rPr>
        <w:t>的真实、合法、完整</w:t>
      </w:r>
      <w:r>
        <w:rPr>
          <w:rFonts w:hint="eastAsia" w:ascii="宋体" w:hAnsi="宋体"/>
          <w:sz w:val="24"/>
          <w:szCs w:val="24"/>
          <w:lang w:val="zh-CN"/>
        </w:rPr>
        <w:t>的项目专项</w:t>
      </w:r>
      <w:r>
        <w:rPr>
          <w:rFonts w:hint="eastAsia" w:ascii="宋体" w:hAnsi="宋体"/>
          <w:sz w:val="24"/>
          <w:szCs w:val="24"/>
        </w:rPr>
        <w:t>资金</w:t>
      </w:r>
      <w:r>
        <w:rPr>
          <w:rFonts w:hint="eastAsia" w:ascii="宋体" w:hAnsi="宋体"/>
          <w:sz w:val="24"/>
          <w:szCs w:val="24"/>
          <w:lang w:val="zh-CN"/>
        </w:rPr>
        <w:t>收支的财务资料以及相关的文件</w:t>
      </w:r>
      <w:r>
        <w:rPr>
          <w:rFonts w:ascii="宋体" w:hAnsi="宋体"/>
          <w:sz w:val="24"/>
          <w:szCs w:val="24"/>
        </w:rPr>
        <w:t>是</w:t>
      </w:r>
      <w:r>
        <w:rPr>
          <w:rFonts w:hint="eastAsia" w:ascii="宋体" w:hAnsi="宋体"/>
          <w:sz w:val="24"/>
          <w:szCs w:val="24"/>
          <w:lang w:val="en-US" w:eastAsia="zh-CN"/>
        </w:rPr>
        <w:t>金川县城乡规划建设和住房保障局的</w:t>
      </w:r>
      <w:r>
        <w:rPr>
          <w:rFonts w:ascii="宋体" w:hAnsi="宋体"/>
          <w:sz w:val="24"/>
          <w:szCs w:val="24"/>
        </w:rPr>
        <w:t>的责任，我们的责任</w:t>
      </w:r>
      <w:r>
        <w:rPr>
          <w:rFonts w:hint="eastAsia" w:ascii="宋体" w:hAnsi="宋体"/>
          <w:sz w:val="24"/>
          <w:szCs w:val="24"/>
        </w:rPr>
        <w:t>是</w:t>
      </w:r>
      <w:r>
        <w:rPr>
          <w:rFonts w:ascii="宋体" w:hAnsi="宋体"/>
          <w:sz w:val="24"/>
          <w:szCs w:val="24"/>
        </w:rPr>
        <w:t>本着独立、客观、公正的原则，在实施必要</w:t>
      </w:r>
      <w:r>
        <w:rPr>
          <w:rFonts w:hint="eastAsia" w:ascii="宋体" w:hAnsi="宋体"/>
          <w:sz w:val="24"/>
          <w:szCs w:val="24"/>
        </w:rPr>
        <w:t>评价</w:t>
      </w:r>
      <w:r>
        <w:rPr>
          <w:rFonts w:ascii="宋体" w:hAnsi="宋体"/>
          <w:sz w:val="24"/>
          <w:szCs w:val="24"/>
        </w:rPr>
        <w:t>程序的基础上发表</w:t>
      </w:r>
      <w:r>
        <w:rPr>
          <w:rFonts w:hint="eastAsia" w:ascii="宋体" w:hAnsi="宋体"/>
          <w:sz w:val="24"/>
          <w:szCs w:val="24"/>
        </w:rPr>
        <w:t>评价</w:t>
      </w:r>
      <w:r>
        <w:rPr>
          <w:rFonts w:ascii="宋体" w:hAnsi="宋体"/>
          <w:sz w:val="24"/>
          <w:szCs w:val="24"/>
        </w:rPr>
        <w:t>意见。</w:t>
      </w:r>
      <w:r>
        <w:rPr>
          <w:rFonts w:hint="eastAsia" w:ascii="宋体" w:hAnsi="宋体"/>
          <w:sz w:val="24"/>
          <w:szCs w:val="24"/>
        </w:rPr>
        <w:t>我们的评价是依据财政部《财政支出绩效评价管理暂行办法》(财预〔2011〕285号）</w:t>
      </w:r>
      <w:r>
        <w:rPr>
          <w:rFonts w:hint="eastAsia" w:ascii="宋体" w:hAnsi="宋体"/>
          <w:sz w:val="24"/>
          <w:szCs w:val="24"/>
          <w:lang w:val="en-US" w:eastAsia="zh-CN"/>
        </w:rPr>
        <w:t>和四川省财政厅《关于四川省财政支出绩效评价操作规程（试行）》（川财绩</w:t>
      </w:r>
      <w:r>
        <w:rPr>
          <w:rFonts w:hint="eastAsia" w:ascii="宋体" w:hAnsi="宋体"/>
          <w:sz w:val="24"/>
          <w:szCs w:val="24"/>
        </w:rPr>
        <w:t>〔201</w:t>
      </w:r>
      <w:r>
        <w:rPr>
          <w:rFonts w:hint="eastAsia" w:ascii="宋体" w:hAnsi="宋体"/>
          <w:sz w:val="24"/>
          <w:szCs w:val="24"/>
          <w:lang w:val="en-US" w:eastAsia="zh-CN"/>
        </w:rPr>
        <w:t>8</w:t>
      </w:r>
      <w:r>
        <w:rPr>
          <w:rFonts w:hint="eastAsia" w:ascii="宋体" w:hAnsi="宋体"/>
          <w:sz w:val="24"/>
          <w:szCs w:val="24"/>
        </w:rPr>
        <w:t>〕</w:t>
      </w:r>
      <w:r>
        <w:rPr>
          <w:rFonts w:hint="eastAsia" w:ascii="宋体" w:hAnsi="宋体"/>
          <w:sz w:val="24"/>
          <w:szCs w:val="24"/>
          <w:lang w:val="en-US" w:eastAsia="zh-CN"/>
        </w:rPr>
        <w:t>2号）</w:t>
      </w:r>
      <w:r>
        <w:rPr>
          <w:rFonts w:hint="eastAsia" w:ascii="宋体" w:hAnsi="宋体"/>
          <w:sz w:val="24"/>
          <w:szCs w:val="24"/>
        </w:rPr>
        <w:t>进行的。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宋体" w:hAnsi="宋体"/>
          <w:sz w:val="24"/>
          <w:szCs w:val="24"/>
        </w:rPr>
      </w:pPr>
      <w:r>
        <w:rPr>
          <w:rFonts w:hint="eastAsia" w:ascii="宋体" w:hAnsi="宋体"/>
          <w:sz w:val="24"/>
          <w:szCs w:val="24"/>
        </w:rPr>
        <w:t>在评价过程中，我们结合该项目的实际情况，实施了包括检查会计记录、</w:t>
      </w:r>
      <w:r>
        <w:rPr>
          <w:rFonts w:hint="eastAsia" w:ascii="宋体" w:hAnsi="宋体"/>
          <w:sz w:val="24"/>
          <w:szCs w:val="24"/>
          <w:lang w:val="en-US" w:eastAsia="zh-CN"/>
        </w:rPr>
        <w:t>实地查看、</w:t>
      </w:r>
      <w:r>
        <w:rPr>
          <w:rFonts w:hint="eastAsia" w:ascii="宋体" w:hAnsi="宋体"/>
          <w:sz w:val="24"/>
          <w:szCs w:val="24"/>
        </w:rPr>
        <w:t>核实和调阅上级文件等我们认为必要的评价程序。我们相信，我们的工作为发表评价意见提供了合理的基础。</w:t>
      </w:r>
    </w:p>
    <w:p>
      <w:pPr>
        <w:keepNext w:val="0"/>
        <w:keepLines w:val="0"/>
        <w:pageBreakBefore w:val="0"/>
        <w:widowControl w:val="0"/>
        <w:kinsoku/>
        <w:wordWrap/>
        <w:overflowPunct/>
        <w:topLinePunct w:val="0"/>
        <w:autoSpaceDE/>
        <w:autoSpaceDN/>
        <w:bidi w:val="0"/>
        <w:adjustRightInd/>
        <w:snapToGrid/>
        <w:spacing w:line="360" w:lineRule="auto"/>
        <w:ind w:firstLine="555"/>
        <w:textAlignment w:val="auto"/>
        <w:rPr>
          <w:rFonts w:hint="eastAsia" w:hAnsi="宋体" w:eastAsia="仿宋_GB2312"/>
          <w:sz w:val="21"/>
          <w:szCs w:val="24"/>
          <w:lang w:eastAsia="zh-CN"/>
        </w:rPr>
      </w:pPr>
      <w:r>
        <w:rPr>
          <w:rFonts w:hint="eastAsia" w:ascii="宋体" w:hAnsi="宋体"/>
          <w:sz w:val="24"/>
          <w:szCs w:val="24"/>
        </w:rPr>
        <w:t>我们的</w:t>
      </w:r>
      <w:r>
        <w:rPr>
          <w:rFonts w:ascii="宋体" w:hAnsi="宋体"/>
          <w:sz w:val="24"/>
          <w:szCs w:val="24"/>
        </w:rPr>
        <w:t>现场</w:t>
      </w:r>
      <w:r>
        <w:rPr>
          <w:rFonts w:hint="eastAsia" w:ascii="宋体" w:hAnsi="宋体"/>
          <w:sz w:val="24"/>
          <w:szCs w:val="24"/>
        </w:rPr>
        <w:t>评价</w:t>
      </w:r>
      <w:r>
        <w:rPr>
          <w:rFonts w:ascii="宋体" w:hAnsi="宋体"/>
          <w:sz w:val="24"/>
          <w:szCs w:val="24"/>
        </w:rPr>
        <w:t>工作已</w:t>
      </w:r>
      <w:r>
        <w:rPr>
          <w:rFonts w:ascii="宋体" w:hAnsi="宋体"/>
          <w:sz w:val="24"/>
          <w:szCs w:val="24"/>
          <w:highlight w:val="none"/>
        </w:rPr>
        <w:t>于</w:t>
      </w:r>
      <w:r>
        <w:rPr>
          <w:rFonts w:hint="eastAsia" w:ascii="宋体" w:hAnsi="宋体"/>
          <w:color w:val="000000"/>
          <w:sz w:val="24"/>
          <w:szCs w:val="24"/>
          <w:highlight w:val="none"/>
        </w:rPr>
        <w:t>201</w:t>
      </w:r>
      <w:r>
        <w:rPr>
          <w:rFonts w:hint="eastAsia" w:ascii="宋体" w:hAnsi="宋体"/>
          <w:color w:val="000000"/>
          <w:sz w:val="24"/>
          <w:szCs w:val="24"/>
          <w:highlight w:val="none"/>
          <w:lang w:val="en-US" w:eastAsia="zh-CN"/>
        </w:rPr>
        <w:t>8</w:t>
      </w:r>
      <w:r>
        <w:rPr>
          <w:rFonts w:ascii="宋体" w:hAnsi="宋体"/>
          <w:color w:val="000000"/>
          <w:sz w:val="24"/>
          <w:szCs w:val="24"/>
          <w:highlight w:val="none"/>
        </w:rPr>
        <w:t>年</w:t>
      </w:r>
      <w:r>
        <w:rPr>
          <w:rFonts w:hint="eastAsia" w:ascii="宋体" w:hAnsi="宋体"/>
          <w:color w:val="000000"/>
          <w:sz w:val="24"/>
          <w:szCs w:val="24"/>
          <w:highlight w:val="none"/>
          <w:lang w:val="en-US" w:eastAsia="zh-CN"/>
        </w:rPr>
        <w:t>9</w:t>
      </w:r>
      <w:r>
        <w:rPr>
          <w:rFonts w:ascii="宋体" w:hAnsi="宋体"/>
          <w:color w:val="000000"/>
          <w:sz w:val="24"/>
          <w:szCs w:val="24"/>
          <w:highlight w:val="none"/>
        </w:rPr>
        <w:t>月</w:t>
      </w:r>
      <w:r>
        <w:rPr>
          <w:rFonts w:hint="eastAsia" w:ascii="宋体" w:hAnsi="宋体"/>
          <w:color w:val="000000"/>
          <w:sz w:val="24"/>
          <w:szCs w:val="24"/>
          <w:highlight w:val="none"/>
          <w:lang w:val="en-US" w:eastAsia="zh-CN"/>
        </w:rPr>
        <w:t>15</w:t>
      </w:r>
      <w:r>
        <w:rPr>
          <w:rFonts w:ascii="宋体" w:hAnsi="宋体"/>
          <w:color w:val="000000"/>
          <w:sz w:val="24"/>
          <w:szCs w:val="24"/>
          <w:highlight w:val="none"/>
        </w:rPr>
        <w:t>日</w:t>
      </w:r>
      <w:r>
        <w:rPr>
          <w:rFonts w:ascii="宋体" w:hAnsi="宋体"/>
          <w:sz w:val="24"/>
          <w:szCs w:val="24"/>
          <w:highlight w:val="none"/>
        </w:rPr>
        <w:t>结束</w:t>
      </w:r>
      <w:r>
        <w:rPr>
          <w:rFonts w:ascii="宋体" w:hAnsi="宋体"/>
          <w:sz w:val="24"/>
          <w:szCs w:val="24"/>
        </w:rPr>
        <w:t>，现将</w:t>
      </w:r>
      <w:r>
        <w:rPr>
          <w:rFonts w:hint="eastAsia" w:ascii="宋体" w:hAnsi="宋体"/>
          <w:sz w:val="24"/>
          <w:szCs w:val="24"/>
        </w:rPr>
        <w:t>评价</w:t>
      </w:r>
      <w:r>
        <w:rPr>
          <w:rFonts w:ascii="宋体" w:hAnsi="宋体"/>
          <w:sz w:val="24"/>
          <w:szCs w:val="24"/>
        </w:rPr>
        <w:t>情况报告如下</w:t>
      </w:r>
      <w:r>
        <w:rPr>
          <w:rFonts w:hint="eastAsia" w:ascii="宋体" w:hAnsi="宋体"/>
          <w:sz w:val="24"/>
          <w:szCs w:val="24"/>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sz w:val="24"/>
          <w:szCs w:val="24"/>
          <w:lang w:val="en-US" w:eastAsia="zh-CN"/>
        </w:rPr>
      </w:pPr>
      <w:r>
        <w:rPr>
          <w:rFonts w:hint="eastAsia" w:ascii="宋体" w:hAnsi="宋体"/>
          <w:b/>
          <w:bCs/>
          <w:sz w:val="24"/>
          <w:szCs w:val="24"/>
          <w:lang w:val="en-US" w:eastAsia="zh-CN"/>
        </w:rPr>
        <w:t>项目情况</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rPr>
          <w:rFonts w:hint="eastAsia" w:ascii="宋体" w:hAnsi="宋体"/>
          <w:b w:val="0"/>
          <w:bCs w:val="0"/>
          <w:sz w:val="24"/>
          <w:szCs w:val="24"/>
          <w:lang w:val="en-US" w:eastAsia="zh-CN"/>
        </w:rPr>
      </w:pPr>
      <w:r>
        <w:rPr>
          <w:rFonts w:hint="eastAsia" w:ascii="宋体" w:hAnsi="宋体"/>
          <w:b w:val="0"/>
          <w:bCs w:val="0"/>
          <w:sz w:val="24"/>
          <w:szCs w:val="24"/>
          <w:lang w:val="en-US" w:eastAsia="zh-CN"/>
        </w:rPr>
        <w:t>项目实施单位基本情况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b w:val="0"/>
          <w:bCs w:val="0"/>
          <w:sz w:val="24"/>
          <w:szCs w:val="24"/>
          <w:lang w:val="en-US" w:eastAsia="zh-CN"/>
        </w:rPr>
      </w:pPr>
      <w:r>
        <w:rPr>
          <w:rFonts w:hint="eastAsia" w:ascii="仿宋" w:hAnsi="仿宋" w:eastAsia="仿宋" w:cs="仿宋"/>
          <w:b w:val="0"/>
          <w:bCs w:val="0"/>
          <w:sz w:val="24"/>
          <w:lang w:val="en-US" w:eastAsia="zh-CN"/>
        </w:rPr>
        <w:t>金川县城乡规划建设和住房保障局机关行政编制9人，内设机构有：办公室、规划管理股、建设管理股、住房保障与房地产市场管理股。主要职责：贯彻执行国家、省、州住房和城乡建设的法律、法规和方针政策；承担推进住房制度改革，保障城镇低收入家庭住房的责任.....承担规范房地产市场秩序、监督管理房地产市场的责任......承办县政府交办的其他事项。</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rPr>
          <w:rFonts w:hint="eastAsia" w:ascii="宋体" w:hAnsi="宋体"/>
          <w:b w:val="0"/>
          <w:bCs w:val="0"/>
          <w:sz w:val="24"/>
          <w:szCs w:val="24"/>
          <w:lang w:val="en-US" w:eastAsia="zh-CN"/>
        </w:rPr>
      </w:pPr>
      <w:r>
        <w:rPr>
          <w:rFonts w:hint="eastAsia" w:ascii="宋体" w:hAnsi="宋体"/>
          <w:b w:val="0"/>
          <w:bCs w:val="0"/>
          <w:sz w:val="24"/>
          <w:szCs w:val="24"/>
          <w:lang w:val="en-US" w:eastAsia="zh-CN"/>
        </w:rPr>
        <w:t>项目基本情况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根据金川县财政局《关于下达2017年藏区新居补助资金预算的通知》（金财投[2017]52号）下达项目资金9,520,000元，其中中央财政资金4,046,000元，省级财政配套资金5,474,000</w:t>
      </w:r>
      <w:bookmarkStart w:id="0" w:name="_GoBack"/>
      <w:bookmarkEnd w:id="0"/>
      <w:r>
        <w:rPr>
          <w:rFonts w:hint="eastAsia" w:ascii="宋体" w:hAnsi="宋体"/>
          <w:sz w:val="24"/>
          <w:szCs w:val="24"/>
          <w:lang w:val="en-US" w:eastAsia="zh-CN"/>
        </w:rPr>
        <w:t>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项目资金主要用于：金川县内低保户、农村分散供养特困人员、贫困残疾人家庭、建档立卡贫困户的藏区新居建设。2017藏区新居建设共476户，资金来源以农户自筹为主、政府适当补助、政府补助资金统一按20000元/户，采用一卡通直接兑现到户，其中：中央农村危房改造补助资金8500元/户、省级财政配套11500元/户。</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sz w:val="24"/>
          <w:szCs w:val="24"/>
          <w:lang w:val="en-US" w:eastAsia="zh-CN"/>
        </w:rPr>
      </w:pPr>
      <w:r>
        <w:rPr>
          <w:rFonts w:hint="eastAsia" w:ascii="宋体" w:hAnsi="宋体"/>
          <w:b/>
          <w:bCs/>
          <w:sz w:val="24"/>
          <w:szCs w:val="24"/>
          <w:lang w:val="en-US" w:eastAsia="zh-CN"/>
        </w:rPr>
        <w:t>评价结论及绩效分析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（一）评价结论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藏区新居对符合建设条件的自愿申请、经村委评议公示后、乡镇审核、县发改、农工办、财政、扶贫移民局、住建局局等部门进行联审、建设、验收、挂牌、确权等流程，对符合建设条件并验收合格后的474户9,480,000元，采用一卡通直接兑付到户。</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color w:val="auto"/>
          <w:sz w:val="24"/>
          <w:szCs w:val="24"/>
          <w:lang w:val="en-US" w:eastAsia="zh-CN"/>
        </w:rPr>
      </w:pPr>
      <w:r>
        <w:rPr>
          <w:rFonts w:hint="eastAsia" w:ascii="宋体" w:hAnsi="宋体"/>
          <w:sz w:val="24"/>
          <w:szCs w:val="24"/>
          <w:lang w:val="en-US" w:eastAsia="zh-CN"/>
        </w:rPr>
        <w:t>根据</w:t>
      </w:r>
      <w:r>
        <w:rPr>
          <w:rFonts w:hint="eastAsia" w:ascii="宋体" w:hAnsi="宋体"/>
          <w:sz w:val="24"/>
          <w:szCs w:val="24"/>
        </w:rPr>
        <w:t>2018年阿坝州项目支出绩效评价指标体系</w:t>
      </w:r>
      <w:r>
        <w:rPr>
          <w:rFonts w:hint="eastAsia" w:ascii="宋体" w:hAnsi="宋体"/>
          <w:sz w:val="24"/>
          <w:szCs w:val="24"/>
          <w:lang w:val="en-US" w:eastAsia="zh-CN"/>
        </w:rPr>
        <w:t>评分，该项目综合得分93份。具体</w:t>
      </w:r>
      <w:r>
        <w:rPr>
          <w:rFonts w:hint="eastAsia" w:ascii="宋体" w:hAnsi="宋体"/>
          <w:color w:val="auto"/>
          <w:sz w:val="24"/>
          <w:szCs w:val="24"/>
          <w:lang w:val="en-US" w:eastAsia="zh-CN"/>
        </w:rPr>
        <w:t>评分情况详见附表一：</w:t>
      </w:r>
      <w:r>
        <w:rPr>
          <w:rFonts w:hint="eastAsia" w:ascii="宋体" w:hAnsi="宋体"/>
          <w:color w:val="auto"/>
          <w:sz w:val="24"/>
          <w:szCs w:val="24"/>
        </w:rPr>
        <w:t>2018年阿坝州项目支出绩效评价指标体系</w:t>
      </w:r>
      <w:r>
        <w:rPr>
          <w:rFonts w:hint="eastAsia" w:ascii="宋体" w:hAnsi="宋体"/>
          <w:color w:val="auto"/>
          <w:sz w:val="24"/>
          <w:szCs w:val="24"/>
          <w:lang w:val="en-US" w:eastAsia="zh-CN"/>
        </w:rPr>
        <w:t>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（二）绩效分析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1、项目决策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的必要性：对金川县无住房、房屋危旧（根据住建部《农村危险房屋鉴定技术导则》鉴定属于整栋危房D级或局部危险C级的房屋）或住房狭小且经济困难无能力建设的贫困农牧民群众，特别是已录入精准扶贫信息系统和危房改造信息系统的全县建档立卡贫困户中的109户危房以及其他贫困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的可行性：因地制宜、分类施策的原则、灵活采用新建、修缮加固或购买的方式（D级应拆除重建、C级应修缮加固），补助金额让低收入贫困户节约了经济成本，使“居着有其屋”，不必为了修建、装修房屋而节衣缩食、苦苦积蓄、从而改善生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项目的绩效目标：建设任务共计476户，补助资金按照20000元/户标准发放。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2、项目管理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项目资金到位情况：藏区新居补助资金2017年到位9,520,000元，资金到位率100%。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项目资金使用情况：藏区新居补助资金2017年支出9,520,000元，但后期发现2户不符合标准，于2018年收回40000元，已上交财政。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资金管理情况：全部资金由财政直接拨付到城乡规划建设和住房保障局账户，藏区新居建设474户经村委、乡镇、发改局、扶贫移民局、财政局、住建局联合验收后，资金拨付到相应的受益人账户项目资金做到了专款专用。</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项目绩效</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 xml:space="preserve">    项目经县、乡验收合格后，资金按照20000元/户已全部发放完毕。</w:t>
      </w:r>
    </w:p>
    <w:p>
      <w:pPr>
        <w:numPr>
          <w:ilvl w:val="0"/>
          <w:numId w:val="0"/>
        </w:numPr>
        <w:snapToGrid/>
        <w:spacing w:line="360" w:lineRule="auto"/>
        <w:ind w:firstLine="480" w:firstLineChars="200"/>
        <w:rPr>
          <w:rFonts w:hint="eastAsia" w:ascii="宋体" w:hAnsi="宋体"/>
          <w:color w:val="auto"/>
          <w:sz w:val="24"/>
          <w:szCs w:val="24"/>
          <w:lang w:val="en-US" w:eastAsia="zh-CN"/>
        </w:rPr>
      </w:pPr>
      <w:r>
        <w:rPr>
          <w:rFonts w:hint="eastAsia" w:ascii="宋体" w:hAnsi="宋体"/>
          <w:color w:val="auto"/>
          <w:sz w:val="24"/>
          <w:szCs w:val="24"/>
          <w:lang w:val="en-US" w:eastAsia="zh-CN"/>
        </w:rPr>
        <w:t>藏区新居建设是一项重要的民生工程，对于改善民生、促进社会和谐具有重要意义。藏区新居建设对当地经济有可观的拉动作用，划拨的补助金额让低收入贫困户节约了经济成本，使“居着有其屋”，不必为了修建、装修房屋而节衣缩食、苦苦积蓄、从而改善生活，广大群众得到了实惠，满足了群众的基本需求，保障和改善了民生、促进了社会和谐稳定，不断提高农牧民群众的生活水平和质量。（受益群体满意度）。</w:t>
      </w:r>
    </w:p>
    <w:p>
      <w:pPr>
        <w:numPr>
          <w:ilvl w:val="0"/>
          <w:numId w:val="0"/>
        </w:numPr>
        <w:snapToGrid/>
        <w:spacing w:line="351" w:lineRule="auto"/>
        <w:ind w:firstLine="480" w:firstLineChars="200"/>
        <w:rPr>
          <w:rFonts w:hint="eastAsia" w:ascii="宋体" w:hAnsi="宋体"/>
          <w:color w:val="auto"/>
          <w:sz w:val="24"/>
          <w:szCs w:val="24"/>
          <w:lang w:val="en-US" w:eastAsia="zh-CN"/>
        </w:rPr>
      </w:pPr>
      <w:r>
        <w:rPr>
          <w:rFonts w:hint="eastAsia" w:ascii="宋体" w:hAnsi="宋体"/>
          <w:color w:val="auto"/>
          <w:sz w:val="24"/>
          <w:szCs w:val="24"/>
          <w:lang w:val="en-US" w:eastAsia="zh-CN"/>
        </w:rPr>
        <w:t>我们选择抽取了曾达乡、咯尔乡、观音桥镇，用于</w:t>
      </w:r>
      <w:r>
        <w:rPr>
          <w:rFonts w:hint="eastAsia" w:ascii="宋体" w:hAnsi="宋体"/>
          <w:sz w:val="24"/>
          <w:szCs w:val="24"/>
          <w:lang w:val="en-US" w:eastAsia="zh-CN"/>
        </w:rPr>
        <w:t>低保户、农村分散供养特困人员、贫困残疾人家庭、建档立卡贫困户的藏区新居建设对其</w:t>
      </w:r>
      <w:r>
        <w:rPr>
          <w:rFonts w:hint="eastAsia" w:ascii="宋体" w:hAnsi="宋体"/>
          <w:sz w:val="24"/>
          <w:szCs w:val="24"/>
          <w:highlight w:val="none"/>
          <w:lang w:val="en-US" w:eastAsia="zh-CN"/>
        </w:rPr>
        <w:t>进行实地</w:t>
      </w:r>
      <w:r>
        <w:rPr>
          <w:rFonts w:hint="eastAsia" w:ascii="宋体" w:hAnsi="宋体"/>
          <w:color w:val="auto"/>
          <w:sz w:val="24"/>
          <w:szCs w:val="24"/>
          <w:highlight w:val="none"/>
          <w:lang w:val="en-US" w:eastAsia="zh-CN"/>
        </w:rPr>
        <w:t>调查；调查</w:t>
      </w:r>
      <w:r>
        <w:rPr>
          <w:rFonts w:hint="eastAsia" w:ascii="宋体" w:hAnsi="宋体"/>
          <w:sz w:val="24"/>
          <w:szCs w:val="24"/>
          <w:highlight w:val="none"/>
          <w:lang w:val="en-US" w:eastAsia="zh-CN"/>
        </w:rPr>
        <w:t>表明，该项目均已按规定实施。</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存在主要问题</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both"/>
        <w:textAlignment w:val="auto"/>
        <w:rPr>
          <w:rFonts w:hint="eastAsia" w:ascii="宋体" w:hAnsi="宋体"/>
          <w:b w:val="0"/>
          <w:bCs w:val="0"/>
          <w:sz w:val="24"/>
          <w:szCs w:val="24"/>
          <w:lang w:val="en-US" w:eastAsia="zh-CN"/>
        </w:rPr>
      </w:pPr>
      <w:r>
        <w:rPr>
          <w:rFonts w:hint="eastAsia" w:ascii="宋体" w:hAnsi="宋体"/>
          <w:b/>
          <w:bCs/>
          <w:sz w:val="24"/>
          <w:szCs w:val="24"/>
          <w:lang w:val="en-US" w:eastAsia="zh-CN"/>
        </w:rPr>
        <w:t xml:space="preserve">    </w:t>
      </w:r>
      <w:r>
        <w:rPr>
          <w:rFonts w:hint="eastAsia" w:ascii="宋体" w:hAnsi="宋体"/>
          <w:b w:val="0"/>
          <w:bCs w:val="0"/>
          <w:sz w:val="24"/>
          <w:szCs w:val="24"/>
          <w:lang w:val="en-US" w:eastAsia="zh-CN"/>
        </w:rPr>
        <w:t>无</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sz w:val="24"/>
          <w:szCs w:val="24"/>
          <w:lang w:val="en-US" w:eastAsia="zh-CN"/>
        </w:rPr>
      </w:pPr>
      <w:r>
        <w:rPr>
          <w:rFonts w:hint="eastAsia" w:ascii="宋体" w:hAnsi="宋体"/>
          <w:b/>
          <w:bCs/>
          <w:sz w:val="24"/>
          <w:szCs w:val="24"/>
          <w:lang w:val="en-US" w:eastAsia="zh-CN"/>
        </w:rPr>
        <w:t>相关措施建议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1、加强低保户、农村分散供养特困人员、贫困残疾人家庭和建档立卡贫困户的审核，不能即享受藏区新居建设又享受灾后重建、农村危房改造等。</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仿宋_GB2312" w:cs="Times New Roman"/>
          <w:b/>
          <w:bCs/>
          <w:color w:val="auto"/>
          <w:sz w:val="24"/>
          <w:szCs w:val="24"/>
          <w:lang w:val="en-US" w:eastAsia="zh-CN"/>
        </w:rPr>
      </w:pPr>
      <w:r>
        <w:rPr>
          <w:rFonts w:hint="eastAsia" w:ascii="宋体" w:hAnsi="宋体" w:eastAsia="仿宋_GB2312" w:cs="Times New Roman"/>
          <w:b/>
          <w:bCs/>
          <w:color w:val="auto"/>
          <w:sz w:val="24"/>
          <w:szCs w:val="24"/>
          <w:lang w:val="en-US" w:eastAsia="zh-CN"/>
        </w:rPr>
        <w:t>五、本报告使用范围</w:t>
      </w:r>
    </w:p>
    <w:p>
      <w:pPr>
        <w:keepNext w:val="0"/>
        <w:keepLines w:val="0"/>
        <w:pageBreakBefore w:val="0"/>
        <w:widowControl w:val="0"/>
        <w:numPr>
          <w:ilvl w:val="-1"/>
          <w:numId w:val="0"/>
        </w:numPr>
        <w:kinsoku/>
        <w:wordWrap/>
        <w:overflowPunct/>
        <w:topLinePunct w:val="0"/>
        <w:autoSpaceDE/>
        <w:autoSpaceDN/>
        <w:bidi w:val="0"/>
        <w:adjustRightInd/>
        <w:snapToGrid w:val="0"/>
        <w:spacing w:line="360" w:lineRule="auto"/>
        <w:textAlignment w:val="auto"/>
        <w:rPr>
          <w:rFonts w:hint="eastAsia" w:ascii="宋体" w:hAnsi="宋体" w:eastAsia="仿宋_GB2312" w:cs="Times New Roman"/>
          <w:sz w:val="24"/>
          <w:szCs w:val="24"/>
          <w:lang w:bidi="ar"/>
        </w:rPr>
      </w:pPr>
      <w:r>
        <w:rPr>
          <w:rFonts w:hint="eastAsia" w:ascii="仿宋" w:hAnsi="仿宋" w:eastAsia="仿宋" w:cs="仿宋"/>
          <w:sz w:val="24"/>
          <w:szCs w:val="24"/>
          <w:highlight w:val="none"/>
          <w:lang w:val="en-US" w:eastAsia="zh-CN" w:bidi="ar"/>
        </w:rPr>
        <w:t xml:space="preserve">  </w:t>
      </w:r>
      <w:r>
        <w:rPr>
          <w:rFonts w:hint="eastAsia" w:ascii="宋体" w:hAnsi="宋体" w:eastAsia="仿宋_GB2312" w:cs="Times New Roman"/>
          <w:sz w:val="24"/>
          <w:szCs w:val="24"/>
          <w:lang w:val="en-US" w:eastAsia="zh-CN" w:bidi="ar"/>
        </w:rPr>
        <w:t xml:space="preserve"> </w:t>
      </w:r>
      <w:r>
        <w:rPr>
          <w:rFonts w:hint="eastAsia" w:ascii="宋体" w:hAnsi="宋体" w:eastAsia="仿宋_GB2312" w:cs="Times New Roman"/>
          <w:sz w:val="24"/>
          <w:szCs w:val="24"/>
          <w:lang w:bidi="ar"/>
        </w:rPr>
        <w:t>本报告是在</w:t>
      </w:r>
      <w:r>
        <w:rPr>
          <w:rFonts w:hint="eastAsia" w:ascii="宋体" w:hAnsi="宋体" w:eastAsia="仿宋_GB2312" w:cs="Times New Roman"/>
          <w:sz w:val="24"/>
          <w:szCs w:val="24"/>
          <w:lang w:val="en-US" w:eastAsia="zh-CN" w:bidi="ar"/>
        </w:rPr>
        <w:t>贵局</w:t>
      </w:r>
      <w:r>
        <w:rPr>
          <w:rFonts w:hint="eastAsia" w:ascii="宋体" w:hAnsi="宋体" w:eastAsia="仿宋_GB2312" w:cs="Times New Roman"/>
          <w:sz w:val="24"/>
          <w:szCs w:val="24"/>
          <w:lang w:bidi="ar"/>
        </w:rPr>
        <w:t>所提供的现有资料基础上</w:t>
      </w:r>
      <w:r>
        <w:rPr>
          <w:rFonts w:hint="eastAsia" w:ascii="宋体" w:hAnsi="宋体" w:eastAsia="仿宋_GB2312" w:cs="Times New Roman"/>
          <w:sz w:val="24"/>
          <w:szCs w:val="24"/>
          <w:lang w:val="en-US" w:eastAsia="zh-CN" w:bidi="ar"/>
        </w:rPr>
        <w:t>检查</w:t>
      </w:r>
      <w:r>
        <w:rPr>
          <w:rFonts w:hint="eastAsia" w:ascii="宋体" w:hAnsi="宋体" w:eastAsia="仿宋_GB2312" w:cs="Times New Roman"/>
          <w:sz w:val="24"/>
          <w:szCs w:val="24"/>
          <w:lang w:bidi="ar"/>
        </w:rPr>
        <w:t>做出的结论，仅供</w:t>
      </w:r>
      <w:r>
        <w:rPr>
          <w:rFonts w:hint="eastAsia" w:ascii="宋体" w:hAnsi="宋体" w:eastAsia="仿宋_GB2312" w:cs="Times New Roman"/>
          <w:sz w:val="24"/>
          <w:szCs w:val="24"/>
          <w:lang w:val="en-US" w:eastAsia="zh-CN" w:bidi="ar"/>
        </w:rPr>
        <w:t>金川县财政局</w:t>
      </w:r>
      <w:r>
        <w:rPr>
          <w:rFonts w:hint="eastAsia" w:ascii="宋体" w:hAnsi="宋体" w:eastAsia="仿宋_GB2312" w:cs="Times New Roman"/>
          <w:sz w:val="24"/>
          <w:szCs w:val="24"/>
          <w:lang w:bidi="ar"/>
        </w:rPr>
        <w:t>区</w:t>
      </w:r>
      <w:r>
        <w:rPr>
          <w:rFonts w:hint="eastAsia" w:ascii="宋体" w:hAnsi="宋体" w:eastAsia="仿宋_GB2312" w:cs="Times New Roman"/>
          <w:sz w:val="24"/>
          <w:szCs w:val="24"/>
          <w:lang w:val="en-US" w:eastAsia="zh-CN" w:bidi="ar"/>
        </w:rPr>
        <w:t>了解</w:t>
      </w:r>
      <w:r>
        <w:rPr>
          <w:rFonts w:hint="eastAsia" w:ascii="宋体" w:hAnsi="宋体" w:eastAsia="仿宋_GB2312" w:cs="Times New Roman"/>
          <w:b w:val="0"/>
          <w:sz w:val="24"/>
          <w:szCs w:val="24"/>
          <w:lang w:val="en-US" w:eastAsia="zh-CN" w:bidi="ar"/>
        </w:rPr>
        <w:t>金川县</w:t>
      </w:r>
      <w:r>
        <w:rPr>
          <w:rFonts w:hint="eastAsia" w:ascii="宋体" w:hAnsi="宋体" w:cs="Times New Roman"/>
          <w:b w:val="0"/>
          <w:sz w:val="24"/>
          <w:szCs w:val="24"/>
          <w:lang w:val="en-US" w:eastAsia="zh-CN" w:bidi="ar"/>
        </w:rPr>
        <w:t>城乡规划建设和住房保障局</w:t>
      </w:r>
      <w:r>
        <w:rPr>
          <w:rFonts w:hint="eastAsia" w:ascii="宋体" w:hAnsi="宋体" w:eastAsia="仿宋_GB2312" w:cs="Times New Roman"/>
          <w:sz w:val="24"/>
          <w:szCs w:val="24"/>
          <w:lang w:val="en-US" w:eastAsia="zh-CN" w:bidi="ar"/>
        </w:rPr>
        <w:t>2017年</w:t>
      </w:r>
      <w:r>
        <w:rPr>
          <w:rFonts w:hint="eastAsia" w:ascii="宋体" w:hAnsi="宋体" w:cs="Times New Roman"/>
          <w:sz w:val="24"/>
          <w:szCs w:val="24"/>
          <w:lang w:val="en-US" w:eastAsia="zh-CN" w:bidi="ar"/>
        </w:rPr>
        <w:t>森林生态效益补偿</w:t>
      </w:r>
      <w:r>
        <w:rPr>
          <w:rFonts w:hint="eastAsia" w:ascii="宋体" w:hAnsi="宋体" w:eastAsia="仿宋_GB2312" w:cs="Times New Roman"/>
          <w:sz w:val="24"/>
          <w:szCs w:val="24"/>
          <w:lang w:val="en-US" w:eastAsia="zh-CN" w:bidi="ar"/>
        </w:rPr>
        <w:t>资金</w:t>
      </w:r>
      <w:r>
        <w:rPr>
          <w:rFonts w:hint="eastAsia" w:ascii="宋体" w:hAnsi="宋体" w:cs="Times New Roman"/>
          <w:sz w:val="24"/>
          <w:szCs w:val="24"/>
          <w:lang w:val="en-US" w:eastAsia="zh-CN" w:bidi="ar"/>
        </w:rPr>
        <w:t>绩效评价</w:t>
      </w:r>
      <w:r>
        <w:rPr>
          <w:rFonts w:hint="eastAsia" w:ascii="宋体" w:hAnsi="宋体" w:eastAsia="仿宋_GB2312" w:cs="Times New Roman"/>
          <w:sz w:val="24"/>
          <w:szCs w:val="24"/>
          <w:lang w:val="en-US" w:eastAsia="zh-CN" w:bidi="ar"/>
        </w:rPr>
        <w:t>情况</w:t>
      </w:r>
      <w:r>
        <w:rPr>
          <w:rFonts w:hint="eastAsia" w:ascii="宋体" w:hAnsi="宋体" w:cs="Times New Roman"/>
          <w:sz w:val="24"/>
          <w:szCs w:val="24"/>
          <w:lang w:val="en-US" w:eastAsia="zh-CN" w:bidi="ar"/>
        </w:rPr>
        <w:t>时</w:t>
      </w:r>
      <w:r>
        <w:rPr>
          <w:rFonts w:hint="eastAsia" w:ascii="宋体" w:hAnsi="宋体" w:eastAsia="仿宋_GB2312" w:cs="Times New Roman"/>
          <w:sz w:val="24"/>
          <w:szCs w:val="24"/>
          <w:lang w:val="en-US" w:eastAsia="zh-CN" w:bidi="ar"/>
        </w:rPr>
        <w:t>使用</w:t>
      </w:r>
      <w:r>
        <w:rPr>
          <w:rFonts w:hint="eastAsia" w:ascii="宋体" w:hAnsi="宋体" w:eastAsia="仿宋_GB2312" w:cs="Times New Roman"/>
          <w:sz w:val="24"/>
          <w:szCs w:val="24"/>
          <w:lang w:bidi="ar"/>
        </w:rPr>
        <w:t>，不作为其他用途，如因使用不当所造成的后果，</w:t>
      </w:r>
      <w:r>
        <w:rPr>
          <w:rFonts w:hint="eastAsia" w:ascii="宋体" w:hAnsi="宋体" w:eastAsia="仿宋_GB2312" w:cs="Times New Roman"/>
          <w:sz w:val="24"/>
          <w:szCs w:val="24"/>
          <w:lang w:eastAsia="zh-CN" w:bidi="ar"/>
        </w:rPr>
        <w:t>与本</w:t>
      </w:r>
      <w:r>
        <w:rPr>
          <w:rFonts w:hint="eastAsia" w:ascii="宋体" w:hAnsi="宋体" w:eastAsia="仿宋_GB2312" w:cs="Times New Roman"/>
          <w:sz w:val="24"/>
          <w:szCs w:val="24"/>
          <w:lang w:bidi="ar"/>
        </w:rPr>
        <w:t>所和</w:t>
      </w:r>
      <w:r>
        <w:rPr>
          <w:rFonts w:hint="eastAsia" w:ascii="宋体" w:hAnsi="宋体" w:eastAsia="仿宋_GB2312" w:cs="Times New Roman"/>
          <w:sz w:val="24"/>
          <w:szCs w:val="24"/>
          <w:lang w:eastAsia="zh-CN" w:bidi="ar"/>
        </w:rPr>
        <w:t>签字</w:t>
      </w:r>
      <w:r>
        <w:rPr>
          <w:rFonts w:hint="eastAsia" w:ascii="宋体" w:hAnsi="宋体" w:eastAsia="仿宋_GB2312" w:cs="Times New Roman"/>
          <w:sz w:val="24"/>
          <w:szCs w:val="24"/>
          <w:lang w:bidi="ar"/>
        </w:rPr>
        <w:t>注册会计师无关。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附表一：</w:t>
      </w:r>
      <w:r>
        <w:rPr>
          <w:rFonts w:hint="eastAsia" w:ascii="宋体" w:hAnsi="宋体"/>
          <w:sz w:val="24"/>
          <w:szCs w:val="24"/>
        </w:rPr>
        <w:t>2018年阿坝州项目支出绩效评价指标体系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p>
    <w:p>
      <w:pPr>
        <w:spacing w:line="360" w:lineRule="auto"/>
        <w:rPr>
          <w:rFonts w:hint="eastAsia" w:ascii="仿宋" w:hAnsi="仿宋" w:eastAsia="仿宋" w:cs="仿宋"/>
          <w:sz w:val="24"/>
        </w:rPr>
      </w:pPr>
      <w:r>
        <w:rPr>
          <w:rFonts w:hint="eastAsia" w:ascii="仿宋" w:hAnsi="仿宋" w:eastAsia="仿宋" w:cs="仿宋"/>
          <w:bCs/>
          <w:sz w:val="24"/>
        </w:rPr>
        <w:t xml:space="preserve"> </w:t>
      </w:r>
      <w:r>
        <w:rPr>
          <w:rFonts w:hint="eastAsia" w:ascii="仿宋" w:hAnsi="仿宋" w:eastAsia="仿宋" w:cs="仿宋"/>
          <w:b w:val="0"/>
          <w:bCs/>
          <w:color w:val="000000"/>
          <w:sz w:val="24"/>
        </w:rPr>
        <w:t>中兴华会计师事务所</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中国注册会计师：</w:t>
      </w:r>
    </w:p>
    <w:p>
      <w:pPr>
        <w:spacing w:line="360" w:lineRule="auto"/>
        <w:rPr>
          <w:rFonts w:hint="eastAsia" w:ascii="仿宋" w:hAnsi="仿宋" w:eastAsia="仿宋" w:cs="仿宋"/>
          <w:sz w:val="24"/>
        </w:rPr>
      </w:pPr>
    </w:p>
    <w:p>
      <w:pPr>
        <w:spacing w:line="360" w:lineRule="auto"/>
        <w:rPr>
          <w:rFonts w:hint="eastAsia" w:ascii="仿宋" w:hAnsi="仿宋" w:eastAsia="仿宋" w:cs="仿宋"/>
          <w:sz w:val="24"/>
        </w:rPr>
      </w:pPr>
      <w:r>
        <w:rPr>
          <w:rFonts w:hint="eastAsia" w:ascii="仿宋" w:hAnsi="仿宋" w:eastAsia="仿宋" w:cs="仿宋"/>
          <w:sz w:val="24"/>
        </w:rPr>
        <w:t xml:space="preserve">   </w:t>
      </w:r>
      <w:r>
        <w:rPr>
          <w:rFonts w:hint="eastAsia" w:ascii="仿宋" w:hAnsi="仿宋" w:eastAsia="仿宋" w:cs="仿宋"/>
          <w:b w:val="0"/>
          <w:bCs/>
          <w:color w:val="000000"/>
          <w:sz w:val="24"/>
        </w:rPr>
        <w:t>（特殊普通合伙</w:t>
      </w:r>
      <w:r>
        <w:rPr>
          <w:rFonts w:hint="eastAsia" w:ascii="仿宋" w:hAnsi="仿宋" w:eastAsia="仿宋" w:cs="仿宋"/>
          <w:b w:val="0"/>
          <w:bCs/>
          <w:color w:val="000000"/>
          <w:sz w:val="24"/>
          <w:lang w:eastAsia="zh-CN"/>
        </w:rPr>
        <w:t>）</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中国注册会计师：</w:t>
      </w:r>
    </w:p>
    <w:p>
      <w:pPr>
        <w:spacing w:line="360" w:lineRule="auto"/>
        <w:rPr>
          <w:rFonts w:hint="eastAsia" w:ascii="仿宋" w:hAnsi="仿宋" w:eastAsia="仿宋" w:cs="仿宋"/>
          <w:sz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color w:val="0000FF"/>
          <w:sz w:val="24"/>
          <w:szCs w:val="24"/>
        </w:rPr>
      </w:pPr>
      <w:r>
        <w:rPr>
          <w:rFonts w:hint="eastAsia" w:ascii="仿宋" w:hAnsi="仿宋" w:eastAsia="仿宋" w:cs="仿宋"/>
          <w:sz w:val="24"/>
        </w:rPr>
        <w:t xml:space="preserve">中国·四川·成都  　　       </w:t>
      </w:r>
      <w:r>
        <w:rPr>
          <w:rFonts w:hint="eastAsia" w:ascii="仿宋" w:hAnsi="仿宋" w:eastAsia="仿宋" w:cs="仿宋"/>
          <w:sz w:val="24"/>
          <w:lang w:val="en-US" w:eastAsia="zh-CN"/>
        </w:rPr>
        <w:t xml:space="preserve">    </w:t>
      </w:r>
      <w:r>
        <w:rPr>
          <w:rFonts w:hint="eastAsia" w:ascii="仿宋" w:hAnsi="仿宋" w:eastAsia="仿宋" w:cs="仿宋"/>
          <w:sz w:val="24"/>
        </w:rPr>
        <w:t xml:space="preserve"> 报告日期：</w:t>
      </w:r>
      <w:r>
        <w:rPr>
          <w:rFonts w:hint="eastAsia" w:ascii="仿宋" w:hAnsi="仿宋" w:eastAsia="仿宋" w:cs="仿宋"/>
          <w:color w:val="0000FF"/>
          <w:sz w:val="24"/>
        </w:rPr>
        <w:t>二0一</w:t>
      </w:r>
      <w:r>
        <w:rPr>
          <w:rFonts w:hint="eastAsia" w:ascii="仿宋" w:hAnsi="仿宋" w:eastAsia="仿宋" w:cs="仿宋"/>
          <w:color w:val="0000FF"/>
          <w:sz w:val="24"/>
          <w:lang w:eastAsia="zh-CN"/>
        </w:rPr>
        <w:t>八</w:t>
      </w:r>
      <w:r>
        <w:rPr>
          <w:rFonts w:hint="eastAsia" w:ascii="仿宋" w:hAnsi="仿宋" w:eastAsia="仿宋" w:cs="仿宋"/>
          <w:color w:val="0000FF"/>
          <w:sz w:val="24"/>
        </w:rPr>
        <w:t>年</w:t>
      </w:r>
      <w:r>
        <w:rPr>
          <w:rFonts w:hint="eastAsia" w:ascii="仿宋" w:hAnsi="仿宋" w:eastAsia="仿宋" w:cs="仿宋"/>
          <w:color w:val="0000FF"/>
          <w:sz w:val="24"/>
          <w:lang w:val="en-US" w:eastAsia="zh-CN"/>
        </w:rPr>
        <w:t>九</w:t>
      </w:r>
      <w:r>
        <w:rPr>
          <w:rFonts w:hint="eastAsia" w:ascii="仿宋" w:hAnsi="仿宋" w:eastAsia="仿宋" w:cs="仿宋"/>
          <w:color w:val="0000FF"/>
          <w:sz w:val="24"/>
        </w:rPr>
        <w:t>月</w:t>
      </w:r>
      <w:r>
        <w:rPr>
          <w:rFonts w:hint="eastAsia" w:ascii="仿宋" w:hAnsi="仿宋" w:eastAsia="仿宋" w:cs="仿宋"/>
          <w:color w:val="0000FF"/>
          <w:sz w:val="24"/>
          <w:lang w:val="en-US" w:eastAsia="zh-CN"/>
        </w:rPr>
        <w:t>十七日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华文行楷">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隶书">
    <w:panose1 w:val="0201050906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sz w:val="18"/>
                              <w:lang w:val="en-US"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w:t>
                          </w:r>
                          <w:r>
                            <w:rPr>
                              <w:rFonts w:hint="eastAsia"/>
                              <w:sz w:val="18"/>
                              <w:lang w:val="en-US" w:eastAsia="zh-CN"/>
                            </w:rPr>
                            <w:t>4 页</w:t>
                          </w:r>
                        </w:p>
                        <w:p>
                          <w:pPr>
                            <w:pStyle w:val="2"/>
                            <w:rPr>
                              <w:rFonts w:hint="eastAsia" w:eastAsia="仿宋_GB2312"/>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snapToGrid w:val="0"/>
                      <w:rPr>
                        <w:rFonts w:hint="eastAsia"/>
                        <w:sz w:val="18"/>
                        <w:lang w:val="en-US"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w:t>
                    </w:r>
                    <w:r>
                      <w:rPr>
                        <w:rFonts w:hint="eastAsia"/>
                        <w:sz w:val="18"/>
                        <w:lang w:val="en-US" w:eastAsia="zh-CN"/>
                      </w:rPr>
                      <w:t>4 页</w:t>
                    </w:r>
                  </w:p>
                  <w:p>
                    <w:pPr>
                      <w:pStyle w:val="2"/>
                      <w:rPr>
                        <w:rFonts w:hint="eastAsia" w:eastAsia="仿宋_GB2312"/>
                        <w:lang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BB1408"/>
    <w:multiLevelType w:val="singleLevel"/>
    <w:tmpl w:val="A0BB1408"/>
    <w:lvl w:ilvl="0" w:tentative="0">
      <w:start w:val="3"/>
      <w:numFmt w:val="decimal"/>
      <w:suff w:val="nothing"/>
      <w:lvlText w:val="%1、"/>
      <w:lvlJc w:val="left"/>
    </w:lvl>
  </w:abstractNum>
  <w:abstractNum w:abstractNumId="1">
    <w:nsid w:val="1F11FB74"/>
    <w:multiLevelType w:val="singleLevel"/>
    <w:tmpl w:val="1F11FB74"/>
    <w:lvl w:ilvl="0" w:tentative="0">
      <w:start w:val="1"/>
      <w:numFmt w:val="chineseCounting"/>
      <w:suff w:val="nothing"/>
      <w:lvlText w:val="（%1）"/>
      <w:lvlJc w:val="left"/>
      <w:rPr>
        <w:rFonts w:hint="eastAsia"/>
      </w:rPr>
    </w:lvl>
  </w:abstractNum>
  <w:abstractNum w:abstractNumId="2">
    <w:nsid w:val="4115B164"/>
    <w:multiLevelType w:val="singleLevel"/>
    <w:tmpl w:val="4115B164"/>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361B9"/>
    <w:rsid w:val="02DA3B5D"/>
    <w:rsid w:val="03815053"/>
    <w:rsid w:val="071740A2"/>
    <w:rsid w:val="0B5F77F5"/>
    <w:rsid w:val="0CB253DE"/>
    <w:rsid w:val="0D9A2FD3"/>
    <w:rsid w:val="17617019"/>
    <w:rsid w:val="181402A8"/>
    <w:rsid w:val="1F0A50CB"/>
    <w:rsid w:val="231F61E2"/>
    <w:rsid w:val="283A4A5F"/>
    <w:rsid w:val="2BA82907"/>
    <w:rsid w:val="3604724C"/>
    <w:rsid w:val="37371FE2"/>
    <w:rsid w:val="3C254B0B"/>
    <w:rsid w:val="3DB108B6"/>
    <w:rsid w:val="42D577B0"/>
    <w:rsid w:val="458D6EFA"/>
    <w:rsid w:val="491250DB"/>
    <w:rsid w:val="49E66271"/>
    <w:rsid w:val="4A1A6D70"/>
    <w:rsid w:val="4CE9371F"/>
    <w:rsid w:val="5CBD4846"/>
    <w:rsid w:val="5D7D6A2F"/>
    <w:rsid w:val="633823AE"/>
    <w:rsid w:val="6C911380"/>
    <w:rsid w:val="6DF75DF9"/>
    <w:rsid w:val="6FD43C6F"/>
    <w:rsid w:val="72CD5043"/>
    <w:rsid w:val="7EB0066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孙东华</dc:creator>
  <cp:lastModifiedBy>po</cp:lastModifiedBy>
  <dcterms:modified xsi:type="dcterms:W3CDTF">2018-10-22T07:40:43Z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