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360" w:lineRule="auto"/>
        <w:ind w:left="420" w:leftChars="200"/>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四川省阿坝州金川县</w:t>
      </w:r>
    </w:p>
    <w:p>
      <w:pPr>
        <w:keepNext w:val="0"/>
        <w:keepLines w:val="0"/>
        <w:pageBreakBefore w:val="0"/>
        <w:widowControl w:val="0"/>
        <w:kinsoku/>
        <w:wordWrap/>
        <w:overflowPunct/>
        <w:topLinePunct w:val="0"/>
        <w:autoSpaceDE/>
        <w:autoSpaceDN/>
        <w:bidi w:val="0"/>
        <w:adjustRightInd/>
        <w:spacing w:line="360" w:lineRule="auto"/>
        <w:ind w:left="420" w:leftChars="200"/>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 xml:space="preserve">城乡规划建设和住房保障局        </w:t>
      </w:r>
    </w:p>
    <w:p>
      <w:pPr>
        <w:keepNext w:val="0"/>
        <w:keepLines w:val="0"/>
        <w:pageBreakBefore w:val="0"/>
        <w:widowControl w:val="0"/>
        <w:kinsoku/>
        <w:wordWrap/>
        <w:overflowPunct/>
        <w:topLinePunct w:val="0"/>
        <w:autoSpaceDE/>
        <w:autoSpaceDN/>
        <w:bidi w:val="0"/>
        <w:adjustRightInd/>
        <w:spacing w:line="360" w:lineRule="auto"/>
        <w:ind w:left="420" w:leftChars="200"/>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2017年省级财政幸福美丽新村建设专项资金（扶贫新村）绩效评价报告书</w:t>
      </w:r>
    </w:p>
    <w:p>
      <w:pPr>
        <w:keepNext w:val="0"/>
        <w:keepLines w:val="0"/>
        <w:pageBreakBefore w:val="0"/>
        <w:widowControl w:val="0"/>
        <w:kinsoku/>
        <w:wordWrap/>
        <w:overflowPunct/>
        <w:topLinePunct w:val="0"/>
        <w:autoSpaceDE/>
        <w:autoSpaceDN/>
        <w:bidi w:val="0"/>
        <w:adjustRightInd/>
        <w:spacing w:line="360" w:lineRule="auto"/>
        <w:ind w:left="420" w:leftChars="200"/>
        <w:jc w:val="center"/>
        <w:rPr>
          <w:rFonts w:hint="eastAsia" w:ascii="华文行楷" w:hAnsi="华文行楷" w:eastAsia="华文行楷" w:cs="华文行楷"/>
          <w:b/>
          <w:color w:val="auto"/>
          <w:sz w:val="52"/>
          <w:szCs w:val="52"/>
          <w:lang w:val="en-US" w:eastAsia="zh-CN"/>
        </w:rPr>
      </w:pPr>
    </w:p>
    <w:p>
      <w:pPr>
        <w:keepNext w:val="0"/>
        <w:keepLines w:val="0"/>
        <w:pageBreakBefore w:val="0"/>
        <w:widowControl w:val="0"/>
        <w:kinsoku/>
        <w:wordWrap/>
        <w:overflowPunct/>
        <w:topLinePunct w:val="0"/>
        <w:autoSpaceDE/>
        <w:autoSpaceDN/>
        <w:bidi w:val="0"/>
        <w:adjustRightInd/>
        <w:spacing w:line="360" w:lineRule="auto"/>
        <w:ind w:left="420" w:leftChars="200"/>
        <w:rPr>
          <w:rFonts w:hint="eastAsia"/>
        </w:rPr>
      </w:pPr>
    </w:p>
    <w:p>
      <w:pPr>
        <w:keepNext w:val="0"/>
        <w:keepLines w:val="0"/>
        <w:pageBreakBefore w:val="0"/>
        <w:widowControl w:val="0"/>
        <w:kinsoku/>
        <w:wordWrap/>
        <w:overflowPunct/>
        <w:topLinePunct w:val="0"/>
        <w:autoSpaceDE/>
        <w:autoSpaceDN/>
        <w:bidi w:val="0"/>
        <w:adjustRightInd/>
        <w:spacing w:line="360" w:lineRule="auto"/>
        <w:ind w:left="420" w:leftChars="200"/>
        <w:rPr>
          <w:rFonts w:hint="eastAsia"/>
        </w:rPr>
      </w:pPr>
    </w:p>
    <w:p>
      <w:pPr>
        <w:keepNext w:val="0"/>
        <w:keepLines w:val="0"/>
        <w:pageBreakBefore w:val="0"/>
        <w:widowControl w:val="0"/>
        <w:kinsoku/>
        <w:wordWrap/>
        <w:overflowPunct/>
        <w:topLinePunct w:val="0"/>
        <w:autoSpaceDE/>
        <w:autoSpaceDN/>
        <w:bidi w:val="0"/>
        <w:adjustRightInd/>
        <w:spacing w:line="360" w:lineRule="auto"/>
        <w:ind w:left="420" w:leftChars="200"/>
        <w:rPr>
          <w:rFonts w:hint="eastAsia"/>
        </w:rPr>
      </w:pPr>
    </w:p>
    <w:p>
      <w:pPr>
        <w:keepNext w:val="0"/>
        <w:keepLines w:val="0"/>
        <w:pageBreakBefore w:val="0"/>
        <w:widowControl w:val="0"/>
        <w:kinsoku/>
        <w:wordWrap/>
        <w:overflowPunct/>
        <w:topLinePunct w:val="0"/>
        <w:autoSpaceDE/>
        <w:autoSpaceDN/>
        <w:bidi w:val="0"/>
        <w:adjustRightInd/>
        <w:spacing w:line="360" w:lineRule="auto"/>
        <w:ind w:left="420" w:leftChars="200"/>
        <w:rPr>
          <w:rFonts w:hint="eastAsia"/>
        </w:rPr>
      </w:pPr>
    </w:p>
    <w:p>
      <w:pPr>
        <w:keepNext w:val="0"/>
        <w:keepLines w:val="0"/>
        <w:pageBreakBefore w:val="0"/>
        <w:widowControl w:val="0"/>
        <w:kinsoku/>
        <w:wordWrap/>
        <w:overflowPunct/>
        <w:topLinePunct w:val="0"/>
        <w:autoSpaceDE/>
        <w:autoSpaceDN/>
        <w:bidi w:val="0"/>
        <w:adjustRightInd/>
        <w:spacing w:line="360" w:lineRule="auto"/>
        <w:ind w:left="420" w:leftChars="200"/>
        <w:jc w:val="center"/>
        <w:rPr>
          <w:rFonts w:ascii="隶书" w:hAnsi="Courier New" w:eastAsia="隶书"/>
          <w:color w:val="auto"/>
          <w:spacing w:val="20"/>
          <w:sz w:val="36"/>
          <w:szCs w:val="36"/>
        </w:rPr>
      </w:pPr>
      <w:r>
        <w:rPr>
          <w:rFonts w:ascii="隶书" w:hAnsi="Courier New" w:eastAsia="隶书"/>
          <w:color w:val="auto"/>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4"/>
                    <a:stretch>
                      <a:fillRect/>
                    </a:stretch>
                  </pic:blipFill>
                  <pic:spPr>
                    <a:xfrm>
                      <a:off x="0" y="0"/>
                      <a:ext cx="3466465" cy="150622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pacing w:line="360" w:lineRule="auto"/>
        <w:ind w:left="420" w:leftChars="200"/>
        <w:rPr>
          <w:rFonts w:ascii="隶书" w:hAnsi="Courier New" w:eastAsia="隶书"/>
          <w:color w:val="auto"/>
          <w:spacing w:val="20"/>
          <w:sz w:val="36"/>
          <w:szCs w:val="36"/>
        </w:rPr>
      </w:pPr>
    </w:p>
    <w:p>
      <w:pPr>
        <w:keepNext w:val="0"/>
        <w:keepLines w:val="0"/>
        <w:pageBreakBefore w:val="0"/>
        <w:widowControl w:val="0"/>
        <w:kinsoku/>
        <w:wordWrap/>
        <w:overflowPunct/>
        <w:topLinePunct w:val="0"/>
        <w:autoSpaceDE/>
        <w:autoSpaceDN/>
        <w:bidi w:val="0"/>
        <w:adjustRightInd/>
        <w:spacing w:line="360" w:lineRule="auto"/>
        <w:ind w:left="420" w:leftChars="200"/>
        <w:rPr>
          <w:rFonts w:ascii="隶书" w:hAnsi="Courier New" w:eastAsia="隶书"/>
          <w:color w:val="auto"/>
          <w:spacing w:val="20"/>
          <w:sz w:val="36"/>
          <w:szCs w:val="36"/>
        </w:rPr>
      </w:pPr>
    </w:p>
    <w:p>
      <w:pPr>
        <w:keepNext w:val="0"/>
        <w:keepLines w:val="0"/>
        <w:pageBreakBefore w:val="0"/>
        <w:widowControl w:val="0"/>
        <w:kinsoku/>
        <w:wordWrap/>
        <w:overflowPunct/>
        <w:topLinePunct w:val="0"/>
        <w:autoSpaceDE/>
        <w:autoSpaceDN/>
        <w:bidi w:val="0"/>
        <w:adjustRightInd/>
        <w:spacing w:line="360" w:lineRule="auto"/>
        <w:ind w:left="420" w:leftChars="200"/>
        <w:jc w:val="center"/>
        <w:rPr>
          <w:rFonts w:hint="eastAsia" w:eastAsia="华文行楷"/>
          <w:b/>
          <w:bCs/>
          <w:color w:val="auto"/>
          <w:sz w:val="44"/>
        </w:rPr>
      </w:pPr>
      <w:r>
        <w:rPr>
          <w:rFonts w:hint="eastAsia" w:eastAsia="华文行楷"/>
          <w:b/>
          <w:bCs/>
          <w:color w:val="auto"/>
          <w:sz w:val="44"/>
        </w:rPr>
        <w:t>中兴华会计师事务所(特殊普通合伙)</w:t>
      </w:r>
    </w:p>
    <w:p>
      <w:pPr>
        <w:keepNext w:val="0"/>
        <w:keepLines w:val="0"/>
        <w:pageBreakBefore w:val="0"/>
        <w:widowControl w:val="0"/>
        <w:kinsoku/>
        <w:wordWrap/>
        <w:overflowPunct/>
        <w:topLinePunct w:val="0"/>
        <w:autoSpaceDE/>
        <w:autoSpaceDN/>
        <w:bidi w:val="0"/>
        <w:adjustRightInd/>
        <w:spacing w:line="360" w:lineRule="auto"/>
        <w:ind w:left="420" w:leftChars="200"/>
        <w:jc w:val="center"/>
        <w:rPr>
          <w:rFonts w:ascii="黑体" w:eastAsia="黑体"/>
          <w:color w:val="auto"/>
          <w:w w:val="90"/>
          <w:sz w:val="28"/>
        </w:rPr>
      </w:pPr>
      <w:r>
        <w:rPr>
          <w:rFonts w:hint="eastAsia"/>
          <w:color w:val="auto"/>
          <w:sz w:val="28"/>
        </w:rPr>
        <w:t>ZHONGXINGHAU CERTIFIED PUBLIC ACCOUNTANTS LLP</w:t>
      </w:r>
    </w:p>
    <w:p>
      <w:pPr>
        <w:keepNext w:val="0"/>
        <w:keepLines w:val="0"/>
        <w:pageBreakBefore w:val="0"/>
        <w:widowControl w:val="0"/>
        <w:kinsoku/>
        <w:wordWrap/>
        <w:overflowPunct/>
        <w:topLinePunct w:val="0"/>
        <w:autoSpaceDE/>
        <w:autoSpaceDN/>
        <w:bidi w:val="0"/>
        <w:adjustRightInd/>
        <w:spacing w:line="360" w:lineRule="auto"/>
        <w:ind w:left="420" w:leftChars="200"/>
        <w:rPr>
          <w:rFonts w:hint="eastAsia" w:ascii="黑体" w:eastAsia="黑体"/>
          <w:color w:val="auto"/>
          <w:w w:val="90"/>
          <w:sz w:val="28"/>
        </w:rPr>
      </w:pPr>
      <w:r>
        <w:rPr>
          <w:rFonts w:hint="eastAsia" w:ascii="黑体" w:eastAsia="黑体"/>
          <w:color w:val="auto"/>
          <w:w w:val="90"/>
          <w:sz w:val="28"/>
        </w:rPr>
        <w:t>地址：</w:t>
      </w:r>
      <w:r>
        <w:rPr>
          <w:rFonts w:hint="eastAsia" w:ascii="黑体" w:eastAsia="黑体"/>
          <w:color w:val="auto"/>
          <w:w w:val="90"/>
          <w:sz w:val="28"/>
          <w:lang w:eastAsia="zh-CN"/>
        </w:rPr>
        <w:t>成都市金牛区蜀西路</w:t>
      </w:r>
      <w:r>
        <w:rPr>
          <w:rFonts w:hint="eastAsia" w:ascii="黑体" w:eastAsia="黑体"/>
          <w:color w:val="auto"/>
          <w:w w:val="90"/>
          <w:sz w:val="28"/>
          <w:lang w:val="en-US" w:eastAsia="zh-CN"/>
        </w:rPr>
        <w:t>49号盛大国际3幢4楼401</w:t>
      </w:r>
      <w:r>
        <w:rPr>
          <w:rFonts w:hint="eastAsia" w:ascii="黑体" w:eastAsia="黑体"/>
          <w:color w:val="auto"/>
          <w:w w:val="90"/>
          <w:sz w:val="28"/>
        </w:rPr>
        <w:t xml:space="preserve"> </w:t>
      </w:r>
      <w:r>
        <w:rPr>
          <w:rFonts w:ascii="黑体" w:eastAsia="黑体"/>
          <w:color w:val="auto"/>
          <w:w w:val="90"/>
          <w:sz w:val="24"/>
        </w:rPr>
        <w:t xml:space="preserve"> </w:t>
      </w:r>
      <w:r>
        <w:rPr>
          <w:rFonts w:hint="eastAsia" w:ascii="黑体" w:eastAsia="黑体"/>
          <w:color w:val="auto"/>
          <w:w w:val="90"/>
          <w:sz w:val="24"/>
        </w:rPr>
        <w:t xml:space="preserve">    </w:t>
      </w:r>
      <w:r>
        <w:rPr>
          <w:rFonts w:ascii="黑体" w:eastAsia="黑体"/>
          <w:color w:val="auto"/>
          <w:w w:val="90"/>
          <w:sz w:val="24"/>
        </w:rPr>
        <w:t xml:space="preserve"> </w:t>
      </w:r>
      <w:r>
        <w:rPr>
          <w:rFonts w:hint="eastAsia" w:ascii="黑体" w:eastAsia="黑体"/>
          <w:color w:val="auto"/>
          <w:w w:val="90"/>
          <w:sz w:val="28"/>
        </w:rPr>
        <w:t>邮编：</w:t>
      </w:r>
      <w:r>
        <w:rPr>
          <w:rFonts w:hint="eastAsia" w:ascii="黑体" w:eastAsia="黑体"/>
          <w:color w:val="auto"/>
          <w:w w:val="90"/>
          <w:sz w:val="28"/>
          <w:lang w:val="en-US" w:eastAsia="zh-CN"/>
        </w:rPr>
        <w:t>610037</w:t>
      </w:r>
    </w:p>
    <w:p>
      <w:pPr>
        <w:keepNext w:val="0"/>
        <w:keepLines w:val="0"/>
        <w:pageBreakBefore w:val="0"/>
        <w:widowControl w:val="0"/>
        <w:kinsoku/>
        <w:wordWrap/>
        <w:overflowPunct/>
        <w:topLinePunct w:val="0"/>
        <w:autoSpaceDE/>
        <w:autoSpaceDN/>
        <w:bidi w:val="0"/>
        <w:adjustRightInd/>
        <w:spacing w:line="360" w:lineRule="auto"/>
        <w:ind w:left="420" w:leftChars="200"/>
      </w:pPr>
      <w:r>
        <w:rPr>
          <w:rFonts w:hint="eastAsia" w:ascii="黑体" w:eastAsia="黑体"/>
          <w:color w:val="auto"/>
          <w:w w:val="90"/>
          <w:sz w:val="28"/>
        </w:rPr>
        <w:t>电话：</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87779320</w:t>
      </w:r>
      <w:r>
        <w:rPr>
          <w:rFonts w:hint="eastAsia" w:ascii="黑体" w:eastAsia="黑体"/>
          <w:color w:val="auto"/>
          <w:w w:val="90"/>
          <w:sz w:val="28"/>
          <w:lang w:val="en-US" w:eastAsia="zh-CN"/>
        </w:rPr>
        <w:t>\18190919202</w:t>
      </w:r>
      <w:r>
        <w:rPr>
          <w:rFonts w:ascii="黑体" w:eastAsia="黑体"/>
          <w:color w:val="auto"/>
          <w:w w:val="90"/>
          <w:sz w:val="28"/>
        </w:rPr>
        <w:t xml:space="preserve">         </w:t>
      </w:r>
      <w:r>
        <w:rPr>
          <w:rFonts w:hint="eastAsia" w:ascii="黑体" w:eastAsia="黑体"/>
          <w:color w:val="auto"/>
          <w:w w:val="90"/>
          <w:sz w:val="28"/>
        </w:rPr>
        <w:t xml:space="preserve"> </w:t>
      </w:r>
      <w:r>
        <w:rPr>
          <w:rFonts w:ascii="黑体" w:eastAsia="黑体"/>
          <w:color w:val="auto"/>
          <w:w w:val="90"/>
          <w:sz w:val="28"/>
        </w:rPr>
        <w:t xml:space="preserve">   </w:t>
      </w:r>
      <w:r>
        <w:rPr>
          <w:rFonts w:hint="eastAsia" w:ascii="黑体" w:eastAsia="黑体"/>
          <w:color w:val="auto"/>
          <w:w w:val="90"/>
          <w:sz w:val="28"/>
        </w:rPr>
        <w:t xml:space="preserve"> 传真：</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87776280</w:t>
      </w:r>
    </w:p>
    <w:p>
      <w:pPr>
        <w:keepNext w:val="0"/>
        <w:keepLines w:val="0"/>
        <w:pageBreakBefore w:val="0"/>
        <w:widowControl w:val="0"/>
        <w:kinsoku/>
        <w:wordWrap/>
        <w:overflowPunct/>
        <w:topLinePunct w:val="0"/>
        <w:autoSpaceDE/>
        <w:autoSpaceDN/>
        <w:bidi w:val="0"/>
        <w:adjustRightInd/>
        <w:snapToGrid w:val="0"/>
        <w:spacing w:line="400" w:lineRule="exact"/>
        <w:ind w:left="420" w:leftChars="200"/>
        <w:jc w:val="center"/>
        <w:rPr>
          <w:rFonts w:hint="eastAsia" w:ascii="宋体" w:hAnsi="宋体" w:eastAsia="宋体" w:cs="Times New Roman"/>
          <w:b/>
          <w:color w:val="auto"/>
          <w:sz w:val="36"/>
          <w:szCs w:val="36"/>
          <w:lang w:val="en-US" w:eastAsia="zh-CN"/>
        </w:rPr>
      </w:pPr>
    </w:p>
    <w:p>
      <w:pPr>
        <w:keepNext w:val="0"/>
        <w:keepLines w:val="0"/>
        <w:pageBreakBefore w:val="0"/>
        <w:widowControl w:val="0"/>
        <w:kinsoku/>
        <w:wordWrap/>
        <w:overflowPunct/>
        <w:topLinePunct w:val="0"/>
        <w:autoSpaceDE/>
        <w:autoSpaceDN/>
        <w:bidi w:val="0"/>
        <w:adjustRightInd/>
        <w:snapToGrid w:val="0"/>
        <w:spacing w:line="400" w:lineRule="exact"/>
        <w:ind w:left="420" w:leftChars="200"/>
        <w:jc w:val="center"/>
        <w:rPr>
          <w:rFonts w:hint="eastAsia" w:ascii="宋体" w:hAnsi="宋体" w:eastAsia="宋体" w:cs="Times New Roman"/>
          <w:b/>
          <w:color w:val="auto"/>
          <w:sz w:val="36"/>
          <w:szCs w:val="36"/>
          <w:lang w:val="en-US" w:eastAsia="zh-CN"/>
        </w:rPr>
      </w:pPr>
      <w:r>
        <w:rPr>
          <w:rFonts w:hint="eastAsia" w:ascii="宋体" w:hAnsi="宋体" w:eastAsia="宋体" w:cs="Times New Roman"/>
          <w:b/>
          <w:color w:val="auto"/>
          <w:sz w:val="36"/>
          <w:szCs w:val="36"/>
          <w:lang w:val="en-US" w:eastAsia="zh-CN"/>
        </w:rPr>
        <w:t>金川县城乡规划建设和住房保障局</w:t>
      </w:r>
    </w:p>
    <w:p>
      <w:pPr>
        <w:keepNext w:val="0"/>
        <w:keepLines w:val="0"/>
        <w:pageBreakBefore w:val="0"/>
        <w:widowControl w:val="0"/>
        <w:kinsoku/>
        <w:wordWrap/>
        <w:overflowPunct/>
        <w:topLinePunct w:val="0"/>
        <w:autoSpaceDE/>
        <w:autoSpaceDN/>
        <w:bidi w:val="0"/>
        <w:adjustRightInd/>
        <w:snapToGrid w:val="0"/>
        <w:spacing w:line="400" w:lineRule="exact"/>
        <w:ind w:left="420" w:leftChars="200"/>
        <w:jc w:val="center"/>
        <w:rPr>
          <w:rFonts w:hint="eastAsia" w:ascii="宋体" w:hAnsi="宋体" w:eastAsia="宋体" w:cs="Times New Roman"/>
          <w:b/>
          <w:color w:val="auto"/>
          <w:sz w:val="36"/>
          <w:szCs w:val="36"/>
          <w:lang w:val="en-US" w:eastAsia="zh-CN"/>
        </w:rPr>
      </w:pPr>
      <w:r>
        <w:rPr>
          <w:rFonts w:hint="eastAsia" w:ascii="宋体" w:hAnsi="宋体" w:eastAsia="宋体" w:cs="Times New Roman"/>
          <w:b/>
          <w:color w:val="auto"/>
          <w:sz w:val="36"/>
          <w:szCs w:val="36"/>
          <w:lang w:val="en-US" w:eastAsia="zh-CN"/>
        </w:rPr>
        <w:t>“2017年省级财政幸福美丽新村建设专项资金（扶贫新村）”绩效评价报告</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80" w:lineRule="exact"/>
        <w:ind w:right="0"/>
        <w:jc w:val="both"/>
        <w:rPr>
          <w:rFonts w:hint="eastAsia" w:ascii="宋体" w:hAnsi="宋体" w:eastAsia="仿宋_GB2312" w:cs="仿宋_GB2312"/>
          <w:kern w:val="2"/>
          <w:sz w:val="32"/>
          <w:szCs w:val="21"/>
          <w:lang w:val="en-US" w:eastAsia="zh-CN" w:bidi="ar"/>
        </w:rPr>
      </w:pPr>
      <w:r>
        <w:rPr>
          <w:rFonts w:hint="eastAsia" w:ascii="宋体" w:hAnsi="宋体" w:eastAsia="仿宋_GB2312" w:cs="Times New Roman"/>
          <w:b/>
          <w:bCs/>
          <w:color w:val="auto"/>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我们接受委托，对金川县城乡规划建设和住房保障局关于“2017年省级财政幸福美丽新村建设专项资金（扶贫新村）”(以下简称“该项目或项目”)进行了绩效评价。提供该项目有关的真实、合法、完整的专项资金收支的财务资料以及相关的文件是金川县城乡规划建设和住房保障局的的责任，我们的责任是本着独立、客观、公正的原则，在实施必要评价程序的基础上发表评价意见。我们的评价是依据财政部《财政支出绩效评价管理暂行办法》(财预〔2011〕285号）和四川省财政厅《关于四川省财政支出绩效评价操作规程（试行）》（川财绩〔2018〕2号）、《标后管理办法》、《一事一议管理办法》《金川县2017年度幸福美丽新村（扶贫新村）建设实施方案》进行的。</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在评价过程中，我们结合该项目的实际情况，实施了包括检查会计记录、实地查看、核实和调阅上级文件等我们认为必要的评价程序。我们相信，我们的工作为发表评价意见提供了合理的基础。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我们的现场评价工作已于2018年9月15日结束，现将评价情况报告如下：</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80" w:lineRule="exact"/>
        <w:ind w:right="0"/>
        <w:jc w:val="both"/>
        <w:rPr>
          <w:rFonts w:hint="eastAsia" w:ascii="黑体" w:hAnsi="宋体" w:eastAsia="黑体" w:cs="黑体"/>
          <w:kern w:val="2"/>
          <w:sz w:val="32"/>
          <w:szCs w:val="21"/>
          <w:lang w:val="en-US" w:eastAsia="zh-CN" w:bidi="ar"/>
        </w:rPr>
      </w:pPr>
      <w:r>
        <w:rPr>
          <w:rFonts w:hint="eastAsia" w:ascii="宋体" w:hAnsi="宋体" w:eastAsia="仿宋_GB2312" w:cs="Times New Roman"/>
          <w:b/>
          <w:bCs/>
          <w:color w:val="auto"/>
          <w:sz w:val="24"/>
          <w:szCs w:val="24"/>
          <w:lang w:val="en-US" w:eastAsia="zh-CN"/>
        </w:rPr>
        <w:t>一、项目情况</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right="0" w:rightChars="0"/>
        <w:jc w:val="both"/>
        <w:textAlignment w:val="auto"/>
        <w:outlineLvl w:val="9"/>
        <w:rPr>
          <w:rFonts w:hint="eastAsia" w:ascii="楷体_GB2312" w:hAnsi="宋体" w:eastAsia="楷体_GB2312" w:cs="楷体_GB2312"/>
          <w:b/>
          <w:bCs w:val="0"/>
          <w:kern w:val="2"/>
          <w:sz w:val="32"/>
          <w:szCs w:val="21"/>
          <w:lang w:val="en-US" w:eastAsia="zh-CN" w:bidi="ar"/>
        </w:rPr>
      </w:pPr>
      <w:r>
        <w:rPr>
          <w:rFonts w:hint="eastAsia" w:ascii="宋体" w:hAnsi="宋体" w:eastAsia="仿宋_GB2312" w:cs="Times New Roman"/>
          <w:b w:val="0"/>
          <w:bCs w:val="0"/>
          <w:color w:val="auto"/>
          <w:sz w:val="24"/>
          <w:szCs w:val="24"/>
          <w:lang w:val="en-US" w:eastAsia="zh-CN"/>
        </w:rPr>
        <w:t>（一）项目实施单位基本情况</w:t>
      </w:r>
      <w:r>
        <w:rPr>
          <w:rFonts w:hint="eastAsia" w:ascii="楷体_GB2312" w:hAnsi="宋体" w:eastAsia="楷体_GB2312" w:cs="楷体_GB2312"/>
          <w:b/>
          <w:bCs w:val="0"/>
          <w:kern w:val="2"/>
          <w:sz w:val="32"/>
          <w:szCs w:val="21"/>
          <w:lang w:val="en-US" w:eastAsia="zh-CN" w:bidi="ar"/>
        </w:rPr>
        <w:tab/>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b w:val="0"/>
          <w:bCs w:val="0"/>
          <w:sz w:val="24"/>
          <w:szCs w:val="24"/>
          <w:lang w:val="en-US" w:eastAsia="zh-CN"/>
        </w:rPr>
      </w:pPr>
      <w:r>
        <w:rPr>
          <w:rFonts w:hint="eastAsia" w:ascii="仿宋" w:hAnsi="仿宋" w:eastAsia="仿宋" w:cs="仿宋"/>
          <w:b w:val="0"/>
          <w:bCs w:val="0"/>
          <w:sz w:val="24"/>
          <w:lang w:val="en-US" w:eastAsia="zh-CN"/>
        </w:rPr>
        <w:t>金川县城乡规划建设和住房保障局机关行政编制9人，内设机构有：办公室、规划管理股、建设管理股、住房保障与房地产市场管理股。主要职责：贯彻执行国家、省、州住房和城乡建设的法律、法规和方针政策；承担推进住房制度改革，保障城镇低收入家庭住房的责任.....承担规范房地产市场秩序、监督管理房地产市场的责任......承办县政府交办的其他事项。</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仿宋_GB2312" w:cs="Times New Roman"/>
          <w:b w:val="0"/>
          <w:bCs w:val="0"/>
          <w:color w:val="auto"/>
          <w:sz w:val="24"/>
          <w:szCs w:val="24"/>
          <w:lang w:val="en-US" w:eastAsia="zh-CN"/>
        </w:rPr>
      </w:pPr>
      <w:r>
        <w:rPr>
          <w:rFonts w:hint="eastAsia" w:ascii="宋体" w:hAnsi="宋体" w:eastAsia="仿宋_GB2312" w:cs="Times New Roman"/>
          <w:b w:val="0"/>
          <w:bCs w:val="0"/>
          <w:color w:val="auto"/>
          <w:sz w:val="24"/>
          <w:szCs w:val="24"/>
          <w:lang w:val="en-US" w:eastAsia="zh-CN"/>
        </w:rPr>
        <w:t>（二）项目基本情况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根据州下达2017年省级财政幸福美丽新村建设资金682万元（阿州财农【2017】29号）。扶贫新村专项资金计划总投资868.626万元，其中省级扶贫新村专项资金682.00万元，自筹及群众投工投劳拆资186.626万元。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工期安排：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1.项目前期筹备工作。2017年2月28前完成。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2.项目审定。2017年3月10日前完成。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3.项目实施阶段。2017年3月20日至2017年8月30日完成。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4.竣工验收阶段。2017年9月30日前完成。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5.资金拨付。2017年11月20日前完成。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b/>
          <w:bCs/>
          <w:color w:val="auto"/>
          <w:sz w:val="24"/>
          <w:szCs w:val="24"/>
          <w:lang w:val="en-US" w:eastAsia="zh-CN"/>
        </w:rPr>
      </w:pPr>
      <w:r>
        <w:rPr>
          <w:rFonts w:hint="eastAsia" w:ascii="宋体" w:hAnsi="宋体" w:eastAsia="仿宋_GB2312" w:cs="Times New Roman"/>
          <w:color w:val="auto"/>
          <w:sz w:val="24"/>
          <w:szCs w:val="24"/>
          <w:lang w:val="en-US" w:eastAsia="zh-CN"/>
        </w:rPr>
        <w:t>截止2017年12月31日，11个村的项目已经实施完成，工程资金已经拨付完毕。县幸福美丽新农村建设领导小组办公室和贵局负责项目申报、督促质量与进度、竣工验收、资金管理等日常事务；所涉及乡人民政府为项目实施主体和责任主体，负责项目规划设计、项目实施、工程质量、安全和进度的监督管理、政策宣传、保证施工环境、组织劳务等工作。县委农工办实行进度及质量定期通报。</w:t>
      </w:r>
      <w:r>
        <w:rPr>
          <w:rFonts w:hint="eastAsia" w:ascii="宋体" w:hAnsi="宋体" w:eastAsia="仿宋_GB2312" w:cs="Times New Roman"/>
          <w:b/>
          <w:bCs/>
          <w:color w:val="auto"/>
          <w:sz w:val="24"/>
          <w:szCs w:val="24"/>
          <w:lang w:val="en-US" w:eastAsia="zh-CN"/>
        </w:rPr>
        <w:t>二、评价结论及绩效分析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color w:val="auto"/>
          <w:sz w:val="24"/>
          <w:szCs w:val="24"/>
          <w:lang w:val="en-US" w:eastAsia="zh-CN"/>
        </w:rPr>
        <w:t>（</w:t>
      </w:r>
      <w:r>
        <w:rPr>
          <w:rFonts w:hint="eastAsia" w:ascii="宋体" w:hAnsi="宋体" w:eastAsia="仿宋_GB2312" w:cs="Times New Roman"/>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2017年省级财政幸福美丽新村建设项目全部完工，经县、乡验收合格。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根据</w:t>
      </w:r>
      <w:r>
        <w:rPr>
          <w:rFonts w:hint="eastAsia" w:ascii="宋体" w:hAnsi="宋体" w:eastAsia="仿宋_GB2312" w:cs="Times New Roman"/>
          <w:color w:val="auto"/>
          <w:sz w:val="24"/>
          <w:szCs w:val="24"/>
          <w:highlight w:val="none"/>
        </w:rPr>
        <w:t>2018年阿坝州项目支出绩效评价指标体系</w:t>
      </w:r>
      <w:r>
        <w:rPr>
          <w:rFonts w:hint="eastAsia" w:ascii="宋体" w:hAnsi="宋体" w:eastAsia="仿宋_GB2312" w:cs="Times New Roman"/>
          <w:color w:val="auto"/>
          <w:sz w:val="24"/>
          <w:szCs w:val="24"/>
          <w:highlight w:val="none"/>
          <w:lang w:val="en-US" w:eastAsia="zh-CN"/>
        </w:rPr>
        <w:t>评分，该项目综合得分93份。具体评分情况详见附表一：</w:t>
      </w:r>
      <w:r>
        <w:rPr>
          <w:rFonts w:hint="eastAsia" w:ascii="宋体" w:hAnsi="宋体" w:eastAsia="仿宋_GB2312" w:cs="Times New Roman"/>
          <w:color w:val="auto"/>
          <w:sz w:val="24"/>
          <w:szCs w:val="24"/>
          <w:highlight w:val="none"/>
        </w:rPr>
        <w:t>2018年阿坝州项目支出绩效评价指标体系</w:t>
      </w:r>
      <w:r>
        <w:rPr>
          <w:rFonts w:hint="eastAsia" w:ascii="宋体" w:hAnsi="宋体" w:eastAsia="仿宋_GB2312" w:cs="Times New Roman"/>
          <w:color w:val="auto"/>
          <w:sz w:val="24"/>
          <w:szCs w:val="24"/>
          <w:highlight w:val="none"/>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项目的必要性：深入贯彻落实《四川省人民政府办公厅关于支持贫困县开展统筹整合使用财政涉农资金试点的实施意见》（川办发【2016】44号精神），支持试点贫困县将幸福美丽新村建设专项资金纳入统筹整合范围。按照“兴业、家富、人和、村美目标”，以扶贫攻坚为重点，推进全县的幸福美丽新村建设和扶贫新村建设任务。通过实施本项目，有利于完善农村基础设施建设、公共服务设施建设，加快形成城乡一体化发展新格局，实现可持续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项目的可行性：幸福美丽新村建设，对改善人民生存环境、提高人民生活质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量有重要作用，同时也带动贫困地区更快地脱贫致富。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绩效目标设置情况：以扶贫攻坚为重点，推进全县的幸福美丽新村建设和扶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highlight w:val="yellow"/>
          <w:lang w:val="en-US" w:eastAsia="zh-CN"/>
        </w:rPr>
      </w:pPr>
      <w:r>
        <w:rPr>
          <w:rFonts w:hint="eastAsia" w:ascii="宋体" w:hAnsi="宋体" w:eastAsia="仿宋_GB2312" w:cs="Times New Roman"/>
          <w:color w:val="auto"/>
          <w:sz w:val="24"/>
          <w:szCs w:val="24"/>
          <w:highlight w:val="none"/>
          <w:lang w:val="en-US" w:eastAsia="zh-CN"/>
        </w:rPr>
        <w:t>贫新村建设任务。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项目资金到位情况：阿州财农〔2017〕29号、金财农整合[2017]1号2017年省级财政幸福美丽新农村建设专项资金</w:t>
      </w:r>
      <w:r>
        <w:rPr>
          <w:rFonts w:hint="eastAsia" w:ascii="宋体" w:hAnsi="宋体" w:eastAsia="仿宋_GB2312" w:cs="Times New Roman"/>
          <w:color w:val="auto"/>
          <w:sz w:val="24"/>
          <w:szCs w:val="24"/>
          <w:lang w:val="en-US" w:eastAsia="zh-CN"/>
        </w:rPr>
        <w:t>682万元</w:t>
      </w:r>
      <w:r>
        <w:rPr>
          <w:rFonts w:hint="eastAsia" w:ascii="宋体" w:hAnsi="宋体" w:eastAsia="仿宋_GB2312" w:cs="Times New Roman"/>
          <w:color w:val="auto"/>
          <w:sz w:val="24"/>
          <w:szCs w:val="24"/>
          <w:highlight w:val="none"/>
          <w:lang w:val="en-US" w:eastAsia="zh-CN"/>
        </w:rPr>
        <w:t>。到位率100%。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项目资金使用情况：</w:t>
      </w:r>
    </w:p>
    <w:tbl>
      <w:tblPr>
        <w:tblStyle w:val="5"/>
        <w:tblW w:w="85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80"/>
        <w:gridCol w:w="1064"/>
        <w:gridCol w:w="1966"/>
        <w:gridCol w:w="1333"/>
        <w:gridCol w:w="1246"/>
        <w:gridCol w:w="15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乡镇</w:t>
            </w:r>
          </w:p>
        </w:tc>
        <w:tc>
          <w:tcPr>
            <w:tcW w:w="106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行政村</w:t>
            </w:r>
          </w:p>
        </w:tc>
        <w:tc>
          <w:tcPr>
            <w:tcW w:w="19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申请拨付资金</w:t>
            </w:r>
          </w:p>
        </w:tc>
        <w:tc>
          <w:tcPr>
            <w:tcW w:w="13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实际到位</w:t>
            </w:r>
          </w:p>
        </w:tc>
        <w:tc>
          <w:tcPr>
            <w:tcW w:w="12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拨付方式</w:t>
            </w:r>
          </w:p>
        </w:tc>
        <w:tc>
          <w:tcPr>
            <w:tcW w:w="15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完成拨付时间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8" w:hRule="atLeast"/>
        </w:trPr>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河西乡</w:t>
            </w:r>
          </w:p>
        </w:tc>
        <w:tc>
          <w:tcPr>
            <w:tcW w:w="106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热登村</w:t>
            </w:r>
          </w:p>
        </w:tc>
        <w:tc>
          <w:tcPr>
            <w:tcW w:w="19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3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2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财政直拨</w:t>
            </w:r>
          </w:p>
        </w:tc>
        <w:tc>
          <w:tcPr>
            <w:tcW w:w="15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2017-12-19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8" w:hRule="atLeast"/>
        </w:trPr>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卡拉脚乡</w:t>
            </w:r>
          </w:p>
        </w:tc>
        <w:tc>
          <w:tcPr>
            <w:tcW w:w="106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玛目都村</w:t>
            </w:r>
          </w:p>
        </w:tc>
        <w:tc>
          <w:tcPr>
            <w:tcW w:w="19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3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2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财政直拨</w:t>
            </w:r>
          </w:p>
        </w:tc>
        <w:tc>
          <w:tcPr>
            <w:tcW w:w="15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2017-12-6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50" w:hRule="atLeast"/>
        </w:trPr>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卡撒乡</w:t>
            </w:r>
          </w:p>
        </w:tc>
        <w:tc>
          <w:tcPr>
            <w:tcW w:w="106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山埂子村</w:t>
            </w:r>
          </w:p>
        </w:tc>
        <w:tc>
          <w:tcPr>
            <w:tcW w:w="19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3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2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财政直拨</w:t>
            </w:r>
          </w:p>
        </w:tc>
        <w:tc>
          <w:tcPr>
            <w:tcW w:w="15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2017-12-13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9" w:hRule="atLeast"/>
        </w:trPr>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马尔邦</w:t>
            </w:r>
          </w:p>
        </w:tc>
        <w:tc>
          <w:tcPr>
            <w:tcW w:w="106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独足沟</w:t>
            </w:r>
          </w:p>
        </w:tc>
        <w:tc>
          <w:tcPr>
            <w:tcW w:w="19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3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2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财政直拨</w:t>
            </w:r>
          </w:p>
        </w:tc>
        <w:tc>
          <w:tcPr>
            <w:tcW w:w="15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2017-12-16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8" w:hRule="atLeast"/>
        </w:trPr>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毛日乡</w:t>
            </w:r>
          </w:p>
        </w:tc>
        <w:tc>
          <w:tcPr>
            <w:tcW w:w="106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热它村</w:t>
            </w:r>
          </w:p>
        </w:tc>
        <w:tc>
          <w:tcPr>
            <w:tcW w:w="19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3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2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财政直拨</w:t>
            </w:r>
          </w:p>
        </w:tc>
        <w:tc>
          <w:tcPr>
            <w:tcW w:w="15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2017-12-13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3" w:hRule="atLeast"/>
        </w:trPr>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太阳河乡</w:t>
            </w:r>
          </w:p>
        </w:tc>
        <w:tc>
          <w:tcPr>
            <w:tcW w:w="106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麦地沟村</w:t>
            </w:r>
          </w:p>
        </w:tc>
        <w:tc>
          <w:tcPr>
            <w:tcW w:w="19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3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2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财政直拨</w:t>
            </w:r>
          </w:p>
        </w:tc>
        <w:tc>
          <w:tcPr>
            <w:tcW w:w="15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2017/12/13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6" w:hRule="atLeast"/>
        </w:trPr>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撒瓦脚乡</w:t>
            </w:r>
          </w:p>
        </w:tc>
        <w:tc>
          <w:tcPr>
            <w:tcW w:w="106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柔热尔村</w:t>
            </w:r>
          </w:p>
        </w:tc>
        <w:tc>
          <w:tcPr>
            <w:tcW w:w="19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3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2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财政直拨</w:t>
            </w:r>
          </w:p>
        </w:tc>
        <w:tc>
          <w:tcPr>
            <w:tcW w:w="15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2017-12-15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3" w:hRule="atLeast"/>
        </w:trPr>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曾达乡</w:t>
            </w:r>
          </w:p>
        </w:tc>
        <w:tc>
          <w:tcPr>
            <w:tcW w:w="106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木尔都村</w:t>
            </w:r>
          </w:p>
        </w:tc>
        <w:tc>
          <w:tcPr>
            <w:tcW w:w="19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3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2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财政直拨</w:t>
            </w:r>
          </w:p>
        </w:tc>
        <w:tc>
          <w:tcPr>
            <w:tcW w:w="15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2017-12-13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曾达乡</w:t>
            </w:r>
          </w:p>
        </w:tc>
        <w:tc>
          <w:tcPr>
            <w:tcW w:w="106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坛罐窑村</w:t>
            </w:r>
          </w:p>
        </w:tc>
        <w:tc>
          <w:tcPr>
            <w:tcW w:w="19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3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2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财政直拨</w:t>
            </w:r>
          </w:p>
        </w:tc>
        <w:tc>
          <w:tcPr>
            <w:tcW w:w="15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2017-12-13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5" w:hRule="atLeast"/>
        </w:trPr>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河东乡</w:t>
            </w:r>
          </w:p>
        </w:tc>
        <w:tc>
          <w:tcPr>
            <w:tcW w:w="106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达尔甲村</w:t>
            </w:r>
          </w:p>
        </w:tc>
        <w:tc>
          <w:tcPr>
            <w:tcW w:w="19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3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2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财政直拨</w:t>
            </w:r>
          </w:p>
        </w:tc>
        <w:tc>
          <w:tcPr>
            <w:tcW w:w="15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2017-9-13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2" w:hRule="atLeast"/>
        </w:trPr>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庆宁乡</w:t>
            </w:r>
          </w:p>
        </w:tc>
        <w:tc>
          <w:tcPr>
            <w:tcW w:w="106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松坪村</w:t>
            </w:r>
          </w:p>
        </w:tc>
        <w:tc>
          <w:tcPr>
            <w:tcW w:w="19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3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62.00 </w:t>
            </w:r>
          </w:p>
        </w:tc>
        <w:tc>
          <w:tcPr>
            <w:tcW w:w="12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财政直拨</w:t>
            </w:r>
          </w:p>
        </w:tc>
        <w:tc>
          <w:tcPr>
            <w:tcW w:w="15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2017-10-27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55" w:hRule="atLeast"/>
        </w:trPr>
        <w:tc>
          <w:tcPr>
            <w:tcW w:w="244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firstLine="480" w:firstLineChars="200"/>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合计</w:t>
            </w:r>
          </w:p>
        </w:tc>
        <w:tc>
          <w:tcPr>
            <w:tcW w:w="19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682.00 </w:t>
            </w:r>
          </w:p>
        </w:tc>
        <w:tc>
          <w:tcPr>
            <w:tcW w:w="13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 xml:space="preserve">682.00 </w:t>
            </w:r>
          </w:p>
        </w:tc>
        <w:tc>
          <w:tcPr>
            <w:tcW w:w="12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firstLine="480" w:firstLineChars="200"/>
              <w:jc w:val="both"/>
              <w:textAlignment w:val="auto"/>
              <w:rPr>
                <w:rFonts w:hint="eastAsia" w:ascii="宋体" w:hAnsi="宋体" w:eastAsia="仿宋_GB2312" w:cs="Times New Roman"/>
                <w:color w:val="auto"/>
                <w:sz w:val="24"/>
                <w:szCs w:val="24"/>
                <w:lang w:val="en-US" w:eastAsia="zh-CN"/>
              </w:rPr>
            </w:pPr>
          </w:p>
        </w:tc>
        <w:tc>
          <w:tcPr>
            <w:tcW w:w="15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firstLine="480" w:firstLineChars="200"/>
              <w:jc w:val="both"/>
              <w:textAlignment w:val="auto"/>
              <w:rPr>
                <w:rFonts w:hint="eastAsia" w:ascii="宋体" w:hAnsi="宋体" w:eastAsia="仿宋_GB2312" w:cs="Times New Roman"/>
                <w:color w:val="auto"/>
                <w:sz w:val="24"/>
                <w:szCs w:val="24"/>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注：完成拨付时间为申请资金620,000元全部拨付到位时间。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项目资金管理情况：资金由我局负责拨付，该项目采取民办公助方式实施，资金拨付为县级报账制。所有工程资金实行报账支付制度，经村委会、乡政府、县委农工办、县行业主管部门、县财政局审核通过后，方可支付（各乡人民政府按照县财政局的具体要求提供相关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lang w:val="en-US" w:eastAsia="zh-CN"/>
        </w:rPr>
      </w:pPr>
      <w:r>
        <w:rPr>
          <w:rFonts w:hint="eastAsia" w:ascii="宋体" w:hAnsi="宋体" w:eastAsia="仿宋_GB2312" w:cs="Times New Roman"/>
          <w:color w:val="auto"/>
          <w:sz w:val="24"/>
          <w:szCs w:val="24"/>
          <w:lang w:val="en-US" w:eastAsia="zh-CN"/>
        </w:rPr>
        <w:t>3、项目绩效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根据（阿州财农【2017】29号）文件，下达我县2017年省级财政幸福美丽新村建设资金共计11个村</w:t>
      </w:r>
      <w:r>
        <w:rPr>
          <w:rFonts w:hint="eastAsia" w:ascii="宋体" w:hAnsi="宋体" w:eastAsia="仿宋_GB2312" w:cs="Times New Roman"/>
          <w:color w:val="auto"/>
          <w:sz w:val="24"/>
          <w:szCs w:val="24"/>
          <w:lang w:val="en-US" w:eastAsia="zh-CN"/>
        </w:rPr>
        <w:t>682万元</w:t>
      </w:r>
      <w:r>
        <w:rPr>
          <w:rFonts w:hint="eastAsia" w:ascii="宋体" w:hAnsi="宋体" w:eastAsia="仿宋_GB2312" w:cs="Times New Roman"/>
          <w:color w:val="auto"/>
          <w:sz w:val="24"/>
          <w:szCs w:val="24"/>
          <w:highlight w:val="none"/>
          <w:lang w:val="en-US" w:eastAsia="zh-CN"/>
        </w:rPr>
        <w:t>。已全部拨付，项目已于2017年全部完工，经县、乡验收合格。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该项目取得经济效益：幸福美丽新村建设，对人民福利要求的满足，提高人民的幸福生活指数，从而推动我县区域经济发展。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社会效益：同时增强地区的实力，带来固定资产的增加及一系列附属行业发展，推动社会精神文明发展进步，对社会的稳定和和谐发展做出了贡献。</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bookmarkStart w:id="0" w:name="_GoBack"/>
      <w:r>
        <w:rPr>
          <w:rFonts w:hint="eastAsia" w:ascii="宋体" w:hAnsi="宋体" w:eastAsia="仿宋_GB2312" w:cs="Times New Roman"/>
          <w:color w:val="auto"/>
          <w:sz w:val="24"/>
          <w:szCs w:val="24"/>
          <w:highlight w:val="none"/>
          <w:lang w:val="en-US" w:eastAsia="zh-CN"/>
        </w:rPr>
        <w:t>我们选择抽取了</w:t>
      </w:r>
      <w:r>
        <w:rPr>
          <w:rFonts w:hint="eastAsia" w:ascii="宋体" w:hAnsi="宋体" w:eastAsia="仿宋_GB2312" w:cs="Times New Roman"/>
          <w:color w:val="auto"/>
          <w:sz w:val="24"/>
          <w:szCs w:val="24"/>
          <w:highlight w:val="none"/>
          <w:lang w:val="en-US" w:eastAsia="zh-CN"/>
        </w:rPr>
        <w:t>卡拉脚乡玛目都村，</w:t>
      </w:r>
      <w:r>
        <w:rPr>
          <w:rFonts w:hint="eastAsia" w:ascii="宋体" w:hAnsi="宋体" w:eastAsia="仿宋_GB2312" w:cs="Times New Roman"/>
          <w:color w:val="auto"/>
          <w:sz w:val="24"/>
          <w:szCs w:val="24"/>
          <w:highlight w:val="none"/>
          <w:lang w:val="en-US" w:eastAsia="zh-CN"/>
        </w:rPr>
        <w:t>对其进行实地调查；调查表明，该项目均已按规定实施。</w:t>
      </w:r>
    </w:p>
    <w:bookmarkEnd w:id="0"/>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200" w:right="0" w:rightChars="0"/>
        <w:jc w:val="both"/>
        <w:textAlignment w:val="auto"/>
        <w:outlineLvl w:val="9"/>
        <w:rPr>
          <w:rFonts w:hint="eastAsia" w:ascii="宋体" w:hAnsi="宋体" w:eastAsia="仿宋_GB2312" w:cs="Times New Roman"/>
          <w:b/>
          <w:bCs/>
          <w:color w:val="auto"/>
          <w:sz w:val="24"/>
          <w:szCs w:val="24"/>
          <w:lang w:val="en-US" w:eastAsia="zh-CN"/>
        </w:rPr>
      </w:pPr>
      <w:r>
        <w:rPr>
          <w:rFonts w:hint="eastAsia" w:ascii="宋体" w:hAnsi="宋体" w:eastAsia="仿宋_GB2312" w:cs="Times New Roman"/>
          <w:b/>
          <w:bCs/>
          <w:color w:val="auto"/>
          <w:sz w:val="24"/>
          <w:szCs w:val="24"/>
          <w:lang w:val="en-US" w:eastAsia="zh-CN"/>
        </w:rPr>
        <w:t>存在主要问题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200" w:right="0" w:rightChars="0"/>
        <w:jc w:val="both"/>
        <w:textAlignment w:val="auto"/>
        <w:outlineLvl w:val="9"/>
        <w:rPr>
          <w:rFonts w:hint="eastAsia" w:ascii="宋体" w:hAnsi="宋体" w:eastAsia="仿宋_GB2312" w:cs="Times New Roman"/>
          <w:b/>
          <w:bCs/>
          <w:color w:val="auto"/>
          <w:sz w:val="24"/>
          <w:szCs w:val="24"/>
          <w:highlight w:val="none"/>
          <w:lang w:val="en-US" w:eastAsia="zh-CN"/>
        </w:rPr>
      </w:pPr>
      <w:r>
        <w:rPr>
          <w:rFonts w:hint="eastAsia" w:ascii="宋体" w:hAnsi="宋体" w:eastAsia="仿宋_GB2312" w:cs="Times New Roman"/>
          <w:b/>
          <w:bCs/>
          <w:color w:val="auto"/>
          <w:sz w:val="24"/>
          <w:szCs w:val="24"/>
          <w:highlight w:val="none"/>
          <w:lang w:val="en-US" w:eastAsia="zh-CN"/>
        </w:rPr>
        <w:t>相关措施建议</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严格执行一事一议制度，加强报销审核。</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rPr>
          <w:rFonts w:hint="eastAsia" w:ascii="黑体" w:hAnsi="宋体" w:eastAsia="黑体" w:cs="黑体"/>
          <w:kern w:val="2"/>
          <w:sz w:val="32"/>
          <w:szCs w:val="21"/>
          <w:highlight w:val="none"/>
          <w:lang w:val="en-US" w:eastAsia="zh-CN" w:bidi="ar"/>
        </w:rPr>
      </w:pPr>
      <w:r>
        <w:rPr>
          <w:rFonts w:hint="eastAsia" w:ascii="宋体" w:hAnsi="宋体" w:eastAsia="仿宋_GB2312" w:cs="Times New Roman"/>
          <w:color w:val="auto"/>
          <w:sz w:val="24"/>
          <w:szCs w:val="24"/>
          <w:highlight w:val="none"/>
          <w:lang w:val="en-US" w:eastAsia="zh-CN"/>
        </w:rPr>
        <w:t>特别注意报销程序、报销资料的完整性，报销票据的正确性。</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200" w:right="0" w:rightChars="0"/>
        <w:jc w:val="both"/>
        <w:textAlignment w:val="auto"/>
        <w:outlineLvl w:val="9"/>
        <w:rPr>
          <w:rFonts w:hint="eastAsia" w:ascii="宋体" w:hAnsi="宋体" w:eastAsia="仿宋_GB2312" w:cs="Times New Roman"/>
          <w:b/>
          <w:bCs/>
          <w:color w:val="auto"/>
          <w:sz w:val="24"/>
          <w:szCs w:val="24"/>
          <w:highlight w:val="none"/>
          <w:lang w:val="en-US" w:eastAsia="zh-CN"/>
        </w:rPr>
      </w:pPr>
      <w:r>
        <w:rPr>
          <w:rFonts w:hint="eastAsia" w:ascii="宋体" w:hAnsi="宋体" w:eastAsia="仿宋_GB2312" w:cs="Times New Roman"/>
          <w:b/>
          <w:bCs/>
          <w:color w:val="auto"/>
          <w:sz w:val="24"/>
          <w:szCs w:val="24"/>
          <w:highlight w:val="none"/>
          <w:lang w:val="en-US" w:eastAsia="zh-CN"/>
        </w:rPr>
        <w:t>本报告使用范围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本报告是金川县城乡规划建设和住房保障局所提供的现有资料基础上检查做出的结论，仅供金川县城乡规划建设和住房保障局“2017年省级财政幸福美丽新村建设专项资金（扶贫新村）绩效评价情况时使用，不作为其他用途，如因使用不当所造成的后果，与本所和签字注册会计师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yellow"/>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highlight w:val="yellow"/>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s="Times New Roman"/>
          <w:color w:val="auto"/>
          <w:sz w:val="24"/>
          <w:szCs w:val="24"/>
          <w:highlight w:val="none"/>
          <w:lang w:val="en-US" w:eastAsia="zh-CN"/>
        </w:rPr>
      </w:pPr>
      <w:r>
        <w:rPr>
          <w:rFonts w:hint="eastAsia" w:ascii="宋体" w:hAnsi="宋体" w:eastAsia="仿宋_GB2312" w:cs="Times New Roman"/>
          <w:color w:val="auto"/>
          <w:sz w:val="24"/>
          <w:szCs w:val="24"/>
          <w:highlight w:val="none"/>
          <w:lang w:val="en-US" w:eastAsia="zh-CN"/>
        </w:rPr>
        <w:t>附表一：2018年阿坝州项目支出绩效评价指标体系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仿宋_GB2312" w:cs="Times New Roman"/>
          <w:color w:val="auto"/>
          <w:sz w:val="24"/>
          <w:szCs w:val="24"/>
          <w:highlight w:val="none"/>
          <w:lang w:val="en-US" w:eastAsia="zh-CN"/>
        </w:rPr>
      </w:pPr>
    </w:p>
    <w:p>
      <w:pPr>
        <w:spacing w:line="360" w:lineRule="auto"/>
        <w:rPr>
          <w:rFonts w:hint="eastAsia" w:ascii="仿宋" w:hAnsi="仿宋" w:eastAsia="仿宋" w:cs="仿宋"/>
          <w:color w:val="auto"/>
          <w:sz w:val="24"/>
        </w:rPr>
      </w:pPr>
      <w:r>
        <w:rPr>
          <w:rFonts w:hint="eastAsia" w:ascii="仿宋" w:hAnsi="仿宋" w:eastAsia="仿宋" w:cs="仿宋"/>
          <w:bCs/>
          <w:color w:val="auto"/>
          <w:sz w:val="24"/>
        </w:rPr>
        <w:t xml:space="preserve"> </w:t>
      </w:r>
      <w:r>
        <w:rPr>
          <w:rFonts w:hint="eastAsia" w:ascii="仿宋" w:hAnsi="仿宋" w:eastAsia="仿宋" w:cs="仿宋"/>
          <w:b w:val="0"/>
          <w:bCs/>
          <w:color w:val="auto"/>
          <w:sz w:val="24"/>
        </w:rPr>
        <w:t>中兴华会计师事务所</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b w:val="0"/>
          <w:bCs/>
          <w:color w:val="auto"/>
          <w:sz w:val="24"/>
        </w:rPr>
        <w:t>（特殊普通合伙</w:t>
      </w:r>
      <w:r>
        <w:rPr>
          <w:rFonts w:hint="eastAsia" w:ascii="仿宋" w:hAnsi="仿宋" w:eastAsia="仿宋" w:cs="仿宋"/>
          <w:b w:val="0"/>
          <w:bCs/>
          <w:color w:val="auto"/>
          <w:sz w:val="24"/>
          <w:lang w:eastAsia="zh-CN"/>
        </w:rPr>
        <w:t>）</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rPr>
        <w:t xml:space="preserve">中国·四川·成都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报告日期：二0一</w:t>
      </w:r>
      <w:r>
        <w:rPr>
          <w:rFonts w:hint="eastAsia" w:ascii="仿宋" w:hAnsi="仿宋" w:eastAsia="仿宋" w:cs="仿宋"/>
          <w:color w:val="auto"/>
          <w:sz w:val="24"/>
          <w:lang w:eastAsia="zh-CN"/>
        </w:rPr>
        <w:t>八</w:t>
      </w:r>
      <w:r>
        <w:rPr>
          <w:rFonts w:hint="eastAsia" w:ascii="仿宋" w:hAnsi="仿宋" w:eastAsia="仿宋" w:cs="仿宋"/>
          <w:color w:val="auto"/>
          <w:sz w:val="24"/>
        </w:rPr>
        <w:t>年</w:t>
      </w:r>
      <w:r>
        <w:rPr>
          <w:rFonts w:hint="eastAsia" w:ascii="仿宋" w:hAnsi="仿宋" w:eastAsia="仿宋" w:cs="仿宋"/>
          <w:color w:val="auto"/>
          <w:sz w:val="24"/>
          <w:lang w:val="en-US" w:eastAsia="zh-CN"/>
        </w:rPr>
        <w:t>九</w:t>
      </w:r>
      <w:r>
        <w:rPr>
          <w:rFonts w:hint="eastAsia" w:ascii="仿宋" w:hAnsi="仿宋" w:eastAsia="仿宋" w:cs="仿宋"/>
          <w:color w:val="auto"/>
          <w:sz w:val="24"/>
        </w:rPr>
        <w:t>月</w:t>
      </w:r>
      <w:r>
        <w:rPr>
          <w:rFonts w:hint="eastAsia" w:ascii="仿宋" w:hAnsi="仿宋" w:eastAsia="仿宋" w:cs="仿宋"/>
          <w:color w:val="auto"/>
          <w:sz w:val="24"/>
          <w:lang w:val="en-US" w:eastAsia="zh-CN"/>
        </w:rPr>
        <w:t>十五日</w:t>
      </w:r>
    </w:p>
    <w:p>
      <w:pPr>
        <w:keepNext w:val="0"/>
        <w:keepLines w:val="0"/>
        <w:pageBreakBefore w:val="0"/>
        <w:widowControl w:val="0"/>
        <w:kinsoku/>
        <w:wordWrap/>
        <w:overflowPunct/>
        <w:topLinePunct w:val="0"/>
        <w:autoSpaceDE/>
        <w:autoSpaceDN/>
        <w:bidi w:val="0"/>
        <w:adjustRightInd/>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A12439"/>
    <w:multiLevelType w:val="singleLevel"/>
    <w:tmpl w:val="4AA12439"/>
    <w:lvl w:ilvl="0" w:tentative="0">
      <w:start w:val="3"/>
      <w:numFmt w:val="chineseCounting"/>
      <w:suff w:val="nothing"/>
      <w:lvlText w:val="%1、"/>
      <w:lvlJc w:val="left"/>
      <w:rPr>
        <w:rFonts w:hint="eastAsia"/>
      </w:rPr>
    </w:lvl>
  </w:abstractNum>
  <w:abstractNum w:abstractNumId="1">
    <w:nsid w:val="59BA41B3"/>
    <w:multiLevelType w:val="singleLevel"/>
    <w:tmpl w:val="59BA41B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791BEC"/>
    <w:rsid w:val="009905CD"/>
    <w:rsid w:val="058A681D"/>
    <w:rsid w:val="12351332"/>
    <w:rsid w:val="12BB7FD6"/>
    <w:rsid w:val="155231CA"/>
    <w:rsid w:val="1C6B6907"/>
    <w:rsid w:val="1E7E4077"/>
    <w:rsid w:val="1FC31069"/>
    <w:rsid w:val="22CD564F"/>
    <w:rsid w:val="23EA5CBB"/>
    <w:rsid w:val="27546957"/>
    <w:rsid w:val="2CD45166"/>
    <w:rsid w:val="2E1E7654"/>
    <w:rsid w:val="2FFE5D17"/>
    <w:rsid w:val="30393329"/>
    <w:rsid w:val="30AF5B7B"/>
    <w:rsid w:val="369130E6"/>
    <w:rsid w:val="404C69DE"/>
    <w:rsid w:val="4B791BEC"/>
    <w:rsid w:val="4F534862"/>
    <w:rsid w:val="52790C07"/>
    <w:rsid w:val="56D74A1E"/>
    <w:rsid w:val="599654DF"/>
    <w:rsid w:val="5AA5735D"/>
    <w:rsid w:val="5DE96AE1"/>
    <w:rsid w:val="5EB61374"/>
    <w:rsid w:val="65645B0D"/>
    <w:rsid w:val="6D535020"/>
    <w:rsid w:val="6EFC331A"/>
    <w:rsid w:val="78BE7055"/>
    <w:rsid w:val="7DF33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2018-08-30T02:05:00Z</dcterms:created>
  <dc:creator>夏至未至1414654383</dc:creator>
  <cp:lastModifiedBy>po</cp:lastModifiedBy>
  <dcterms:modified xsi:type="dcterms:W3CDTF">2018-10-23T08:29:42Z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