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四川省阿坝州金川县</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 xml:space="preserve">卫生和计划生育局        </w:t>
      </w:r>
    </w:p>
    <w:p>
      <w:pPr>
        <w:spacing w:line="940" w:lineRule="atLeast"/>
        <w:jc w:val="center"/>
        <w:rPr>
          <w:rFonts w:hint="eastAsia" w:ascii="华文行楷" w:hAnsi="华文行楷" w:eastAsia="华文行楷" w:cs="华文行楷"/>
          <w:b/>
          <w:sz w:val="52"/>
          <w:szCs w:val="52"/>
          <w:lang w:val="en-US" w:eastAsia="zh-CN"/>
        </w:rPr>
      </w:pPr>
      <w:r>
        <w:rPr>
          <w:rFonts w:hint="eastAsia" w:ascii="华文行楷" w:hAnsi="华文行楷" w:eastAsia="华文行楷" w:cs="华文行楷"/>
          <w:b/>
          <w:sz w:val="52"/>
          <w:szCs w:val="52"/>
          <w:lang w:val="en-US" w:eastAsia="zh-CN"/>
        </w:rPr>
        <w:t>2017年卫生扶贫救助基金</w:t>
      </w:r>
    </w:p>
    <w:p>
      <w:pPr>
        <w:spacing w:line="940" w:lineRule="atLeast"/>
        <w:jc w:val="center"/>
        <w:rPr>
          <w:rFonts w:hint="eastAsia" w:ascii="华文行楷" w:hAnsi="华文行楷" w:eastAsia="华文行楷" w:cs="华文行楷"/>
          <w:b/>
          <w:sz w:val="52"/>
          <w:szCs w:val="52"/>
        </w:rPr>
      </w:pPr>
      <w:r>
        <w:rPr>
          <w:rFonts w:hint="eastAsia" w:ascii="华文行楷" w:hAnsi="华文行楷" w:eastAsia="华文行楷" w:cs="华文行楷"/>
          <w:b/>
          <w:sz w:val="52"/>
          <w:szCs w:val="52"/>
          <w:lang w:val="en-US" w:eastAsia="zh-CN"/>
        </w:rPr>
        <w:t>绩效评价</w:t>
      </w:r>
      <w:r>
        <w:rPr>
          <w:rFonts w:hint="eastAsia" w:ascii="华文行楷" w:hAnsi="华文行楷" w:eastAsia="华文行楷" w:cs="华文行楷"/>
          <w:b/>
          <w:sz w:val="52"/>
          <w:szCs w:val="52"/>
        </w:rPr>
        <w:t>报告书</w:t>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r>
        <w:rPr>
          <w:rFonts w:ascii="隶书" w:hAnsi="Courier New" w:eastAsia="隶书"/>
          <w:color w:val="00CCFF"/>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sz w:val="48"/>
        </w:rPr>
      </w:pPr>
    </w:p>
    <w:p>
      <w:pPr>
        <w:spacing w:line="800" w:lineRule="atLeast"/>
        <w:jc w:val="center"/>
        <w:rPr>
          <w:rFonts w:hint="eastAsia" w:ascii="Arial" w:hAnsi="Arial" w:eastAsia="华文新魏" w:cs="Arial"/>
          <w:sz w:val="48"/>
        </w:rPr>
      </w:pPr>
    </w:p>
    <w:p>
      <w:pPr>
        <w:spacing w:line="800" w:lineRule="atLeast"/>
        <w:jc w:val="both"/>
        <w:rPr>
          <w:rFonts w:hint="eastAsia" w:ascii="Arial" w:hAnsi="Arial" w:eastAsia="华文新魏" w:cs="Arial"/>
          <w:sz w:val="48"/>
        </w:rPr>
      </w:pPr>
    </w:p>
    <w:p>
      <w:pPr>
        <w:rPr>
          <w:rFonts w:hint="eastAsia"/>
        </w:rPr>
      </w:pPr>
    </w:p>
    <w:p>
      <w:pPr>
        <w:jc w:val="center"/>
        <w:rPr>
          <w:rFonts w:hint="eastAsia" w:eastAsia="华文行楷"/>
          <w:b/>
          <w:bCs/>
          <w:sz w:val="44"/>
        </w:rPr>
      </w:pPr>
      <w:r>
        <w:rPr>
          <w:rFonts w:hint="eastAsia" w:eastAsia="华文行楷"/>
          <w:b/>
          <w:bCs/>
          <w:sz w:val="44"/>
        </w:rPr>
        <w:t>中兴华会计师事务所(特殊普通合伙)</w:t>
      </w:r>
    </w:p>
    <w:p>
      <w:pPr>
        <w:jc w:val="center"/>
        <w:rPr>
          <w:rFonts w:hint="eastAsia"/>
          <w:sz w:val="28"/>
        </w:rPr>
      </w:pPr>
      <w:r>
        <w:rPr>
          <w:rFonts w:hint="eastAsia"/>
          <w:sz w:val="28"/>
        </w:rPr>
        <w:t>ZHONGXINGHAU CERTIFIED PUBLIC ACCOUNTANTS LLP</w:t>
      </w:r>
    </w:p>
    <w:p>
      <w:pPr>
        <w:spacing w:line="160" w:lineRule="exact"/>
        <w:rPr>
          <w:rFonts w:ascii="黑体" w:eastAsia="黑体"/>
          <w:w w:val="90"/>
          <w:sz w:val="28"/>
        </w:rPr>
      </w:pPr>
    </w:p>
    <w:p>
      <w:pPr>
        <w:spacing w:line="600" w:lineRule="atLeast"/>
        <w:rPr>
          <w:rFonts w:hint="eastAsia" w:ascii="黑体" w:eastAsia="黑体"/>
          <w:w w:val="90"/>
          <w:sz w:val="28"/>
        </w:rPr>
      </w:pPr>
      <w:r>
        <w:rPr>
          <w:rFonts w:hint="eastAsia" w:ascii="黑体" w:eastAsia="黑体"/>
          <w:w w:val="90"/>
          <w:sz w:val="28"/>
        </w:rPr>
        <w:t>地址：</w:t>
      </w:r>
      <w:r>
        <w:rPr>
          <w:rFonts w:hint="eastAsia" w:ascii="黑体" w:eastAsia="黑体"/>
          <w:w w:val="90"/>
          <w:sz w:val="28"/>
          <w:lang w:eastAsia="zh-CN"/>
        </w:rPr>
        <w:t>成都市金牛区蜀西路</w:t>
      </w:r>
      <w:r>
        <w:rPr>
          <w:rFonts w:hint="eastAsia" w:ascii="黑体" w:eastAsia="黑体"/>
          <w:w w:val="90"/>
          <w:sz w:val="28"/>
          <w:lang w:val="en-US" w:eastAsia="zh-CN"/>
        </w:rPr>
        <w:t>49号盛大国际3幢4楼401</w:t>
      </w:r>
      <w:r>
        <w:rPr>
          <w:rFonts w:hint="eastAsia" w:ascii="黑体" w:eastAsia="黑体"/>
          <w:w w:val="90"/>
          <w:sz w:val="28"/>
        </w:rPr>
        <w:t xml:space="preserve"> </w:t>
      </w:r>
      <w:r>
        <w:rPr>
          <w:rFonts w:ascii="黑体" w:eastAsia="黑体"/>
          <w:w w:val="90"/>
          <w:sz w:val="24"/>
        </w:rPr>
        <w:t xml:space="preserve"> </w:t>
      </w:r>
      <w:r>
        <w:rPr>
          <w:rFonts w:hint="eastAsia" w:ascii="黑体" w:eastAsia="黑体"/>
          <w:w w:val="90"/>
          <w:sz w:val="24"/>
        </w:rPr>
        <w:t xml:space="preserve">    </w:t>
      </w:r>
      <w:r>
        <w:rPr>
          <w:rFonts w:ascii="黑体" w:eastAsia="黑体"/>
          <w:w w:val="90"/>
          <w:sz w:val="24"/>
        </w:rPr>
        <w:t xml:space="preserve"> </w:t>
      </w:r>
      <w:r>
        <w:rPr>
          <w:rFonts w:ascii="黑体" w:eastAsia="黑体"/>
          <w:w w:val="90"/>
          <w:sz w:val="28"/>
        </w:rPr>
        <w:t xml:space="preserve"> </w:t>
      </w:r>
      <w:r>
        <w:rPr>
          <w:rFonts w:hint="eastAsia" w:ascii="黑体" w:eastAsia="黑体"/>
          <w:w w:val="90"/>
          <w:sz w:val="28"/>
        </w:rPr>
        <w:t>邮编：</w:t>
      </w:r>
      <w:r>
        <w:rPr>
          <w:rFonts w:hint="eastAsia" w:ascii="黑体" w:eastAsia="黑体"/>
          <w:w w:val="90"/>
          <w:sz w:val="28"/>
          <w:lang w:val="en-US" w:eastAsia="zh-CN"/>
        </w:rPr>
        <w:t>610037</w:t>
      </w:r>
    </w:p>
    <w:p>
      <w:pPr>
        <w:spacing w:line="600" w:lineRule="atLeast"/>
        <w:rPr>
          <w:rFonts w:ascii="黑体" w:eastAsia="黑体"/>
          <w:w w:val="90"/>
          <w:sz w:val="28"/>
        </w:rPr>
      </w:pPr>
      <w:r>
        <w:rPr>
          <w:rFonts w:hint="eastAsia" w:ascii="黑体" w:eastAsia="黑体"/>
          <w:w w:val="90"/>
          <w:sz w:val="28"/>
        </w:rPr>
        <w:t>电话：</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87779320</w:t>
      </w:r>
      <w:r>
        <w:rPr>
          <w:rFonts w:hint="eastAsia" w:ascii="黑体" w:eastAsia="黑体"/>
          <w:w w:val="90"/>
          <w:sz w:val="28"/>
          <w:lang w:val="en-US" w:eastAsia="zh-CN"/>
        </w:rPr>
        <w:t>\18190919202</w:t>
      </w:r>
      <w:r>
        <w:rPr>
          <w:rFonts w:ascii="黑体" w:eastAsia="黑体"/>
          <w:w w:val="90"/>
          <w:sz w:val="28"/>
        </w:rPr>
        <w:t xml:space="preserve">         </w:t>
      </w:r>
      <w:r>
        <w:rPr>
          <w:rFonts w:hint="eastAsia" w:ascii="黑体" w:eastAsia="黑体"/>
          <w:w w:val="90"/>
          <w:sz w:val="28"/>
        </w:rPr>
        <w:t xml:space="preserve"> </w:t>
      </w:r>
      <w:r>
        <w:rPr>
          <w:rFonts w:ascii="黑体" w:eastAsia="黑体"/>
          <w:w w:val="90"/>
          <w:sz w:val="28"/>
        </w:rPr>
        <w:t xml:space="preserve">   </w:t>
      </w:r>
      <w:r>
        <w:rPr>
          <w:rFonts w:hint="eastAsia" w:ascii="黑体" w:eastAsia="黑体"/>
          <w:w w:val="90"/>
          <w:sz w:val="28"/>
        </w:rPr>
        <w:t xml:space="preserve">   传真：</w:t>
      </w:r>
      <w:r>
        <w:rPr>
          <w:rFonts w:ascii="黑体" w:eastAsia="黑体"/>
          <w:w w:val="90"/>
          <w:sz w:val="28"/>
        </w:rPr>
        <w:t>(</w:t>
      </w:r>
      <w:r>
        <w:rPr>
          <w:rFonts w:hint="eastAsia" w:ascii="黑体" w:eastAsia="黑体"/>
          <w:w w:val="90"/>
          <w:sz w:val="28"/>
        </w:rPr>
        <w:t>0</w:t>
      </w:r>
      <w:r>
        <w:rPr>
          <w:rFonts w:hint="eastAsia" w:ascii="黑体" w:eastAsia="黑体"/>
          <w:w w:val="90"/>
          <w:sz w:val="28"/>
          <w:lang w:val="en-US" w:eastAsia="zh-CN"/>
        </w:rPr>
        <w:t>28</w:t>
      </w:r>
      <w:r>
        <w:rPr>
          <w:rFonts w:ascii="黑体" w:eastAsia="黑体"/>
          <w:w w:val="90"/>
          <w:sz w:val="28"/>
        </w:rPr>
        <w:t>)</w:t>
      </w:r>
      <w:r>
        <w:rPr>
          <w:rFonts w:hint="eastAsia" w:ascii="黑体" w:eastAsia="黑体"/>
          <w:w w:val="90"/>
          <w:sz w:val="28"/>
        </w:rPr>
        <w:t>87776280</w:t>
      </w:r>
    </w:p>
    <w:p>
      <w:pPr>
        <w:snapToGrid w:val="0"/>
        <w:spacing w:line="400" w:lineRule="exact"/>
        <w:jc w:val="center"/>
        <w:rPr>
          <w:rFonts w:hint="eastAsia" w:ascii="宋体" w:hAnsi="宋体" w:eastAsia="宋体"/>
          <w:b/>
          <w:sz w:val="28"/>
          <w:szCs w:val="30"/>
        </w:rPr>
      </w:pPr>
    </w:p>
    <w:p>
      <w:pPr>
        <w:snapToGrid w:val="0"/>
        <w:spacing w:line="400" w:lineRule="exact"/>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金川县卫生和计划生育局</w:t>
      </w:r>
    </w:p>
    <w:p>
      <w:pPr>
        <w:snapToGrid w:val="0"/>
        <w:spacing w:line="400" w:lineRule="exact"/>
        <w:jc w:val="center"/>
        <w:rPr>
          <w:rFonts w:ascii="宋体" w:hAnsi="宋体" w:eastAsia="宋体"/>
          <w:b/>
          <w:sz w:val="36"/>
          <w:szCs w:val="36"/>
        </w:rPr>
      </w:pPr>
      <w:r>
        <w:rPr>
          <w:rFonts w:hint="eastAsia" w:ascii="宋体" w:hAnsi="宋体" w:eastAsia="宋体"/>
          <w:b/>
          <w:sz w:val="36"/>
          <w:szCs w:val="36"/>
          <w:lang w:val="en-US" w:eastAsia="zh-CN"/>
        </w:rPr>
        <w:t>2017年卫生扶贫救助基金</w:t>
      </w:r>
      <w:r>
        <w:rPr>
          <w:rFonts w:ascii="宋体" w:hAnsi="宋体" w:eastAsia="宋体"/>
          <w:b/>
          <w:sz w:val="36"/>
          <w:szCs w:val="36"/>
        </w:rPr>
        <w:t>绩效</w:t>
      </w:r>
      <w:r>
        <w:rPr>
          <w:rFonts w:hint="eastAsia" w:ascii="宋体" w:hAnsi="宋体" w:eastAsia="宋体"/>
          <w:b/>
          <w:sz w:val="36"/>
          <w:szCs w:val="36"/>
        </w:rPr>
        <w:t>评价</w:t>
      </w:r>
      <w:r>
        <w:rPr>
          <w:rFonts w:ascii="宋体" w:hAnsi="宋体" w:eastAsia="宋体"/>
          <w:b/>
          <w:sz w:val="36"/>
          <w:szCs w:val="36"/>
        </w:rPr>
        <w:t>报告</w:t>
      </w:r>
    </w:p>
    <w:p>
      <w:pPr>
        <w:spacing w:line="578" w:lineRule="exact"/>
        <w:jc w:val="both"/>
        <w:rPr>
          <w:rFonts w:hint="eastAsia" w:ascii="宋体" w:hAnsi="宋体"/>
          <w:b/>
          <w:bCs/>
          <w:sz w:val="24"/>
          <w:szCs w:val="24"/>
          <w:lang w:val="en-US" w:eastAsia="zh-CN"/>
        </w:rPr>
      </w:pPr>
      <w:r>
        <w:rPr>
          <w:rFonts w:hint="eastAsia" w:ascii="宋体" w:hAnsi="宋体"/>
          <w:b/>
          <w:bCs/>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pacing w:line="348" w:lineRule="auto"/>
        <w:ind w:firstLine="480" w:firstLineChars="200"/>
        <w:jc w:val="both"/>
        <w:textAlignment w:val="auto"/>
        <w:rPr>
          <w:rFonts w:hint="eastAsia" w:ascii="宋体" w:hAnsi="宋体"/>
          <w:sz w:val="24"/>
          <w:szCs w:val="24"/>
        </w:rPr>
      </w:pPr>
      <w:r>
        <w:rPr>
          <w:rFonts w:hint="eastAsia" w:ascii="宋体" w:hAnsi="宋体"/>
          <w:sz w:val="24"/>
          <w:szCs w:val="24"/>
        </w:rPr>
        <w:t>我们接受委托，对</w:t>
      </w:r>
      <w:r>
        <w:rPr>
          <w:rFonts w:hint="eastAsia" w:ascii="宋体" w:hAnsi="宋体"/>
          <w:color w:val="000000"/>
          <w:sz w:val="24"/>
          <w:szCs w:val="24"/>
          <w:lang w:val="en-US" w:eastAsia="zh-CN"/>
        </w:rPr>
        <w:t>金川县卫生和计划生育局</w:t>
      </w:r>
      <w:r>
        <w:rPr>
          <w:rFonts w:hint="eastAsia" w:ascii="宋体" w:hAnsi="宋体"/>
          <w:color w:val="000000"/>
          <w:sz w:val="24"/>
          <w:szCs w:val="24"/>
        </w:rPr>
        <w:t>关于201</w:t>
      </w:r>
      <w:r>
        <w:rPr>
          <w:rFonts w:hint="eastAsia" w:ascii="宋体" w:hAnsi="宋体"/>
          <w:color w:val="000000"/>
          <w:sz w:val="24"/>
          <w:szCs w:val="24"/>
          <w:lang w:val="en-US" w:eastAsia="zh-CN"/>
        </w:rPr>
        <w:t>7</w:t>
      </w:r>
      <w:r>
        <w:rPr>
          <w:rFonts w:hint="eastAsia" w:ascii="宋体" w:hAnsi="宋体"/>
          <w:color w:val="000000"/>
          <w:sz w:val="24"/>
          <w:szCs w:val="24"/>
        </w:rPr>
        <w:t>年</w:t>
      </w:r>
      <w:r>
        <w:rPr>
          <w:rFonts w:hint="eastAsia" w:ascii="宋体" w:hAnsi="宋体"/>
          <w:color w:val="000000"/>
          <w:sz w:val="24"/>
          <w:szCs w:val="24"/>
          <w:lang w:val="en-US" w:eastAsia="zh-CN"/>
        </w:rPr>
        <w:t>卫生扶贫救助基金</w:t>
      </w:r>
      <w:r>
        <w:rPr>
          <w:rFonts w:hint="eastAsia" w:ascii="宋体" w:hAnsi="宋体"/>
          <w:color w:val="000000"/>
          <w:sz w:val="24"/>
          <w:szCs w:val="24"/>
        </w:rPr>
        <w:t>(以下简称“该项目</w:t>
      </w:r>
      <w:r>
        <w:rPr>
          <w:rFonts w:hint="eastAsia" w:ascii="宋体" w:hAnsi="宋体"/>
          <w:color w:val="000000"/>
          <w:sz w:val="24"/>
          <w:szCs w:val="24"/>
          <w:lang w:val="en-US" w:eastAsia="zh-CN"/>
        </w:rPr>
        <w:t>或项目</w:t>
      </w:r>
      <w:r>
        <w:rPr>
          <w:rFonts w:hint="eastAsia" w:ascii="宋体" w:hAnsi="宋体"/>
          <w:color w:val="000000"/>
          <w:sz w:val="24"/>
          <w:szCs w:val="24"/>
        </w:rPr>
        <w:t>”)</w:t>
      </w:r>
      <w:r>
        <w:rPr>
          <w:rFonts w:hint="eastAsia" w:ascii="宋体" w:hAnsi="宋体"/>
          <w:sz w:val="24"/>
          <w:szCs w:val="24"/>
          <w:lang w:val="en-US" w:eastAsia="zh-CN"/>
        </w:rPr>
        <w:t>进行了绩效评价。</w:t>
      </w:r>
      <w:r>
        <w:rPr>
          <w:rFonts w:hint="eastAsia" w:ascii="宋体" w:hAnsi="宋体"/>
          <w:color w:val="000000"/>
          <w:sz w:val="24"/>
          <w:szCs w:val="24"/>
        </w:rPr>
        <w:t>提供该项目有关</w:t>
      </w:r>
      <w:r>
        <w:rPr>
          <w:rFonts w:ascii="宋体" w:hAnsi="宋体"/>
          <w:sz w:val="24"/>
          <w:szCs w:val="24"/>
        </w:rPr>
        <w:t>的真实、合法、完整</w:t>
      </w:r>
      <w:r>
        <w:rPr>
          <w:rFonts w:hint="eastAsia" w:ascii="宋体" w:hAnsi="宋体"/>
          <w:sz w:val="24"/>
          <w:szCs w:val="24"/>
          <w:lang w:val="zh-CN"/>
        </w:rPr>
        <w:t>的项目专项</w:t>
      </w:r>
      <w:r>
        <w:rPr>
          <w:rFonts w:hint="eastAsia" w:ascii="宋体" w:hAnsi="宋体"/>
          <w:sz w:val="24"/>
          <w:szCs w:val="24"/>
        </w:rPr>
        <w:t>资金</w:t>
      </w:r>
      <w:r>
        <w:rPr>
          <w:rFonts w:hint="eastAsia" w:ascii="宋体" w:hAnsi="宋体"/>
          <w:sz w:val="24"/>
          <w:szCs w:val="24"/>
          <w:lang w:val="zh-CN"/>
        </w:rPr>
        <w:t>收支的财务资料以及相关的文件</w:t>
      </w:r>
      <w:r>
        <w:rPr>
          <w:rFonts w:ascii="宋体" w:hAnsi="宋体"/>
          <w:sz w:val="24"/>
          <w:szCs w:val="24"/>
        </w:rPr>
        <w:t>是</w:t>
      </w:r>
      <w:r>
        <w:rPr>
          <w:rFonts w:hint="eastAsia" w:ascii="宋体" w:hAnsi="宋体"/>
          <w:sz w:val="24"/>
          <w:szCs w:val="24"/>
          <w:lang w:val="en-US" w:eastAsia="zh-CN"/>
        </w:rPr>
        <w:t>金川县卫生和计划生育局的</w:t>
      </w:r>
      <w:r>
        <w:rPr>
          <w:rFonts w:ascii="宋体" w:hAnsi="宋体"/>
          <w:sz w:val="24"/>
          <w:szCs w:val="24"/>
        </w:rPr>
        <w:t>的责任，我们的责任</w:t>
      </w:r>
      <w:r>
        <w:rPr>
          <w:rFonts w:hint="eastAsia" w:ascii="宋体" w:hAnsi="宋体"/>
          <w:sz w:val="24"/>
          <w:szCs w:val="24"/>
        </w:rPr>
        <w:t>是</w:t>
      </w:r>
      <w:r>
        <w:rPr>
          <w:rFonts w:ascii="宋体" w:hAnsi="宋体"/>
          <w:sz w:val="24"/>
          <w:szCs w:val="24"/>
        </w:rPr>
        <w:t>本着独立、客观、公正的原则，在实施必要</w:t>
      </w:r>
      <w:r>
        <w:rPr>
          <w:rFonts w:hint="eastAsia" w:ascii="宋体" w:hAnsi="宋体"/>
          <w:sz w:val="24"/>
          <w:szCs w:val="24"/>
        </w:rPr>
        <w:t>评价</w:t>
      </w:r>
      <w:r>
        <w:rPr>
          <w:rFonts w:ascii="宋体" w:hAnsi="宋体"/>
          <w:sz w:val="24"/>
          <w:szCs w:val="24"/>
        </w:rPr>
        <w:t>程序的基础上发表</w:t>
      </w:r>
      <w:r>
        <w:rPr>
          <w:rFonts w:hint="eastAsia" w:ascii="宋体" w:hAnsi="宋体"/>
          <w:sz w:val="24"/>
          <w:szCs w:val="24"/>
        </w:rPr>
        <w:t>评价</w:t>
      </w:r>
      <w:r>
        <w:rPr>
          <w:rFonts w:ascii="宋体" w:hAnsi="宋体"/>
          <w:sz w:val="24"/>
          <w:szCs w:val="24"/>
        </w:rPr>
        <w:t>意见。</w:t>
      </w:r>
      <w:r>
        <w:rPr>
          <w:rFonts w:hint="eastAsia" w:ascii="宋体" w:hAnsi="宋体"/>
          <w:sz w:val="24"/>
          <w:szCs w:val="24"/>
        </w:rPr>
        <w:t>我们的评价是依据财政部《财政支出绩效评价管理暂行办法》(财预〔2011〕285号）</w:t>
      </w:r>
      <w:r>
        <w:rPr>
          <w:rFonts w:hint="eastAsia" w:ascii="宋体" w:hAnsi="宋体"/>
          <w:sz w:val="24"/>
          <w:szCs w:val="24"/>
          <w:lang w:val="en-US" w:eastAsia="zh-CN"/>
        </w:rPr>
        <w:t>和四川省财政厅《关于四川省财政支出绩效评价操作规程（试行）》（川财绩</w:t>
      </w:r>
      <w:r>
        <w:rPr>
          <w:rFonts w:hint="eastAsia" w:ascii="宋体" w:hAnsi="宋体"/>
          <w:sz w:val="24"/>
          <w:szCs w:val="24"/>
        </w:rPr>
        <w:t>〔201</w:t>
      </w:r>
      <w:r>
        <w:rPr>
          <w:rFonts w:hint="eastAsia" w:ascii="宋体" w:hAnsi="宋体"/>
          <w:sz w:val="24"/>
          <w:szCs w:val="24"/>
          <w:lang w:val="en-US" w:eastAsia="zh-CN"/>
        </w:rPr>
        <w:t>8</w:t>
      </w:r>
      <w:r>
        <w:rPr>
          <w:rFonts w:hint="eastAsia" w:ascii="宋体" w:hAnsi="宋体"/>
          <w:sz w:val="24"/>
          <w:szCs w:val="24"/>
        </w:rPr>
        <w:t>〕</w:t>
      </w:r>
      <w:r>
        <w:rPr>
          <w:rFonts w:hint="eastAsia" w:ascii="宋体" w:hAnsi="宋体"/>
          <w:sz w:val="24"/>
          <w:szCs w:val="24"/>
          <w:lang w:val="en-US" w:eastAsia="zh-CN"/>
        </w:rPr>
        <w:t>2号）、</w:t>
      </w:r>
      <w:r>
        <w:rPr>
          <w:rFonts w:hint="eastAsia" w:ascii="宋体" w:hAnsi="宋体" w:eastAsia="仿宋_GB2312" w:cs="Times New Roman"/>
          <w:sz w:val="24"/>
          <w:szCs w:val="24"/>
          <w:lang w:val="en-US" w:eastAsia="zh-CN"/>
        </w:rPr>
        <w:t>《金川县卫生扶贫救助基金实施细则》、《救助基金管理办法》</w:t>
      </w:r>
      <w:r>
        <w:rPr>
          <w:rFonts w:hint="eastAsia" w:ascii="宋体" w:hAnsi="宋体"/>
          <w:sz w:val="24"/>
          <w:szCs w:val="24"/>
        </w:rPr>
        <w:t>进行的。</w:t>
      </w:r>
    </w:p>
    <w:p>
      <w:pPr>
        <w:keepNext w:val="0"/>
        <w:keepLines w:val="0"/>
        <w:pageBreakBefore w:val="0"/>
        <w:widowControl w:val="0"/>
        <w:kinsoku/>
        <w:wordWrap/>
        <w:overflowPunct/>
        <w:topLinePunct w:val="0"/>
        <w:autoSpaceDE/>
        <w:autoSpaceDN/>
        <w:bidi w:val="0"/>
        <w:adjustRightInd/>
        <w:snapToGrid/>
        <w:spacing w:line="348" w:lineRule="auto"/>
        <w:ind w:firstLine="480" w:firstLineChars="200"/>
        <w:textAlignment w:val="auto"/>
        <w:outlineLvl w:val="0"/>
        <w:rPr>
          <w:rFonts w:hint="eastAsia" w:ascii="宋体" w:hAnsi="宋体"/>
          <w:sz w:val="24"/>
          <w:szCs w:val="24"/>
        </w:rPr>
      </w:pPr>
      <w:r>
        <w:rPr>
          <w:rFonts w:hint="eastAsia" w:ascii="宋体" w:hAnsi="宋体"/>
          <w:sz w:val="24"/>
          <w:szCs w:val="24"/>
        </w:rPr>
        <w:t>在评价过程中，我们结合该项目的实际情况，实施了包括检查会计记录、</w:t>
      </w:r>
      <w:r>
        <w:rPr>
          <w:rFonts w:hint="eastAsia" w:ascii="宋体" w:hAnsi="宋体"/>
          <w:sz w:val="24"/>
          <w:szCs w:val="24"/>
          <w:lang w:val="en-US" w:eastAsia="zh-CN"/>
        </w:rPr>
        <w:t>实地查看、</w:t>
      </w:r>
      <w:r>
        <w:rPr>
          <w:rFonts w:hint="eastAsia" w:ascii="宋体" w:hAnsi="宋体"/>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48" w:lineRule="auto"/>
        <w:ind w:firstLine="555"/>
        <w:textAlignment w:val="auto"/>
        <w:rPr>
          <w:rFonts w:hint="eastAsia" w:hAnsi="宋体" w:eastAsia="仿宋_GB2312"/>
          <w:sz w:val="21"/>
          <w:szCs w:val="24"/>
          <w:lang w:eastAsia="zh-CN"/>
        </w:rPr>
      </w:pPr>
      <w:r>
        <w:rPr>
          <w:rFonts w:hint="eastAsia" w:ascii="宋体" w:hAnsi="宋体"/>
          <w:sz w:val="24"/>
          <w:szCs w:val="24"/>
        </w:rPr>
        <w:t>我们的</w:t>
      </w:r>
      <w:r>
        <w:rPr>
          <w:rFonts w:ascii="宋体" w:hAnsi="宋体"/>
          <w:sz w:val="24"/>
          <w:szCs w:val="24"/>
        </w:rPr>
        <w:t>现场</w:t>
      </w:r>
      <w:r>
        <w:rPr>
          <w:rFonts w:hint="eastAsia" w:ascii="宋体" w:hAnsi="宋体"/>
          <w:sz w:val="24"/>
          <w:szCs w:val="24"/>
        </w:rPr>
        <w:t>评价</w:t>
      </w:r>
      <w:r>
        <w:rPr>
          <w:rFonts w:ascii="宋体" w:hAnsi="宋体"/>
          <w:sz w:val="24"/>
          <w:szCs w:val="24"/>
        </w:rPr>
        <w:t>工作已</w:t>
      </w:r>
      <w:r>
        <w:rPr>
          <w:rFonts w:ascii="宋体" w:hAnsi="宋体"/>
          <w:sz w:val="24"/>
          <w:szCs w:val="24"/>
          <w:highlight w:val="none"/>
        </w:rPr>
        <w:t>于</w:t>
      </w:r>
      <w:r>
        <w:rPr>
          <w:rFonts w:hint="eastAsia" w:ascii="宋体" w:hAnsi="宋体"/>
          <w:color w:val="000000"/>
          <w:sz w:val="24"/>
          <w:szCs w:val="24"/>
          <w:highlight w:val="none"/>
        </w:rPr>
        <w:t>201</w:t>
      </w:r>
      <w:r>
        <w:rPr>
          <w:rFonts w:hint="eastAsia" w:ascii="宋体" w:hAnsi="宋体"/>
          <w:color w:val="000000"/>
          <w:sz w:val="24"/>
          <w:szCs w:val="24"/>
          <w:highlight w:val="none"/>
          <w:lang w:val="en-US" w:eastAsia="zh-CN"/>
        </w:rPr>
        <w:t>8</w:t>
      </w:r>
      <w:r>
        <w:rPr>
          <w:rFonts w:ascii="宋体" w:hAnsi="宋体"/>
          <w:color w:val="000000"/>
          <w:sz w:val="24"/>
          <w:szCs w:val="24"/>
          <w:highlight w:val="none"/>
        </w:rPr>
        <w:t>年</w:t>
      </w:r>
      <w:r>
        <w:rPr>
          <w:rFonts w:hint="eastAsia" w:ascii="宋体" w:hAnsi="宋体"/>
          <w:color w:val="000000"/>
          <w:sz w:val="24"/>
          <w:szCs w:val="24"/>
          <w:highlight w:val="none"/>
          <w:lang w:val="en-US" w:eastAsia="zh-CN"/>
        </w:rPr>
        <w:t>9</w:t>
      </w:r>
      <w:r>
        <w:rPr>
          <w:rFonts w:ascii="宋体" w:hAnsi="宋体"/>
          <w:color w:val="000000"/>
          <w:sz w:val="24"/>
          <w:szCs w:val="24"/>
          <w:highlight w:val="none"/>
        </w:rPr>
        <w:t>月</w:t>
      </w:r>
      <w:r>
        <w:rPr>
          <w:rFonts w:hint="eastAsia" w:ascii="宋体" w:hAnsi="宋体"/>
          <w:color w:val="000000"/>
          <w:sz w:val="24"/>
          <w:szCs w:val="24"/>
          <w:highlight w:val="none"/>
          <w:lang w:val="en-US" w:eastAsia="zh-CN"/>
        </w:rPr>
        <w:t>15</w:t>
      </w:r>
      <w:r>
        <w:rPr>
          <w:rFonts w:ascii="宋体" w:hAnsi="宋体"/>
          <w:color w:val="000000"/>
          <w:sz w:val="24"/>
          <w:szCs w:val="24"/>
          <w:highlight w:val="none"/>
        </w:rPr>
        <w:t>日</w:t>
      </w:r>
      <w:r>
        <w:rPr>
          <w:rFonts w:ascii="宋体" w:hAnsi="宋体"/>
          <w:sz w:val="24"/>
          <w:szCs w:val="24"/>
          <w:highlight w:val="none"/>
        </w:rPr>
        <w:t>结束</w:t>
      </w:r>
      <w:r>
        <w:rPr>
          <w:rFonts w:ascii="宋体" w:hAnsi="宋体"/>
          <w:sz w:val="24"/>
          <w:szCs w:val="24"/>
        </w:rPr>
        <w:t>，现将</w:t>
      </w:r>
      <w:r>
        <w:rPr>
          <w:rFonts w:hint="eastAsia" w:ascii="宋体" w:hAnsi="宋体"/>
          <w:sz w:val="24"/>
          <w:szCs w:val="24"/>
        </w:rPr>
        <w:t>评价</w:t>
      </w:r>
      <w:r>
        <w:rPr>
          <w:rFonts w:ascii="宋体" w:hAnsi="宋体"/>
          <w:sz w:val="24"/>
          <w:szCs w:val="24"/>
        </w:rPr>
        <w:t>情况报告如下</w:t>
      </w:r>
      <w:r>
        <w:rPr>
          <w:rFonts w:hint="eastAsia" w:ascii="宋体" w:hAnsi="宋体"/>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48"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项目基本情况</w:t>
      </w:r>
    </w:p>
    <w:p>
      <w:pPr>
        <w:keepNext w:val="0"/>
        <w:keepLines w:val="0"/>
        <w:pageBreakBefore w:val="0"/>
        <w:widowControl w:val="0"/>
        <w:numPr>
          <w:ilvl w:val="0"/>
          <w:numId w:val="2"/>
        </w:numPr>
        <w:kinsoku/>
        <w:wordWrap/>
        <w:overflowPunct/>
        <w:topLinePunct w:val="0"/>
        <w:autoSpaceDE/>
        <w:autoSpaceDN/>
        <w:bidi w:val="0"/>
        <w:adjustRightInd/>
        <w:snapToGrid/>
        <w:spacing w:line="348"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numPr>
          <w:ilvl w:val="-1"/>
          <w:numId w:val="0"/>
        </w:numPr>
        <w:shd w:val="clear" w:color="auto" w:fill="FFFFFF"/>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b w:val="0"/>
          <w:bCs w:val="0"/>
          <w:color w:val="auto"/>
          <w:sz w:val="24"/>
          <w:szCs w:val="24"/>
          <w:lang w:val="en-US" w:eastAsia="zh-CN"/>
        </w:rPr>
      </w:pPr>
      <w:r>
        <w:rPr>
          <w:rFonts w:hint="eastAsia" w:ascii="仿宋" w:hAnsi="仿宋" w:eastAsia="仿宋" w:cs="仿宋"/>
          <w:sz w:val="24"/>
          <w:lang w:eastAsia="zh-CN"/>
        </w:rPr>
        <w:t>金川县卫生和计划生育局</w:t>
      </w:r>
      <w:r>
        <w:rPr>
          <w:rFonts w:hint="eastAsia" w:ascii="仿宋" w:hAnsi="仿宋" w:eastAsia="仿宋" w:cs="仿宋"/>
          <w:sz w:val="24"/>
          <w:szCs w:val="24"/>
          <w:lang w:val="en-US" w:eastAsia="zh-CN"/>
        </w:rPr>
        <w:t>行政编制15名</w:t>
      </w:r>
      <w:r>
        <w:rPr>
          <w:rFonts w:hint="eastAsia" w:ascii="仿宋" w:hAnsi="仿宋" w:eastAsia="仿宋" w:cs="仿宋"/>
          <w:sz w:val="24"/>
          <w:szCs w:val="24"/>
        </w:rPr>
        <w:t>，</w:t>
      </w:r>
      <w:r>
        <w:rPr>
          <w:rFonts w:hint="eastAsia" w:ascii="仿宋" w:hAnsi="仿宋" w:eastAsia="仿宋" w:cs="仿宋"/>
          <w:sz w:val="24"/>
          <w:szCs w:val="24"/>
          <w:lang w:val="en-US" w:eastAsia="zh-CN"/>
        </w:rPr>
        <w:t>部门领导数4名；纪检组长1名；股级领导职数7名。机关工勤人员2名。设7个内设机构：办公室、政策法规与行政审批股、规划财务股、医政与中藏医股、公共卫生股、计划生育综合股、基建股。主要工作职责：贯彻执行国家、省、州关于卫生计划的方针，负责起草卫生计生发展的战略目标……实施职责范围内的职业卫生、放射卫生、环境卫生、学校卫生…….贯彻实施国家基本药物制度……负责卫生计生宣传、健康教育、健康促进和信息华建设等工作……。</w:t>
      </w:r>
    </w:p>
    <w:p>
      <w:pPr>
        <w:keepNext w:val="0"/>
        <w:keepLines w:val="0"/>
        <w:pageBreakBefore w:val="0"/>
        <w:widowControl w:val="0"/>
        <w:numPr>
          <w:ilvl w:val="0"/>
          <w:numId w:val="2"/>
        </w:numPr>
        <w:kinsoku/>
        <w:wordWrap/>
        <w:overflowPunct/>
        <w:topLinePunct w:val="0"/>
        <w:autoSpaceDE/>
        <w:autoSpaceDN/>
        <w:bidi w:val="0"/>
        <w:adjustRightInd/>
        <w:snapToGrid/>
        <w:spacing w:line="348" w:lineRule="auto"/>
        <w:ind w:firstLine="0" w:firstLineChars="0"/>
        <w:jc w:val="both"/>
        <w:textAlignment w:val="auto"/>
        <w:rPr>
          <w:rFonts w:hint="eastAsia" w:ascii="宋体" w:hAnsi="宋体"/>
          <w:sz w:val="24"/>
          <w:szCs w:val="24"/>
          <w:lang w:val="en-US" w:eastAsia="zh-CN"/>
        </w:rPr>
      </w:pPr>
      <w:r>
        <w:rPr>
          <w:rFonts w:hint="eastAsia" w:ascii="宋体" w:hAnsi="宋体"/>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根据金川县财政局《关于补充卫生扶贫救助基金的通知》（金财社[2017]33号）下达资金400.00万元。</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eastAsia="仿宋_GB2312" w:cs="Times New Roman"/>
          <w:sz w:val="24"/>
          <w:szCs w:val="24"/>
          <w:lang w:val="en-US" w:eastAsia="zh-CN"/>
        </w:rPr>
      </w:pPr>
      <w:r>
        <w:rPr>
          <w:rFonts w:hint="eastAsia" w:ascii="宋体" w:hAnsi="宋体" w:cs="Times New Roman"/>
          <w:sz w:val="24"/>
          <w:szCs w:val="24"/>
          <w:lang w:val="en-US" w:eastAsia="zh-CN"/>
        </w:rPr>
        <w:t>该项目</w:t>
      </w:r>
      <w:r>
        <w:rPr>
          <w:rFonts w:hint="eastAsia" w:ascii="宋体" w:hAnsi="宋体" w:eastAsia="仿宋_GB2312" w:cs="Times New Roman"/>
          <w:sz w:val="24"/>
          <w:szCs w:val="24"/>
          <w:lang w:val="en-US" w:eastAsia="zh-CN"/>
        </w:rPr>
        <w:t>主要用于帮助农村贫困家庭解决在享受现有医疗保障制度和医疗帮扶政策基础上，仍然存在的与看病就医直接相关的特殊困难。</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eastAsia="仿宋_GB2312" w:cs="Times New Roman"/>
          <w:sz w:val="24"/>
          <w:szCs w:val="24"/>
          <w:lang w:val="en-US" w:eastAsia="zh-CN"/>
        </w:rPr>
      </w:pPr>
      <w:r>
        <w:rPr>
          <w:rFonts w:hint="eastAsia" w:ascii="宋体" w:hAnsi="宋体" w:eastAsia="仿宋_GB2312" w:cs="Times New Roman"/>
          <w:sz w:val="24"/>
          <w:szCs w:val="24"/>
          <w:lang w:val="en-US" w:eastAsia="zh-CN"/>
        </w:rPr>
        <w:t>重点对贫困患者按照分级诊疗政策在县内医疗机构未纳入报销的门诊费用和按规定转院到异地就医未能完全报销的合规费用实施救助。</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eastAsia="仿宋_GB2312" w:cs="Times New Roman"/>
          <w:sz w:val="24"/>
          <w:szCs w:val="24"/>
          <w:lang w:val="en-US" w:eastAsia="zh-CN"/>
        </w:rPr>
      </w:pPr>
      <w:r>
        <w:rPr>
          <w:rFonts w:hint="eastAsia" w:ascii="宋体" w:hAnsi="宋体" w:cs="Times New Roman"/>
          <w:sz w:val="24"/>
          <w:szCs w:val="24"/>
          <w:lang w:val="en-US" w:eastAsia="zh-CN"/>
        </w:rPr>
        <w:t>对</w:t>
      </w:r>
      <w:r>
        <w:rPr>
          <w:rFonts w:hint="eastAsia" w:ascii="宋体" w:hAnsi="宋体" w:eastAsia="仿宋_GB2312" w:cs="Times New Roman"/>
          <w:sz w:val="24"/>
          <w:szCs w:val="24"/>
          <w:lang w:val="en-US" w:eastAsia="zh-CN"/>
        </w:rPr>
        <w:t>建档立卡贫困人口患地方病，慢性病及重特大疾病门诊、住院发生的医疗费用、经新农合基本医疗、大病商业保险（包括其他补充保险）及民政医疗救助、经新农合重大疾病专项补助基金、新农合重特大疾病特殊补助、爱心基金补偿后、剩余医疗费用，由基金实施部分救助。</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eastAsia="仿宋_GB2312" w:cs="Times New Roman"/>
          <w:sz w:val="24"/>
          <w:szCs w:val="24"/>
          <w:lang w:val="en-US" w:eastAsia="zh-CN"/>
        </w:rPr>
      </w:pPr>
      <w:r>
        <w:rPr>
          <w:rFonts w:hint="eastAsia" w:ascii="宋体" w:hAnsi="宋体" w:eastAsia="仿宋_GB2312" w:cs="Times New Roman"/>
          <w:sz w:val="24"/>
          <w:szCs w:val="24"/>
          <w:lang w:val="en-US" w:eastAsia="zh-CN"/>
        </w:rPr>
        <w:t>建档立卡贫困人口患者在县域内住院费用及慢性病门诊维持治疗医疗费用报销后的个人支付部分超过10%的由卫生扶贫基金全额救助；按规定异地就医的贫困患者住院费用报销的个人支付部分低于1,000.00元的由卫生扶贫救助基金给予50%救助，1,000.00-2,000.00元的给予60%的救助；2,000.00-4,000.00元给予65%的救助；4,000.00-6,000.00元的给予70%救助；6,000.00元以上的给予80%救助；但一般控制在每户每年500.00-5,000.00元之间。</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eastAsia="仿宋_GB2312" w:cs="Times New Roman"/>
          <w:sz w:val="24"/>
          <w:szCs w:val="24"/>
        </w:rPr>
        <w:t>在财政资金支持方面，该</w:t>
      </w:r>
      <w:r>
        <w:rPr>
          <w:rFonts w:hint="eastAsia" w:ascii="宋体" w:hAnsi="宋体" w:cs="Times New Roman"/>
          <w:sz w:val="24"/>
          <w:szCs w:val="24"/>
          <w:lang w:val="en-US" w:eastAsia="zh-CN"/>
        </w:rPr>
        <w:t>项目</w:t>
      </w:r>
      <w:r>
        <w:rPr>
          <w:rFonts w:hint="eastAsia" w:ascii="宋体" w:hAnsi="宋体" w:eastAsia="仿宋_GB2312" w:cs="Times New Roman"/>
          <w:sz w:val="24"/>
          <w:szCs w:val="24"/>
        </w:rPr>
        <w:t>实施所需</w:t>
      </w:r>
      <w:r>
        <w:rPr>
          <w:rFonts w:hint="eastAsia" w:ascii="宋体" w:hAnsi="宋体" w:eastAsia="仿宋_GB2312" w:cs="Times New Roman"/>
          <w:sz w:val="24"/>
          <w:szCs w:val="24"/>
          <w:lang w:val="en-US" w:eastAsia="zh-CN"/>
        </w:rPr>
        <w:t>资金</w:t>
      </w:r>
      <w:r>
        <w:rPr>
          <w:rFonts w:hint="eastAsia" w:ascii="宋体" w:hAnsi="宋体" w:eastAsia="仿宋_GB2312" w:cs="Times New Roman"/>
          <w:sz w:val="24"/>
          <w:szCs w:val="24"/>
        </w:rPr>
        <w:t>通过</w:t>
      </w:r>
      <w:r>
        <w:rPr>
          <w:rFonts w:hint="eastAsia" w:ascii="宋体" w:hAnsi="宋体" w:eastAsia="仿宋_GB2312" w:cs="Times New Roman"/>
          <w:sz w:val="24"/>
          <w:szCs w:val="24"/>
          <w:lang w:val="en-US" w:eastAsia="zh-CN"/>
        </w:rPr>
        <w:t>县级财政预算资金为主，争取上级补助和动员社会捐助赞助等方式筹资</w:t>
      </w:r>
      <w:r>
        <w:rPr>
          <w:rFonts w:hint="eastAsia" w:ascii="宋体" w:hAnsi="宋体" w:eastAsia="仿宋_GB2312" w:cs="Times New Roman"/>
          <w:sz w:val="24"/>
          <w:szCs w:val="24"/>
        </w:rPr>
        <w:t>，资金主要用于</w:t>
      </w:r>
      <w:r>
        <w:rPr>
          <w:rFonts w:hint="eastAsia" w:ascii="宋体" w:hAnsi="宋体" w:eastAsia="仿宋_GB2312" w:cs="Times New Roman"/>
          <w:sz w:val="24"/>
          <w:szCs w:val="24"/>
          <w:lang w:val="en-US" w:eastAsia="zh-CN"/>
        </w:rPr>
        <w:t>对户籍在金川县内的健康立卡贫困户家庭成员患者扶贫救助</w:t>
      </w:r>
      <w:r>
        <w:rPr>
          <w:rFonts w:hint="eastAsia" w:ascii="宋体" w:hAnsi="宋体" w:eastAsia="仿宋_GB2312" w:cs="Times New Roman"/>
          <w:sz w:val="24"/>
          <w:szCs w:val="24"/>
        </w:rPr>
        <w:t>。</w:t>
      </w:r>
    </w:p>
    <w:p>
      <w:pPr>
        <w:keepNext w:val="0"/>
        <w:keepLines w:val="0"/>
        <w:pageBreakBefore w:val="0"/>
        <w:widowControl w:val="0"/>
        <w:numPr>
          <w:ilvl w:val="0"/>
          <w:numId w:val="1"/>
        </w:numPr>
        <w:kinsoku/>
        <w:wordWrap/>
        <w:overflowPunct/>
        <w:topLinePunct w:val="0"/>
        <w:autoSpaceDE/>
        <w:autoSpaceDN/>
        <w:bidi w:val="0"/>
        <w:adjustRightInd/>
        <w:snapToGrid/>
        <w:spacing w:line="348"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0" w:firstLineChars="0"/>
        <w:jc w:val="both"/>
        <w:textAlignment w:val="auto"/>
        <w:rPr>
          <w:rFonts w:hint="eastAsia" w:ascii="宋体" w:hAnsi="宋体"/>
          <w:sz w:val="24"/>
          <w:szCs w:val="24"/>
          <w:lang w:val="en-US" w:eastAsia="zh-CN"/>
        </w:rPr>
      </w:pPr>
      <w:r>
        <w:rPr>
          <w:rFonts w:hint="eastAsia" w:ascii="宋体" w:hAnsi="宋体"/>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2017年该项目对395人次进行救助，切实避免因经济原因导致贫困户家庭成员患病得不到及时合理治疗的情况。</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评分，该项目综合得分94</w:t>
      </w:r>
      <w:r>
        <w:rPr>
          <w:rFonts w:hint="eastAsia" w:ascii="宋体" w:hAnsi="宋体"/>
          <w:color w:val="0000FF"/>
          <w:sz w:val="24"/>
          <w:szCs w:val="24"/>
          <w:lang w:val="en-US" w:eastAsia="zh-CN"/>
        </w:rPr>
        <w:t>份</w:t>
      </w:r>
      <w:r>
        <w:rPr>
          <w:rFonts w:hint="eastAsia" w:ascii="宋体" w:hAnsi="宋体"/>
          <w:sz w:val="24"/>
          <w:szCs w:val="24"/>
          <w:lang w:val="en-US" w:eastAsia="zh-CN"/>
        </w:rPr>
        <w:t>。具体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0" w:firstLineChars="0"/>
        <w:jc w:val="both"/>
        <w:textAlignment w:val="auto"/>
        <w:rPr>
          <w:rFonts w:hint="eastAsia" w:ascii="宋体" w:hAnsi="宋体"/>
          <w:sz w:val="24"/>
          <w:szCs w:val="24"/>
          <w:lang w:val="en-US" w:eastAsia="zh-CN"/>
        </w:rPr>
      </w:pPr>
      <w:r>
        <w:rPr>
          <w:rFonts w:hint="eastAsia" w:ascii="宋体" w:hAnsi="宋体"/>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该</w:t>
      </w:r>
      <w:r>
        <w:rPr>
          <w:rFonts w:hint="eastAsia" w:ascii="宋体" w:hAnsi="宋体"/>
          <w:sz w:val="24"/>
          <w:szCs w:val="24"/>
        </w:rPr>
        <w:t>项目符合</w:t>
      </w:r>
      <w:r>
        <w:rPr>
          <w:rFonts w:hint="eastAsia" w:ascii="宋体" w:hAnsi="宋体"/>
          <w:sz w:val="24"/>
          <w:szCs w:val="24"/>
          <w:lang w:val="en-US" w:eastAsia="zh-CN"/>
        </w:rPr>
        <w:t>中央、</w:t>
      </w:r>
      <w:r>
        <w:rPr>
          <w:rFonts w:hint="eastAsia" w:ascii="宋体" w:hAnsi="宋体"/>
          <w:sz w:val="24"/>
          <w:szCs w:val="24"/>
        </w:rPr>
        <w:t>省</w:t>
      </w:r>
      <w:r>
        <w:rPr>
          <w:rFonts w:hint="eastAsia" w:ascii="宋体" w:hAnsi="宋体"/>
          <w:sz w:val="24"/>
          <w:szCs w:val="24"/>
          <w:lang w:eastAsia="zh-CN"/>
        </w:rPr>
        <w:t>、</w:t>
      </w:r>
      <w:r>
        <w:rPr>
          <w:rFonts w:hint="eastAsia" w:ascii="宋体" w:hAnsi="宋体"/>
          <w:sz w:val="24"/>
          <w:szCs w:val="24"/>
        </w:rPr>
        <w:t>州决策部署</w:t>
      </w:r>
      <w:r>
        <w:rPr>
          <w:rFonts w:hint="eastAsia" w:ascii="宋体" w:hAnsi="宋体"/>
          <w:sz w:val="24"/>
          <w:szCs w:val="24"/>
          <w:lang w:eastAsia="zh-CN"/>
        </w:rPr>
        <w:t>，</w:t>
      </w:r>
      <w:r>
        <w:rPr>
          <w:rFonts w:hint="eastAsia" w:ascii="宋体" w:hAnsi="宋体"/>
          <w:sz w:val="24"/>
          <w:szCs w:val="24"/>
        </w:rPr>
        <w:t>符合当前经济社会发展需要，</w:t>
      </w:r>
      <w:r>
        <w:rPr>
          <w:rFonts w:hint="eastAsia" w:ascii="宋体" w:hAnsi="宋体"/>
          <w:sz w:val="24"/>
          <w:szCs w:val="24"/>
          <w:lang w:val="en-US" w:eastAsia="zh-CN"/>
        </w:rPr>
        <w:t>满足</w:t>
      </w:r>
      <w:r>
        <w:rPr>
          <w:rFonts w:hint="eastAsia" w:ascii="宋体" w:hAnsi="宋体"/>
          <w:sz w:val="24"/>
          <w:szCs w:val="24"/>
        </w:rPr>
        <w:t>政策和实际需求的吻合程度</w:t>
      </w:r>
      <w:r>
        <w:rPr>
          <w:rFonts w:hint="eastAsia" w:ascii="宋体" w:hAnsi="宋体"/>
          <w:sz w:val="24"/>
          <w:szCs w:val="24"/>
          <w:lang w:val="en-US" w:eastAsia="zh-CN"/>
        </w:rPr>
        <w:t>；通过制定《金川县卫生扶贫救助基金实施细则》及《扶贫救助基金管理办法》来规范卫生扶贫资金的使用。</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绩效目标：对户籍在金川县内的建档立卡贫困户家庭成员在享受现有医疗保障政策后，个人医疗费用负担仍然较重贫困患者的救助。</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项目资金到位情况：2017年财政拨入卫生扶贫救助基金400.00万元。</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项目资金使用情况：卫生扶贫救助基金2017年实际支出77.2934万元。</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w:t>
      </w:r>
      <w:r>
        <w:rPr>
          <w:rFonts w:hint="eastAsia" w:ascii="宋体" w:hAnsi="宋体"/>
          <w:color w:val="000000"/>
          <w:sz w:val="24"/>
          <w:szCs w:val="24"/>
          <w:lang w:val="en-US" w:eastAsia="zh-CN"/>
        </w:rPr>
        <w:t>金川县卫生和计划生育局</w:t>
      </w:r>
      <w:r>
        <w:rPr>
          <w:rFonts w:hint="eastAsia" w:ascii="宋体" w:hAnsi="宋体"/>
          <w:sz w:val="24"/>
          <w:szCs w:val="24"/>
          <w:lang w:val="en-US" w:eastAsia="zh-CN"/>
        </w:rPr>
        <w:t>按救助基金管理办法的标准实行报销，经过个人申请--村级初审--乡镇复审--县级卫生计生部门审定--公示--拨付的流程报销。项目资金做到了专款专用。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项目目标完成情况：2017年共有395人次享受卫生扶贫救助基金的救助；</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项目效益情况：卫生扶贫基金主要帮助贫困家庭解决在享受现有医疗保障制度和医疗帮扶政策的基础上，仍然存在的看病就医直接相关的特殊困难群众，切实避免因经济原因导致贫困户家庭成员患病得不到及时合理治疗的问题，减轻了建档立卡贫困户的负担。</w:t>
      </w: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我们选择抽取了勒乌镇、安宁镇，对</w:t>
      </w:r>
      <w:r>
        <w:rPr>
          <w:rFonts w:hint="eastAsia" w:ascii="宋体" w:hAnsi="宋体" w:eastAsia="仿宋_GB2312" w:cs="Times New Roman"/>
          <w:sz w:val="24"/>
          <w:szCs w:val="24"/>
        </w:rPr>
        <w:t>用于</w:t>
      </w:r>
      <w:r>
        <w:rPr>
          <w:rFonts w:hint="eastAsia" w:ascii="宋体" w:hAnsi="宋体" w:eastAsia="仿宋_GB2312" w:cs="Times New Roman"/>
          <w:sz w:val="24"/>
          <w:szCs w:val="24"/>
          <w:lang w:val="en-US" w:eastAsia="zh-CN"/>
        </w:rPr>
        <w:t>户籍在金川县内的健康立卡贫困户家庭成员患者扶贫救助</w:t>
      </w:r>
      <w:r>
        <w:rPr>
          <w:rFonts w:hint="eastAsia" w:ascii="宋体" w:hAnsi="宋体" w:cs="Times New Roman"/>
          <w:sz w:val="24"/>
          <w:szCs w:val="24"/>
          <w:lang w:val="en-US" w:eastAsia="zh-CN"/>
        </w:rPr>
        <w:t>情况</w:t>
      </w:r>
      <w:r>
        <w:rPr>
          <w:rFonts w:hint="eastAsia" w:ascii="宋体" w:hAnsi="宋体"/>
          <w:sz w:val="24"/>
          <w:szCs w:val="24"/>
          <w:highlight w:val="none"/>
          <w:lang w:val="en-US" w:eastAsia="zh-CN"/>
        </w:rPr>
        <w:t>进行了实地调查；调查表明，项目均已按规定实施。</w:t>
      </w:r>
    </w:p>
    <w:p>
      <w:pPr>
        <w:keepNext w:val="0"/>
        <w:keepLines w:val="0"/>
        <w:pageBreakBefore w:val="0"/>
        <w:widowControl w:val="0"/>
        <w:numPr>
          <w:ilvl w:val="0"/>
          <w:numId w:val="1"/>
        </w:numPr>
        <w:kinsoku/>
        <w:wordWrap/>
        <w:overflowPunct/>
        <w:topLinePunct w:val="0"/>
        <w:autoSpaceDE/>
        <w:autoSpaceDN/>
        <w:bidi w:val="0"/>
        <w:adjustRightInd/>
        <w:snapToGrid/>
        <w:spacing w:line="348" w:lineRule="auto"/>
        <w:ind w:firstLine="0" w:firstLineChars="0"/>
        <w:textAlignment w:val="auto"/>
        <w:rPr>
          <w:rFonts w:hint="eastAsia" w:ascii="宋体" w:hAnsi="宋体" w:eastAsia="仿宋_GB2312"/>
          <w:b/>
          <w:bCs/>
          <w:sz w:val="24"/>
          <w:szCs w:val="24"/>
        </w:rPr>
      </w:pPr>
      <w:r>
        <w:rPr>
          <w:rFonts w:hint="eastAsia" w:ascii="宋体" w:hAnsi="宋体" w:eastAsia="仿宋_GB2312"/>
          <w:b/>
          <w:bCs/>
          <w:sz w:val="24"/>
          <w:szCs w:val="24"/>
        </w:rPr>
        <w:t>存在主要问题</w:t>
      </w:r>
    </w:p>
    <w:p>
      <w:pPr>
        <w:keepNext w:val="0"/>
        <w:keepLines w:val="0"/>
        <w:pageBreakBefore w:val="0"/>
        <w:widowControl w:val="0"/>
        <w:numPr>
          <w:ilvl w:val="-1"/>
          <w:numId w:val="0"/>
        </w:numPr>
        <w:kinsoku/>
        <w:wordWrap/>
        <w:overflowPunct/>
        <w:topLinePunct w:val="0"/>
        <w:autoSpaceDE/>
        <w:autoSpaceDN/>
        <w:bidi w:val="0"/>
        <w:adjustRightInd/>
        <w:snapToGrid w:val="0"/>
        <w:spacing w:line="348" w:lineRule="auto"/>
        <w:ind w:firstLine="0" w:firstLineChars="0"/>
        <w:textAlignment w:val="auto"/>
        <w:rPr>
          <w:rFonts w:hint="eastAsia" w:ascii="宋体" w:hAnsi="宋体" w:eastAsia="仿宋_GB2312"/>
          <w:b w:val="0"/>
          <w:sz w:val="24"/>
          <w:szCs w:val="24"/>
          <w:lang w:val="en-US" w:eastAsia="zh-CN"/>
        </w:rPr>
      </w:pPr>
      <w:r>
        <w:rPr>
          <w:rFonts w:hint="eastAsia" w:ascii="宋体" w:hAnsi="宋体" w:eastAsia="宋体"/>
          <w:b/>
          <w:sz w:val="21"/>
          <w:szCs w:val="21"/>
          <w:lang w:val="en-US" w:eastAsia="zh-CN"/>
        </w:rPr>
        <w:t xml:space="preserve">    </w:t>
      </w:r>
      <w:r>
        <w:rPr>
          <w:rFonts w:hint="eastAsia" w:ascii="宋体" w:hAnsi="宋体" w:eastAsia="仿宋_GB2312"/>
          <w:b w:val="0"/>
          <w:sz w:val="24"/>
          <w:szCs w:val="24"/>
          <w:lang w:val="en-US" w:eastAsia="zh-CN"/>
        </w:rPr>
        <w:t>按照金川县卫生扶贫救助基金实施细则规定，建档立卡贫困患者申报材料提交之日起，30日内将卫生基金发放到救助对象。</w:t>
      </w:r>
      <w:r>
        <w:rPr>
          <w:rFonts w:hint="eastAsia" w:ascii="宋体" w:hAnsi="宋体"/>
          <w:b w:val="0"/>
          <w:sz w:val="24"/>
          <w:szCs w:val="24"/>
          <w:lang w:val="en-US" w:eastAsia="zh-CN"/>
        </w:rPr>
        <w:t>但调查表明，</w:t>
      </w:r>
      <w:r>
        <w:rPr>
          <w:rFonts w:hint="eastAsia" w:ascii="宋体" w:hAnsi="宋体" w:eastAsia="仿宋_GB2312"/>
          <w:b w:val="0"/>
          <w:sz w:val="24"/>
          <w:szCs w:val="24"/>
          <w:lang w:val="en-US" w:eastAsia="zh-CN"/>
        </w:rPr>
        <w:t>部分资金拨付不及时，超过30日</w:t>
      </w:r>
      <w:r>
        <w:rPr>
          <w:rFonts w:hint="eastAsia" w:ascii="宋体" w:hAnsi="宋体"/>
          <w:b w:val="0"/>
          <w:sz w:val="24"/>
          <w:szCs w:val="24"/>
          <w:lang w:val="en-US" w:eastAsia="zh-CN"/>
        </w:rPr>
        <w:t>，例如2017年12月发放救助资金，部分资金在2018年4月才拨付成功。</w:t>
      </w:r>
    </w:p>
    <w:p>
      <w:pPr>
        <w:keepNext w:val="0"/>
        <w:keepLines w:val="0"/>
        <w:pageBreakBefore w:val="0"/>
        <w:widowControl w:val="0"/>
        <w:numPr>
          <w:ilvl w:val="0"/>
          <w:numId w:val="1"/>
        </w:numPr>
        <w:kinsoku/>
        <w:wordWrap/>
        <w:overflowPunct/>
        <w:topLinePunct w:val="0"/>
        <w:autoSpaceDE/>
        <w:autoSpaceDN/>
        <w:bidi w:val="0"/>
        <w:adjustRightInd/>
        <w:snapToGrid/>
        <w:spacing w:line="348" w:lineRule="auto"/>
        <w:ind w:firstLine="0" w:firstLineChars="0"/>
        <w:textAlignment w:val="auto"/>
        <w:rPr>
          <w:rFonts w:hint="eastAsia" w:ascii="宋体" w:hAnsi="宋体" w:eastAsia="仿宋_GB2312"/>
          <w:b/>
          <w:bCs/>
          <w:sz w:val="24"/>
          <w:szCs w:val="24"/>
        </w:rPr>
      </w:pPr>
      <w:r>
        <w:rPr>
          <w:rFonts w:hint="eastAsia" w:ascii="宋体" w:hAnsi="宋体" w:eastAsia="仿宋_GB2312"/>
          <w:b/>
          <w:bCs/>
          <w:sz w:val="24"/>
          <w:szCs w:val="24"/>
        </w:rPr>
        <w:t>相关措施建议</w:t>
      </w:r>
    </w:p>
    <w:p>
      <w:pPr>
        <w:numPr>
          <w:ilvl w:val="-1"/>
          <w:numId w:val="0"/>
        </w:numPr>
        <w:snapToGrid w:val="0"/>
        <w:spacing w:line="348"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1、及时对补助资金进行拨付；</w:t>
      </w:r>
    </w:p>
    <w:p>
      <w:pPr>
        <w:numPr>
          <w:ilvl w:val="-1"/>
          <w:numId w:val="0"/>
        </w:numPr>
        <w:snapToGrid w:val="0"/>
        <w:spacing w:line="348"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2、加强对卫生扶贫救助基金的宣传，使符合政策的建档立卡贫困户能充分享受到该政策。</w:t>
      </w:r>
    </w:p>
    <w:p>
      <w:pPr>
        <w:keepNext w:val="0"/>
        <w:keepLines w:val="0"/>
        <w:pageBreakBefore w:val="0"/>
        <w:widowControl w:val="0"/>
        <w:numPr>
          <w:ilvl w:val="-1"/>
          <w:numId w:val="0"/>
        </w:numPr>
        <w:kinsoku/>
        <w:wordWrap/>
        <w:overflowPunct/>
        <w:topLinePunct w:val="0"/>
        <w:autoSpaceDE/>
        <w:autoSpaceDN/>
        <w:bidi w:val="0"/>
        <w:adjustRightInd/>
        <w:snapToGrid/>
        <w:spacing w:line="348" w:lineRule="auto"/>
        <w:ind w:right="0" w:rightChars="0"/>
        <w:jc w:val="both"/>
        <w:textAlignment w:val="auto"/>
        <w:outlineLvl w:val="9"/>
        <w:rPr>
          <w:rFonts w:hint="eastAsia" w:ascii="宋体" w:hAnsi="宋体" w:eastAsia="仿宋_GB2312" w:cs="Times New Roman"/>
          <w:b/>
          <w:bCs/>
          <w:sz w:val="24"/>
          <w:szCs w:val="24"/>
          <w:lang w:val="en-US" w:eastAsia="zh-CN"/>
        </w:rPr>
      </w:pPr>
      <w:r>
        <w:rPr>
          <w:rFonts w:hint="eastAsia" w:ascii="宋体" w:hAnsi="宋体" w:eastAsia="仿宋_GB2312" w:cs="Times New Roman"/>
          <w:b/>
          <w:bCs/>
          <w:sz w:val="24"/>
          <w:szCs w:val="24"/>
          <w:lang w:val="en-US" w:eastAsia="zh-CN"/>
        </w:rPr>
        <w:t>五、本报告使用范围</w:t>
      </w:r>
    </w:p>
    <w:p>
      <w:pPr>
        <w:keepNext w:val="0"/>
        <w:keepLines w:val="0"/>
        <w:pageBreakBefore w:val="0"/>
        <w:widowControl w:val="0"/>
        <w:numPr>
          <w:ilvl w:val="-1"/>
          <w:numId w:val="0"/>
        </w:numPr>
        <w:kinsoku/>
        <w:wordWrap/>
        <w:overflowPunct/>
        <w:topLinePunct w:val="0"/>
        <w:autoSpaceDE/>
        <w:autoSpaceDN/>
        <w:bidi w:val="0"/>
        <w:adjustRightInd/>
        <w:snapToGrid w:val="0"/>
        <w:spacing w:line="348" w:lineRule="auto"/>
        <w:textAlignment w:val="auto"/>
        <w:rPr>
          <w:rFonts w:hint="eastAsia" w:ascii="宋体" w:hAnsi="宋体" w:eastAsia="仿宋_GB2312" w:cs="Times New Roman"/>
          <w:sz w:val="24"/>
          <w:szCs w:val="24"/>
          <w:lang w:bidi="ar"/>
        </w:rPr>
      </w:pPr>
      <w:r>
        <w:rPr>
          <w:rFonts w:hint="eastAsia" w:ascii="仿宋" w:hAnsi="仿宋" w:eastAsia="仿宋" w:cs="仿宋"/>
          <w:sz w:val="24"/>
          <w:szCs w:val="24"/>
          <w:highlight w:val="none"/>
          <w:lang w:val="en-US" w:eastAsia="zh-CN" w:bidi="ar"/>
        </w:rPr>
        <w:t xml:space="preserve">   </w:t>
      </w:r>
      <w:r>
        <w:rPr>
          <w:rFonts w:hint="eastAsia" w:ascii="宋体" w:hAnsi="宋体" w:eastAsia="仿宋_GB2312" w:cs="Times New Roman"/>
          <w:sz w:val="24"/>
          <w:szCs w:val="24"/>
          <w:lang w:val="en-US" w:eastAsia="zh-CN" w:bidi="ar"/>
        </w:rPr>
        <w:t xml:space="preserve"> </w:t>
      </w:r>
      <w:r>
        <w:rPr>
          <w:rFonts w:hint="eastAsia" w:ascii="宋体" w:hAnsi="宋体" w:eastAsia="仿宋_GB2312" w:cs="Times New Roman"/>
          <w:sz w:val="24"/>
          <w:szCs w:val="24"/>
          <w:lang w:bidi="ar"/>
        </w:rPr>
        <w:t>本报告是在</w:t>
      </w:r>
      <w:r>
        <w:rPr>
          <w:rFonts w:hint="eastAsia" w:ascii="宋体" w:hAnsi="宋体"/>
          <w:color w:val="000000"/>
          <w:sz w:val="24"/>
          <w:szCs w:val="24"/>
          <w:lang w:val="en-US" w:eastAsia="zh-CN"/>
        </w:rPr>
        <w:t>金川县卫生和计划生育局</w:t>
      </w:r>
      <w:r>
        <w:rPr>
          <w:rFonts w:hint="eastAsia" w:ascii="宋体" w:hAnsi="宋体" w:eastAsia="仿宋_GB2312" w:cs="Times New Roman"/>
          <w:sz w:val="24"/>
          <w:szCs w:val="24"/>
          <w:lang w:bidi="ar"/>
        </w:rPr>
        <w:t>所提供的现有资料基础上</w:t>
      </w:r>
      <w:r>
        <w:rPr>
          <w:rFonts w:hint="eastAsia" w:ascii="宋体" w:hAnsi="宋体" w:eastAsia="仿宋_GB2312" w:cs="Times New Roman"/>
          <w:sz w:val="24"/>
          <w:szCs w:val="24"/>
          <w:lang w:val="en-US" w:eastAsia="zh-CN" w:bidi="ar"/>
        </w:rPr>
        <w:t>检查</w:t>
      </w:r>
      <w:r>
        <w:rPr>
          <w:rFonts w:hint="eastAsia" w:ascii="宋体" w:hAnsi="宋体" w:eastAsia="仿宋_GB2312" w:cs="Times New Roman"/>
          <w:sz w:val="24"/>
          <w:szCs w:val="24"/>
          <w:lang w:bidi="ar"/>
        </w:rPr>
        <w:t>做出的结论，仅供</w:t>
      </w:r>
      <w:r>
        <w:rPr>
          <w:rFonts w:hint="eastAsia" w:ascii="宋体" w:hAnsi="宋体" w:eastAsia="仿宋_GB2312" w:cs="Times New Roman"/>
          <w:sz w:val="24"/>
          <w:szCs w:val="24"/>
          <w:lang w:val="en-US" w:eastAsia="zh-CN" w:bidi="ar"/>
        </w:rPr>
        <w:t>金川县财政局</w:t>
      </w:r>
      <w:bookmarkStart w:id="0" w:name="_GoBack"/>
      <w:r>
        <w:rPr>
          <w:rFonts w:hint="eastAsia" w:ascii="宋体" w:hAnsi="宋体" w:eastAsia="仿宋_GB2312" w:cs="Times New Roman"/>
          <w:color w:val="0000FF"/>
          <w:sz w:val="24"/>
          <w:szCs w:val="24"/>
          <w:lang w:bidi="ar"/>
        </w:rPr>
        <w:t>区</w:t>
      </w:r>
      <w:bookmarkEnd w:id="0"/>
      <w:r>
        <w:rPr>
          <w:rFonts w:hint="eastAsia" w:ascii="宋体" w:hAnsi="宋体" w:eastAsia="仿宋_GB2312" w:cs="Times New Roman"/>
          <w:sz w:val="24"/>
          <w:szCs w:val="24"/>
          <w:lang w:val="en-US" w:eastAsia="zh-CN" w:bidi="ar"/>
        </w:rPr>
        <w:t>了解</w:t>
      </w:r>
      <w:r>
        <w:rPr>
          <w:rFonts w:hint="eastAsia" w:ascii="宋体" w:hAnsi="宋体" w:eastAsia="仿宋_GB2312" w:cs="Times New Roman"/>
          <w:b w:val="0"/>
          <w:sz w:val="24"/>
          <w:szCs w:val="24"/>
          <w:lang w:val="en-US" w:eastAsia="zh-CN" w:bidi="ar"/>
        </w:rPr>
        <w:t>金川县</w:t>
      </w:r>
      <w:r>
        <w:rPr>
          <w:rFonts w:hint="eastAsia" w:ascii="宋体" w:hAnsi="宋体" w:cs="Times New Roman"/>
          <w:b w:val="0"/>
          <w:sz w:val="24"/>
          <w:szCs w:val="24"/>
          <w:lang w:val="en-US" w:eastAsia="zh-CN" w:bidi="ar"/>
        </w:rPr>
        <w:t>卫生和计划生育局</w:t>
      </w:r>
      <w:r>
        <w:rPr>
          <w:rFonts w:hint="eastAsia" w:ascii="宋体" w:hAnsi="宋体" w:eastAsia="仿宋_GB2312" w:cs="Times New Roman"/>
          <w:sz w:val="24"/>
          <w:szCs w:val="24"/>
          <w:lang w:val="en-US" w:eastAsia="zh-CN" w:bidi="ar"/>
        </w:rPr>
        <w:t>2017年</w:t>
      </w:r>
      <w:r>
        <w:rPr>
          <w:rFonts w:hint="eastAsia" w:ascii="宋体" w:hAnsi="宋体" w:cs="Times New Roman"/>
          <w:sz w:val="24"/>
          <w:szCs w:val="24"/>
          <w:lang w:val="en-US" w:eastAsia="zh-CN" w:bidi="ar"/>
        </w:rPr>
        <w:t>卫生</w:t>
      </w:r>
      <w:r>
        <w:rPr>
          <w:rFonts w:hint="eastAsia" w:ascii="宋体" w:hAnsi="宋体" w:eastAsia="仿宋_GB2312" w:cs="Times New Roman"/>
          <w:sz w:val="24"/>
          <w:szCs w:val="24"/>
          <w:lang w:val="en-US" w:eastAsia="zh-CN" w:bidi="ar"/>
        </w:rPr>
        <w:t>扶贫</w:t>
      </w:r>
      <w:r>
        <w:rPr>
          <w:rFonts w:hint="eastAsia" w:ascii="宋体" w:hAnsi="宋体" w:cs="Times New Roman"/>
          <w:sz w:val="24"/>
          <w:szCs w:val="24"/>
          <w:lang w:val="en-US" w:eastAsia="zh-CN" w:bidi="ar"/>
        </w:rPr>
        <w:t>救助基金绩效评价时</w:t>
      </w:r>
      <w:r>
        <w:rPr>
          <w:rFonts w:hint="eastAsia" w:ascii="宋体" w:hAnsi="宋体" w:eastAsia="仿宋_GB2312" w:cs="Times New Roman"/>
          <w:sz w:val="24"/>
          <w:szCs w:val="24"/>
          <w:lang w:val="en-US" w:eastAsia="zh-CN" w:bidi="ar"/>
        </w:rPr>
        <w:t>使用</w:t>
      </w:r>
      <w:r>
        <w:rPr>
          <w:rFonts w:hint="eastAsia" w:ascii="宋体" w:hAnsi="宋体" w:eastAsia="仿宋_GB2312" w:cs="Times New Roman"/>
          <w:sz w:val="24"/>
          <w:szCs w:val="24"/>
          <w:lang w:bidi="ar"/>
        </w:rPr>
        <w:t>，不作为其他用途，如因使用不当所造成的后果，</w:t>
      </w:r>
      <w:r>
        <w:rPr>
          <w:rFonts w:hint="eastAsia" w:ascii="宋体" w:hAnsi="宋体" w:eastAsia="仿宋_GB2312" w:cs="Times New Roman"/>
          <w:sz w:val="24"/>
          <w:szCs w:val="24"/>
          <w:lang w:eastAsia="zh-CN" w:bidi="ar"/>
        </w:rPr>
        <w:t>与本</w:t>
      </w:r>
      <w:r>
        <w:rPr>
          <w:rFonts w:hint="eastAsia" w:ascii="宋体" w:hAnsi="宋体" w:eastAsia="仿宋_GB2312" w:cs="Times New Roman"/>
          <w:sz w:val="24"/>
          <w:szCs w:val="24"/>
          <w:lang w:bidi="ar"/>
        </w:rPr>
        <w:t>所和</w:t>
      </w:r>
      <w:r>
        <w:rPr>
          <w:rFonts w:hint="eastAsia" w:ascii="宋体" w:hAnsi="宋体" w:eastAsia="仿宋_GB2312" w:cs="Times New Roman"/>
          <w:sz w:val="24"/>
          <w:szCs w:val="24"/>
          <w:lang w:eastAsia="zh-CN" w:bidi="ar"/>
        </w:rPr>
        <w:t>签字</w:t>
      </w:r>
      <w:r>
        <w:rPr>
          <w:rFonts w:hint="eastAsia" w:ascii="宋体" w:hAnsi="宋体" w:eastAsia="仿宋_GB2312" w:cs="Times New Roman"/>
          <w:sz w:val="24"/>
          <w:szCs w:val="24"/>
          <w:lang w:bidi="ar"/>
        </w:rPr>
        <w:t>注册会计师无关。</w:t>
      </w:r>
    </w:p>
    <w:p>
      <w:pPr>
        <w:numPr>
          <w:ilvl w:val="-1"/>
          <w:numId w:val="0"/>
        </w:numPr>
        <w:snapToGrid w:val="0"/>
        <w:spacing w:line="348" w:lineRule="auto"/>
        <w:rPr>
          <w:rFonts w:hint="eastAsia" w:ascii="宋体" w:hAnsi="宋体" w:eastAsia="仿宋_GB2312" w:cs="Times New Roman"/>
          <w:sz w:val="24"/>
          <w:szCs w:val="24"/>
          <w:lang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0" w:firstLineChars="0"/>
        <w:jc w:val="both"/>
        <w:textAlignment w:val="auto"/>
        <w:rPr>
          <w:rFonts w:hint="eastAsia" w:ascii="宋体" w:hAnsi="宋体"/>
          <w:sz w:val="24"/>
          <w:szCs w:val="24"/>
          <w:lang w:val="en-US" w:eastAsia="zh-CN"/>
        </w:rPr>
      </w:pPr>
      <w:r>
        <w:rPr>
          <w:rFonts w:hint="eastAsia" w:ascii="宋体" w:hAnsi="宋体"/>
          <w:sz w:val="24"/>
          <w:szCs w:val="24"/>
          <w:lang w:val="en-US" w:eastAsia="zh-CN"/>
        </w:rPr>
        <w:t>附表一：</w:t>
      </w:r>
      <w:r>
        <w:rPr>
          <w:rFonts w:hint="eastAsia" w:ascii="宋体" w:hAnsi="宋体"/>
          <w:sz w:val="24"/>
          <w:szCs w:val="24"/>
        </w:rPr>
        <w:t>2018年阿坝州项目支出绩效评价指标体系</w:t>
      </w:r>
    </w:p>
    <w:p>
      <w:pPr>
        <w:numPr>
          <w:ilvl w:val="-1"/>
          <w:numId w:val="0"/>
        </w:numPr>
        <w:snapToGrid w:val="0"/>
        <w:spacing w:line="348" w:lineRule="auto"/>
        <w:rPr>
          <w:rFonts w:hint="eastAsia" w:ascii="宋体" w:hAnsi="宋体" w:eastAsia="仿宋_GB2312" w:cs="Times New Roman"/>
          <w:sz w:val="24"/>
          <w:szCs w:val="24"/>
          <w:lang w:bidi="ar"/>
        </w:rPr>
      </w:pPr>
    </w:p>
    <w:p>
      <w:pPr>
        <w:keepNext w:val="0"/>
        <w:keepLines w:val="0"/>
        <w:pageBreakBefore w:val="0"/>
        <w:widowControl w:val="0"/>
        <w:kinsoku/>
        <w:wordWrap/>
        <w:overflowPunct/>
        <w:topLinePunct w:val="0"/>
        <w:autoSpaceDE/>
        <w:autoSpaceDN/>
        <w:bidi w:val="0"/>
        <w:adjustRightInd/>
        <w:spacing w:line="348" w:lineRule="auto"/>
        <w:textAlignment w:val="auto"/>
        <w:rPr>
          <w:rFonts w:hint="eastAsia" w:ascii="仿宋" w:hAnsi="仿宋" w:eastAsia="仿宋" w:cs="仿宋"/>
          <w:sz w:val="24"/>
        </w:rPr>
      </w:pPr>
      <w:r>
        <w:rPr>
          <w:rFonts w:hint="eastAsia" w:ascii="仿宋" w:hAnsi="仿宋" w:eastAsia="仿宋" w:cs="仿宋"/>
          <w:b w:val="0"/>
          <w:bCs/>
          <w:color w:val="000000"/>
          <w:sz w:val="24"/>
        </w:rPr>
        <w:t>中兴华会计师事务所</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keepNext w:val="0"/>
        <w:keepLines w:val="0"/>
        <w:pageBreakBefore w:val="0"/>
        <w:widowControl w:val="0"/>
        <w:kinsoku/>
        <w:wordWrap/>
        <w:overflowPunct/>
        <w:topLinePunct w:val="0"/>
        <w:autoSpaceDE/>
        <w:autoSpaceDN/>
        <w:bidi w:val="0"/>
        <w:adjustRightInd/>
        <w:spacing w:line="348" w:lineRule="auto"/>
        <w:textAlignment w:val="auto"/>
        <w:rPr>
          <w:rFonts w:hint="eastAsia" w:ascii="仿宋" w:hAnsi="仿宋" w:eastAsia="仿宋" w:cs="仿宋"/>
          <w:sz w:val="24"/>
        </w:rPr>
      </w:pPr>
    </w:p>
    <w:p>
      <w:pPr>
        <w:keepNext w:val="0"/>
        <w:keepLines w:val="0"/>
        <w:pageBreakBefore w:val="0"/>
        <w:widowControl w:val="0"/>
        <w:kinsoku/>
        <w:wordWrap/>
        <w:overflowPunct/>
        <w:topLinePunct w:val="0"/>
        <w:autoSpaceDE/>
        <w:autoSpaceDN/>
        <w:bidi w:val="0"/>
        <w:adjustRightInd/>
        <w:spacing w:line="348" w:lineRule="auto"/>
        <w:textAlignment w:val="auto"/>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b w:val="0"/>
          <w:bCs/>
          <w:color w:val="000000"/>
          <w:sz w:val="24"/>
        </w:rPr>
        <w:t>（特殊普通合伙</w:t>
      </w:r>
      <w:r>
        <w:rPr>
          <w:rFonts w:hint="eastAsia" w:ascii="仿宋" w:hAnsi="仿宋" w:eastAsia="仿宋" w:cs="仿宋"/>
          <w:b w:val="0"/>
          <w:bCs/>
          <w:color w:val="000000"/>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中国注册会计师：</w:t>
      </w:r>
    </w:p>
    <w:p>
      <w:pPr>
        <w:keepNext w:val="0"/>
        <w:keepLines w:val="0"/>
        <w:pageBreakBefore w:val="0"/>
        <w:widowControl w:val="0"/>
        <w:kinsoku/>
        <w:wordWrap/>
        <w:overflowPunct/>
        <w:topLinePunct w:val="0"/>
        <w:autoSpaceDE/>
        <w:autoSpaceDN/>
        <w:bidi w:val="0"/>
        <w:adjustRightInd/>
        <w:snapToGrid/>
        <w:spacing w:line="348" w:lineRule="auto"/>
        <w:ind w:left="0" w:leftChars="0" w:right="0" w:rightChars="0" w:firstLine="480" w:firstLineChars="200"/>
        <w:jc w:val="both"/>
        <w:textAlignment w:val="auto"/>
        <w:outlineLvl w:val="9"/>
        <w:rPr>
          <w:rFonts w:hint="eastAsia" w:ascii="宋体" w:hAnsi="宋体" w:eastAsia="仿宋_GB2312"/>
          <w:sz w:val="24"/>
          <w:szCs w:val="24"/>
          <w:lang w:val="en-US" w:eastAsia="zh-CN" w:bidi="ar"/>
        </w:rPr>
      </w:pPr>
      <w:r>
        <w:rPr>
          <w:rFonts w:hint="eastAsia" w:ascii="仿宋" w:hAnsi="仿宋" w:eastAsia="仿宋" w:cs="仿宋"/>
          <w:sz w:val="24"/>
        </w:rPr>
        <w:t>中国·</w:t>
      </w:r>
      <w:r>
        <w:rPr>
          <w:rFonts w:hint="eastAsia" w:ascii="仿宋" w:hAnsi="仿宋" w:eastAsia="仿宋" w:cs="仿宋"/>
          <w:sz w:val="24"/>
          <w:lang w:eastAsia="zh-CN"/>
        </w:rPr>
        <w:t>北京</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 报告日期：</w:t>
      </w:r>
      <w:r>
        <w:rPr>
          <w:rFonts w:hint="eastAsia" w:ascii="仿宋" w:hAnsi="仿宋" w:eastAsia="仿宋" w:cs="仿宋"/>
          <w:color w:val="0000FF"/>
          <w:sz w:val="24"/>
        </w:rPr>
        <w:t>二0一</w:t>
      </w:r>
      <w:r>
        <w:rPr>
          <w:rFonts w:hint="eastAsia" w:ascii="仿宋" w:hAnsi="仿宋" w:eastAsia="仿宋" w:cs="仿宋"/>
          <w:color w:val="0000FF"/>
          <w:sz w:val="24"/>
          <w:lang w:eastAsia="zh-CN"/>
        </w:rPr>
        <w:t>八</w:t>
      </w:r>
      <w:r>
        <w:rPr>
          <w:rFonts w:hint="eastAsia" w:ascii="仿宋" w:hAnsi="仿宋" w:eastAsia="仿宋" w:cs="仿宋"/>
          <w:color w:val="0000FF"/>
          <w:sz w:val="24"/>
        </w:rPr>
        <w:t>年</w:t>
      </w:r>
      <w:r>
        <w:rPr>
          <w:rFonts w:hint="eastAsia" w:ascii="仿宋" w:hAnsi="仿宋" w:eastAsia="仿宋" w:cs="仿宋"/>
          <w:color w:val="0000FF"/>
          <w:sz w:val="24"/>
          <w:lang w:val="en-US" w:eastAsia="zh-CN"/>
        </w:rPr>
        <w:t>四</w:t>
      </w:r>
      <w:r>
        <w:rPr>
          <w:rFonts w:hint="eastAsia" w:ascii="仿宋" w:hAnsi="仿宋" w:eastAsia="仿宋" w:cs="仿宋"/>
          <w:color w:val="0000FF"/>
          <w:sz w:val="24"/>
        </w:rPr>
        <w:t>月</w:t>
      </w:r>
      <w:r>
        <w:rPr>
          <w:rFonts w:hint="eastAsia" w:ascii="仿宋" w:hAnsi="仿宋" w:eastAsia="仿宋" w:cs="仿宋"/>
          <w:color w:val="0000FF"/>
          <w:sz w:val="24"/>
          <w:lang w:val="en-US" w:eastAsia="zh-CN"/>
        </w:rPr>
        <w:t>二十七日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 xml:space="preserve"> 4页</w:t>
                          </w:r>
                        </w:p>
                        <w:p>
                          <w:pPr>
                            <w:pStyle w:val="2"/>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 xml:space="preserve"> 4页</w:t>
                    </w:r>
                  </w:p>
                  <w:p>
                    <w:pPr>
                      <w:pStyle w:val="2"/>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4115B164"/>
    <w:multiLevelType w:val="singleLevel"/>
    <w:tmpl w:val="4115B16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B1041"/>
    <w:rsid w:val="06D541EE"/>
    <w:rsid w:val="08317EC9"/>
    <w:rsid w:val="0D9A2FD3"/>
    <w:rsid w:val="0E0C585F"/>
    <w:rsid w:val="0E7F0E88"/>
    <w:rsid w:val="157115EE"/>
    <w:rsid w:val="19D8550B"/>
    <w:rsid w:val="1B1530D7"/>
    <w:rsid w:val="1B730B9F"/>
    <w:rsid w:val="1E4158F1"/>
    <w:rsid w:val="22810382"/>
    <w:rsid w:val="2BA82907"/>
    <w:rsid w:val="416A4D3E"/>
    <w:rsid w:val="42B57EB9"/>
    <w:rsid w:val="463B7B4C"/>
    <w:rsid w:val="49D2021D"/>
    <w:rsid w:val="541E10A3"/>
    <w:rsid w:val="559224EE"/>
    <w:rsid w:val="5CD50B14"/>
    <w:rsid w:val="5D7D6A2F"/>
    <w:rsid w:val="61104ABF"/>
    <w:rsid w:val="626C11A0"/>
    <w:rsid w:val="627F6199"/>
    <w:rsid w:val="68D21444"/>
    <w:rsid w:val="716023F6"/>
    <w:rsid w:val="72CD5043"/>
    <w:rsid w:val="76AC48AC"/>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Administrator</cp:lastModifiedBy>
  <dcterms:modified xsi:type="dcterms:W3CDTF">2018-10-29T06:55:51Z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