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40" w:lineRule="atLeast"/>
        <w:jc w:val="center"/>
        <w:rPr>
          <w:rFonts w:hint="eastAsia" w:ascii="华文行楷" w:hAnsi="华文行楷" w:eastAsia="华文行楷" w:cs="华文行楷"/>
          <w:b/>
          <w:color w:val="auto"/>
          <w:sz w:val="52"/>
          <w:szCs w:val="52"/>
          <w:lang w:val="en-US" w:eastAsia="zh-CN"/>
        </w:rPr>
      </w:pPr>
      <w:r>
        <w:rPr>
          <w:rFonts w:hint="eastAsia" w:ascii="华文行楷" w:hAnsi="华文行楷" w:eastAsia="华文行楷" w:cs="华文行楷"/>
          <w:b/>
          <w:color w:val="auto"/>
          <w:sz w:val="52"/>
          <w:szCs w:val="52"/>
          <w:lang w:val="en-US" w:eastAsia="zh-CN"/>
        </w:rPr>
        <w:t>四川省阿坝州金川县曾达乡人民政府2017年藏区基层组织活动和公共服务运行资金绩效评价报告书</w:t>
      </w: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  <w:r>
        <w:rPr>
          <w:rFonts w:ascii="隶书" w:hAnsi="Courier New" w:eastAsia="隶书"/>
          <w:color w:val="auto"/>
          <w:spacing w:val="20"/>
          <w:sz w:val="36"/>
          <w:szCs w:val="36"/>
        </w:rPr>
        <w:drawing>
          <wp:inline distT="0" distB="0" distL="114300" distR="114300">
            <wp:extent cx="3466465" cy="1506220"/>
            <wp:effectExtent l="0" t="0" r="635" b="17780"/>
            <wp:docPr id="1" name="图片 1" descr="中兴华会计师事务所所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兴华会计师事务所所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800" w:lineRule="atLeast"/>
        <w:jc w:val="center"/>
        <w:rPr>
          <w:rFonts w:hint="eastAsia" w:ascii="Arial" w:hAnsi="Arial" w:eastAsia="华文新魏" w:cs="Arial"/>
          <w:color w:val="auto"/>
          <w:sz w:val="48"/>
        </w:rPr>
      </w:pPr>
    </w:p>
    <w:p>
      <w:pPr>
        <w:spacing w:line="800" w:lineRule="atLeast"/>
        <w:jc w:val="both"/>
        <w:rPr>
          <w:rFonts w:hint="eastAsia" w:ascii="Arial" w:hAnsi="Arial" w:eastAsia="华文新魏" w:cs="Arial"/>
          <w:color w:val="auto"/>
          <w:sz w:val="48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 w:eastAsia="华文行楷"/>
          <w:b/>
          <w:bCs/>
          <w:color w:val="auto"/>
          <w:sz w:val="44"/>
        </w:rPr>
      </w:pPr>
      <w:r>
        <w:rPr>
          <w:rFonts w:hint="eastAsia" w:eastAsia="华文行楷"/>
          <w:b/>
          <w:bCs/>
          <w:color w:val="auto"/>
          <w:sz w:val="44"/>
        </w:rPr>
        <w:t>中兴华会计师事务所(特殊普通合伙)</w:t>
      </w:r>
    </w:p>
    <w:p>
      <w:pPr>
        <w:jc w:val="center"/>
        <w:rPr>
          <w:rFonts w:hint="eastAsia"/>
          <w:color w:val="auto"/>
          <w:sz w:val="28"/>
        </w:rPr>
      </w:pPr>
      <w:r>
        <w:rPr>
          <w:rFonts w:hint="eastAsia"/>
          <w:color w:val="auto"/>
          <w:sz w:val="28"/>
        </w:rPr>
        <w:t>ZHONGXINGHAU CERTIFIED PUBLIC ACCOUNTANTS LLP</w:t>
      </w:r>
    </w:p>
    <w:p>
      <w:pPr>
        <w:spacing w:line="160" w:lineRule="exact"/>
        <w:rPr>
          <w:rFonts w:ascii="黑体" w:eastAsia="黑体"/>
          <w:color w:val="auto"/>
          <w:w w:val="90"/>
          <w:sz w:val="28"/>
        </w:rPr>
      </w:pPr>
    </w:p>
    <w:p>
      <w:pPr>
        <w:spacing w:line="600" w:lineRule="atLeast"/>
        <w:rPr>
          <w:rFonts w:hint="eastAsia" w:ascii="黑体" w:eastAsia="黑体"/>
          <w:color w:val="auto"/>
          <w:w w:val="90"/>
          <w:sz w:val="28"/>
        </w:rPr>
      </w:pPr>
      <w:r>
        <w:rPr>
          <w:rFonts w:hint="eastAsia" w:ascii="黑体" w:eastAsia="黑体"/>
          <w:color w:val="auto"/>
          <w:w w:val="90"/>
          <w:sz w:val="28"/>
        </w:rPr>
        <w:t>地址：</w:t>
      </w:r>
      <w:r>
        <w:rPr>
          <w:rFonts w:hint="eastAsia" w:ascii="黑体" w:eastAsia="黑体"/>
          <w:color w:val="auto"/>
          <w:w w:val="90"/>
          <w:sz w:val="28"/>
          <w:lang w:eastAsia="zh-CN"/>
        </w:rPr>
        <w:t>成都市金牛区蜀西路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49号盛大国际3幢4楼401</w:t>
      </w:r>
      <w:r>
        <w:rPr>
          <w:rFonts w:hint="eastAsia" w:ascii="黑体" w:eastAsia="黑体"/>
          <w:color w:val="auto"/>
          <w:w w:val="90"/>
          <w:sz w:val="28"/>
        </w:rPr>
        <w:t xml:space="preserve"> </w:t>
      </w:r>
      <w:r>
        <w:rPr>
          <w:rFonts w:ascii="黑体" w:eastAsia="黑体"/>
          <w:color w:val="auto"/>
          <w:w w:val="90"/>
          <w:sz w:val="24"/>
        </w:rPr>
        <w:t xml:space="preserve"> </w:t>
      </w:r>
      <w:r>
        <w:rPr>
          <w:rFonts w:hint="eastAsia" w:ascii="黑体" w:eastAsia="黑体"/>
          <w:color w:val="auto"/>
          <w:w w:val="90"/>
          <w:sz w:val="24"/>
        </w:rPr>
        <w:t xml:space="preserve">    </w:t>
      </w:r>
      <w:r>
        <w:rPr>
          <w:rFonts w:ascii="黑体" w:eastAsia="黑体"/>
          <w:color w:val="auto"/>
          <w:w w:val="90"/>
          <w:sz w:val="24"/>
        </w:rPr>
        <w:t xml:space="preserve"> </w:t>
      </w:r>
      <w:r>
        <w:rPr>
          <w:rFonts w:ascii="黑体" w:eastAsia="黑体"/>
          <w:color w:val="auto"/>
          <w:w w:val="90"/>
          <w:sz w:val="28"/>
        </w:rPr>
        <w:t xml:space="preserve"> </w:t>
      </w:r>
      <w:r>
        <w:rPr>
          <w:rFonts w:hint="eastAsia" w:ascii="黑体" w:eastAsia="黑体"/>
          <w:color w:val="auto"/>
          <w:w w:val="90"/>
          <w:sz w:val="28"/>
        </w:rPr>
        <w:t>邮编：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610037</w:t>
      </w:r>
    </w:p>
    <w:p>
      <w:pPr>
        <w:snapToGrid/>
        <w:spacing w:line="600" w:lineRule="atLeast"/>
        <w:jc w:val="both"/>
        <w:rPr>
          <w:rFonts w:hint="eastAsia" w:ascii="宋体" w:hAnsi="宋体" w:eastAsia="宋体"/>
          <w:b/>
          <w:color w:val="auto"/>
          <w:sz w:val="28"/>
          <w:szCs w:val="30"/>
        </w:rPr>
      </w:pPr>
      <w:r>
        <w:rPr>
          <w:rFonts w:hint="eastAsia" w:ascii="黑体" w:eastAsia="黑体"/>
          <w:color w:val="auto"/>
          <w:w w:val="90"/>
          <w:sz w:val="28"/>
        </w:rPr>
        <w:t>电话：</w:t>
      </w:r>
      <w:r>
        <w:rPr>
          <w:rFonts w:ascii="黑体" w:eastAsia="黑体"/>
          <w:color w:val="auto"/>
          <w:w w:val="90"/>
          <w:sz w:val="28"/>
        </w:rPr>
        <w:t>(</w:t>
      </w:r>
      <w:r>
        <w:rPr>
          <w:rFonts w:hint="eastAsia" w:ascii="黑体" w:eastAsia="黑体"/>
          <w:color w:val="auto"/>
          <w:w w:val="90"/>
          <w:sz w:val="28"/>
        </w:rPr>
        <w:t>0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28</w:t>
      </w:r>
      <w:r>
        <w:rPr>
          <w:rFonts w:ascii="黑体" w:eastAsia="黑体"/>
          <w:color w:val="auto"/>
          <w:w w:val="90"/>
          <w:sz w:val="28"/>
        </w:rPr>
        <w:t>)</w:t>
      </w:r>
      <w:r>
        <w:rPr>
          <w:rFonts w:hint="eastAsia" w:ascii="黑体" w:eastAsia="黑体"/>
          <w:color w:val="auto"/>
          <w:w w:val="90"/>
          <w:sz w:val="28"/>
        </w:rPr>
        <w:t>87779320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\18190919202</w:t>
      </w:r>
      <w:r>
        <w:rPr>
          <w:rFonts w:ascii="黑体" w:eastAsia="黑体"/>
          <w:color w:val="auto"/>
          <w:w w:val="90"/>
          <w:sz w:val="28"/>
        </w:rPr>
        <w:t xml:space="preserve">         </w:t>
      </w:r>
      <w:r>
        <w:rPr>
          <w:rFonts w:hint="eastAsia" w:ascii="黑体" w:eastAsia="黑体"/>
          <w:color w:val="auto"/>
          <w:w w:val="90"/>
          <w:sz w:val="28"/>
        </w:rPr>
        <w:t xml:space="preserve"> </w:t>
      </w:r>
      <w:r>
        <w:rPr>
          <w:rFonts w:ascii="黑体" w:eastAsia="黑体"/>
          <w:color w:val="auto"/>
          <w:w w:val="90"/>
          <w:sz w:val="28"/>
        </w:rPr>
        <w:t xml:space="preserve">   </w:t>
      </w:r>
      <w:r>
        <w:rPr>
          <w:rFonts w:hint="eastAsia" w:ascii="黑体" w:eastAsia="黑体"/>
          <w:color w:val="auto"/>
          <w:w w:val="90"/>
          <w:sz w:val="28"/>
        </w:rPr>
        <w:t xml:space="preserve">   传真：</w:t>
      </w:r>
      <w:r>
        <w:rPr>
          <w:rFonts w:ascii="黑体" w:eastAsia="黑体"/>
          <w:color w:val="auto"/>
          <w:w w:val="90"/>
          <w:sz w:val="28"/>
        </w:rPr>
        <w:t>(</w:t>
      </w:r>
      <w:r>
        <w:rPr>
          <w:rFonts w:hint="eastAsia" w:ascii="黑体" w:eastAsia="黑体"/>
          <w:color w:val="auto"/>
          <w:w w:val="90"/>
          <w:sz w:val="28"/>
        </w:rPr>
        <w:t>0</w:t>
      </w:r>
      <w:r>
        <w:rPr>
          <w:rFonts w:hint="eastAsia" w:ascii="黑体" w:eastAsia="黑体"/>
          <w:color w:val="auto"/>
          <w:w w:val="90"/>
          <w:sz w:val="28"/>
          <w:lang w:val="en-US" w:eastAsia="zh-CN"/>
        </w:rPr>
        <w:t>28</w:t>
      </w:r>
      <w:r>
        <w:rPr>
          <w:rFonts w:ascii="黑体" w:eastAsia="黑体"/>
          <w:color w:val="auto"/>
          <w:w w:val="90"/>
          <w:sz w:val="28"/>
        </w:rPr>
        <w:t>)</w:t>
      </w:r>
      <w:r>
        <w:rPr>
          <w:rFonts w:hint="eastAsia" w:ascii="黑体" w:eastAsia="黑体"/>
          <w:color w:val="auto"/>
          <w:w w:val="90"/>
          <w:sz w:val="28"/>
        </w:rPr>
        <w:t>87776280</w:t>
      </w:r>
    </w:p>
    <w:p>
      <w:pPr>
        <w:snapToGrid w:val="0"/>
        <w:spacing w:line="400" w:lineRule="exact"/>
        <w:jc w:val="both"/>
        <w:rPr>
          <w:rFonts w:hint="eastAsia" w:ascii="宋体" w:hAnsi="宋体" w:eastAsia="宋体"/>
          <w:b/>
          <w:color w:val="auto"/>
          <w:sz w:val="36"/>
          <w:szCs w:val="36"/>
          <w:lang w:val="en-US" w:eastAsia="zh-CN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color w:val="auto"/>
          <w:sz w:val="36"/>
          <w:szCs w:val="36"/>
          <w:lang w:val="en-US" w:eastAsia="zh-CN"/>
        </w:rPr>
      </w:pP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金川县曾达乡人民政府</w:t>
      </w: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2017年藏区基层组织活动和公共服务运行资金</w:t>
      </w:r>
    </w:p>
    <w:p>
      <w:pPr>
        <w:snapToGrid w:val="0"/>
        <w:spacing w:line="40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绩效评价报告</w:t>
      </w:r>
    </w:p>
    <w:p>
      <w:pPr>
        <w:spacing w:line="578" w:lineRule="exact"/>
        <w:jc w:val="both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金川县财政局：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我们接受委托，对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金川县曾达乡人民政府“</w:t>
      </w:r>
      <w:r>
        <w:rPr>
          <w:rFonts w:hint="eastAsia" w:ascii="宋体" w:hAnsi="宋体"/>
          <w:color w:val="auto"/>
          <w:sz w:val="24"/>
          <w:szCs w:val="24"/>
        </w:rPr>
        <w:t>关于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2017年藏区基层组织活动和公共服务运行资金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”</w:t>
      </w:r>
      <w:r>
        <w:rPr>
          <w:rFonts w:hint="eastAsia" w:ascii="宋体" w:hAnsi="宋体"/>
          <w:color w:val="auto"/>
          <w:sz w:val="24"/>
          <w:szCs w:val="24"/>
        </w:rPr>
        <w:t>(以下简称“该项目或项目”)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进行了绩效评价。</w:t>
      </w:r>
      <w:r>
        <w:rPr>
          <w:rFonts w:hint="eastAsia" w:ascii="宋体" w:hAnsi="宋体"/>
          <w:color w:val="auto"/>
          <w:sz w:val="24"/>
          <w:szCs w:val="24"/>
        </w:rPr>
        <w:t>提供该项目有关的真实、合法、完整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的专项</w:t>
      </w:r>
      <w:r>
        <w:rPr>
          <w:rFonts w:hint="eastAsia" w:ascii="宋体" w:hAnsi="宋体"/>
          <w:color w:val="auto"/>
          <w:sz w:val="24"/>
          <w:szCs w:val="24"/>
        </w:rPr>
        <w:t>资金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收支的财务资料以及相关的文件</w:t>
      </w:r>
      <w:r>
        <w:rPr>
          <w:rFonts w:hint="eastAsia" w:ascii="宋体" w:hAnsi="宋体"/>
          <w:color w:val="auto"/>
          <w:sz w:val="24"/>
          <w:szCs w:val="24"/>
        </w:rPr>
        <w:t>是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金川县曾达乡人民政府的</w:t>
      </w:r>
      <w:r>
        <w:rPr>
          <w:rFonts w:hint="eastAsia" w:ascii="宋体" w:hAnsi="宋体"/>
          <w:color w:val="auto"/>
          <w:sz w:val="24"/>
          <w:szCs w:val="24"/>
        </w:rPr>
        <w:t>的责任，我们的责任是本着独立、客观、公正的原则，在实施必要评价程序的基础上发表评价意见。我们的评价是依据财政部《财政支出绩效评价管理暂行办法》(财预〔2011〕285号）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、四川省财政厅《关于四川省财政支出绩效评价操作规程（试行）》（川财绩</w:t>
      </w:r>
      <w:r>
        <w:rPr>
          <w:rFonts w:hint="eastAsia" w:ascii="宋体" w:hAnsi="宋体"/>
          <w:color w:val="auto"/>
          <w:sz w:val="24"/>
          <w:szCs w:val="24"/>
        </w:rPr>
        <w:t>〔201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auto"/>
          <w:sz w:val="24"/>
          <w:szCs w:val="24"/>
        </w:rPr>
        <w:t>〕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2号）和《四川省基层组织活动和公共服务运行经费使用管理办法》</w:t>
      </w:r>
      <w:r>
        <w:rPr>
          <w:rFonts w:hint="eastAsia" w:ascii="宋体" w:hAnsi="宋体"/>
          <w:color w:val="auto"/>
          <w:sz w:val="24"/>
          <w:szCs w:val="24"/>
        </w:rPr>
        <w:t>进行的。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在评价过程中，我们结合该项目的实际情况，实施了包括检查会计记录、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实地查看、</w:t>
      </w:r>
      <w:r>
        <w:rPr>
          <w:rFonts w:hint="eastAsia" w:ascii="宋体" w:hAnsi="宋体"/>
          <w:color w:val="auto"/>
          <w:sz w:val="24"/>
          <w:szCs w:val="24"/>
        </w:rPr>
        <w:t>核实和调阅上级文件等我们认为必要的评价程序。我们相信，我们的工作为发表评价意见提供了合理的基础。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szCs w:val="24"/>
        </w:rPr>
        <w:t>我们的现场评价工作已于201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auto"/>
          <w:sz w:val="24"/>
          <w:szCs w:val="24"/>
        </w:rPr>
        <w:t>年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color w:val="auto"/>
          <w:sz w:val="24"/>
          <w:szCs w:val="24"/>
        </w:rPr>
        <w:t>月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15</w:t>
      </w:r>
      <w:r>
        <w:rPr>
          <w:rFonts w:hint="eastAsia" w:ascii="宋体" w:hAnsi="宋体"/>
          <w:color w:val="auto"/>
          <w:sz w:val="24"/>
          <w:szCs w:val="24"/>
        </w:rPr>
        <w:t>日结束，现将评价情况报告如下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>项目实施单位基本情况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lang w:eastAsia="zh-CN"/>
        </w:rPr>
        <w:t>金川县曾达乡人民政府机关职工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23人，其中：行政人员17人，行政工勤1人，事业管理1人，专业技术人员3人，事业工勤1。</w:t>
      </w:r>
      <w:r>
        <w:rPr>
          <w:rFonts w:hint="eastAsia" w:ascii="宋体" w:hAnsi="宋体"/>
          <w:color w:val="auto"/>
          <w:sz w:val="24"/>
          <w:szCs w:val="24"/>
        </w:rPr>
        <w:t>主要职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责</w:t>
      </w:r>
      <w:r>
        <w:rPr>
          <w:rFonts w:hint="eastAsia" w:ascii="宋体" w:hAnsi="宋体"/>
          <w:color w:val="auto"/>
          <w:sz w:val="24"/>
          <w:szCs w:val="24"/>
        </w:rPr>
        <w:t>:</w:t>
      </w:r>
      <w:bookmarkStart w:id="0" w:name="OLE_LINK6"/>
      <w:r>
        <w:rPr>
          <w:rFonts w:hint="eastAsia" w:ascii="宋体" w:hAnsi="宋体"/>
          <w:color w:val="auto"/>
          <w:sz w:val="24"/>
          <w:szCs w:val="24"/>
        </w:rPr>
        <w:t>制定和组织实施经济、科技和社会发展计划，制定资源开发技术改造和产业结构调整方案，组织指导好各业生产，搞好商品流通，协调好本乡与外地区的经济交流与合作，抓好招商引资，人才引进项目开发，不断培育市场体系，保护各种经济组织的合法权益，组织经济运行，促进经济发展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.....</w:t>
      </w:r>
      <w:r>
        <w:rPr>
          <w:rFonts w:hint="eastAsia" w:ascii="宋体" w:hAnsi="宋体"/>
          <w:color w:val="auto"/>
          <w:sz w:val="24"/>
          <w:szCs w:val="24"/>
        </w:rPr>
        <w:t xml:space="preserve"> 按计划组织本级财政收入和地方税的征收，完成国家财政计划，不断培植税源，管好财政资金，增强财政实力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......</w:t>
      </w:r>
      <w:r>
        <w:rPr>
          <w:rFonts w:hint="eastAsia" w:ascii="宋体" w:hAnsi="宋体"/>
          <w:color w:val="auto"/>
          <w:sz w:val="24"/>
          <w:szCs w:val="24"/>
        </w:rPr>
        <w:t xml:space="preserve"> 抓好精神文明建设，丰富群众文化生活，提倡移风易俗，反对封建迷信，破除陈规陋习，树立社会主义新风尚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......</w:t>
      </w:r>
      <w:r>
        <w:rPr>
          <w:rFonts w:hint="eastAsia" w:ascii="宋体" w:hAnsi="宋体"/>
          <w:color w:val="auto"/>
          <w:sz w:val="24"/>
          <w:szCs w:val="24"/>
        </w:rPr>
        <w:t>维护社会秩序，保障公民的人身权利、民主权利和其他权利。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根据金川县财政局《关于下达2017年部门预算的的通知》（金财预[2017]1号），下达资金77.00万元，其中维修（护）费49.00万元，办公费28.00万元。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项目资金主要用于：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曾达村、野足沟村、木尔都村、坛罐窑村、倪家坪村、海子坪村、大沟村各11.00万元，其中每个村办公费4.00万元，维护费7.00万元。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评价结论及绩效分析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（一）评价结论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项目的实施，充分发挥了农村公共服务机能，改善了全乡7个村村民的生产生活环境，推进了农村社会管理创新，丰富了村民精神文化生活。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根据</w:t>
      </w:r>
      <w:r>
        <w:rPr>
          <w:rFonts w:hint="eastAsia" w:ascii="宋体" w:hAnsi="宋体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sz w:val="24"/>
          <w:szCs w:val="24"/>
          <w:lang w:val="en-US" w:eastAsia="zh-CN"/>
        </w:rPr>
        <w:t>评分，该项目综合得分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98</w:t>
      </w:r>
      <w:r>
        <w:rPr>
          <w:rFonts w:hint="eastAsia" w:ascii="宋体" w:hAnsi="宋体"/>
          <w:sz w:val="24"/>
          <w:szCs w:val="24"/>
          <w:lang w:val="en-US" w:eastAsia="zh-CN"/>
        </w:rPr>
        <w:t>分。具体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评分情况详见附表一：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（二）绩效分析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1、项目决策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项目的必要性：农村公共服务运行维护，是指对目前已建成或已运行，但尚未安排后续管护资金的村级公共服务项目进行维护。开展农村公共服务运行维护机制建设试点，是以健全村级公共服务、推进城乡基本公共服务均等化为目标，以改善农村生产生活条件为目的、以农村居民为主要服务对象，综合考虑农村公共服务需求，积极探索建立农村公共服务运行维护的支撑平台，以管促建，管建结合，为逐步建成功能完善、管理规范、运行高效的农村公共服务体系，积累经验，完善政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项目的可行性:为深化农村综合改革，促进公共服务进一步向经济薄弱村居延申，使各村建立净利薄弱村居公共运行维护机制，充分发挥农村公共服务机能，改善薄弱村居农民生产生活条件。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绩效目标设置情况：改善薄弱村居农民生产生活条件。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 xml:space="preserve"> 2、项目管理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项目资金到位情况：根据年初预算下达资金77.00万元，资金到位率100%。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项目资金使用情况：支付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石达安村雪梨群防群治、村活动室维护费等7.00万元，办公费4.00万元；支付野足沟村通村通组路废方清理、变压器及高压线维护、环境卫生整治、通村通组路堡坎恢复、石门子至日格闹便道清理等7.00万元，办公费4.00万元；支付木尔都村通村通组通达路维护、环境整治7.00万元；支付坛罐窑村通村通组通达路维护、环境整治、电力维修、养殖小区维护等7.00万元，办公费4.00万元；支付倪家坪村用于通村通组通达路维护、环境整治等7.00万元；支付海子坪村通村通组通达路维护、“三微三态”环境整治、应急物资采购、灌溉水渠维修7.00万元，办公费4.00万元；支付大沟村通组路维护、高压线维护、垃圾池集中处理、环境卫生整治等7.00万元，办公费4.00万元，合计支出69.00万元。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支付率89.61%。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项目资金管理情况：项目资金严格按照《四川省基层组织活动和公共服务运行经费使用管理办法》进行管理和使用，全部用于基层组织活动、公共服务运行、日常办公运转等村务机构开展工作所必要的支出。项目资金基本上做到了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3、项目绩效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按照预定进度计划已基本完成目标任务。完成目标任务率为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89.61%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该项目取得效益：该项目的实施，改善了全乡7个村基础设施条件，使老百姓生存状况明显改善，精神面貌焕然一新。推进农村社会管理创新，丰富村民精神文化生活、美化整治村内环境等方面有着深远的现实意义，创建民族团结示范村，推动各民族交往交流，促进各民族和谐共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我们选择抽取了大沟村和倪家坪村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进行实地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调查；调查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表明，该项目均已按规定实施。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存在主要问题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坛罐窑村购买防汛物资1.00万元未计入存货，海子坪村购买防汛物资1.142万元未计入存货。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资金使用不及时，截止2018年9月15日，办公费剩余8.00万元尚未使用。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相关措施建议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  <w:t xml:space="preserve"> 加强对原始单据审核，严格按照资金用途使用，早日实现社会效益。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本报告使用范围</w:t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本报告是在贵局所提供的现有资料基础上检查做出的结论，仅供金川县财政局区了解金川县曾达乡人民政府2017年社会养老服务体系资金绩效评价情况使用，不作为其他用途，如因使用不当所造成的后果，与本所和签字注册会计师无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附件一：</w:t>
      </w:r>
      <w:r>
        <w:rPr>
          <w:rFonts w:hint="eastAsia" w:ascii="宋体" w:hAnsi="宋体"/>
          <w:color w:val="auto"/>
          <w:sz w:val="24"/>
          <w:szCs w:val="24"/>
        </w:rPr>
        <w:t>2018年阿坝州项目支出绩效评价指标体系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中兴华会计师事务所</w:t>
      </w:r>
      <w:r>
        <w:rPr>
          <w:rFonts w:hint="eastAsia" w:ascii="仿宋" w:hAnsi="仿宋" w:eastAsia="仿宋" w:cs="仿宋"/>
          <w:color w:val="auto"/>
          <w:sz w:val="24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（特殊普通合伙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</w:rPr>
        <w:t>中国注册会计师：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中国·四川·成都  　　 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</w:rPr>
        <w:t xml:space="preserve"> 报告日期：二0一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 w:val="24"/>
        </w:rPr>
        <w:t>年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九</w:t>
      </w:r>
      <w:r>
        <w:rPr>
          <w:rFonts w:hint="eastAsia" w:ascii="仿宋" w:hAnsi="仿宋" w:eastAsia="仿宋" w:cs="仿宋"/>
          <w:color w:val="auto"/>
          <w:sz w:val="24"/>
        </w:rPr>
        <w:t>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十五日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>4 页</w:t>
                          </w:r>
                        </w:p>
                        <w:p>
                          <w:pPr>
                            <w:pStyle w:val="3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>4 页</w:t>
                    </w:r>
                  </w:p>
                  <w:p>
                    <w:pPr>
                      <w:pStyle w:val="3"/>
                      <w:rPr>
                        <w:rFonts w:hint="eastAsia" w:eastAsia="仿宋_GB2312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1FB74"/>
    <w:multiLevelType w:val="singleLevel"/>
    <w:tmpl w:val="1F11FB7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FEEA0F"/>
    <w:multiLevelType w:val="singleLevel"/>
    <w:tmpl w:val="37FEEA0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115B164"/>
    <w:multiLevelType w:val="singleLevel"/>
    <w:tmpl w:val="4115B1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2AB7"/>
    <w:rsid w:val="01E37A7D"/>
    <w:rsid w:val="031A3999"/>
    <w:rsid w:val="03B962DE"/>
    <w:rsid w:val="04487858"/>
    <w:rsid w:val="052B36C2"/>
    <w:rsid w:val="06D10598"/>
    <w:rsid w:val="07877CCC"/>
    <w:rsid w:val="078868E1"/>
    <w:rsid w:val="082F7549"/>
    <w:rsid w:val="094272B4"/>
    <w:rsid w:val="09633B32"/>
    <w:rsid w:val="0AB50483"/>
    <w:rsid w:val="0B5F77F5"/>
    <w:rsid w:val="0BEA2B92"/>
    <w:rsid w:val="0C873B42"/>
    <w:rsid w:val="0CB253DE"/>
    <w:rsid w:val="0CC56D5E"/>
    <w:rsid w:val="0D0628B6"/>
    <w:rsid w:val="0D336BC2"/>
    <w:rsid w:val="0D58510D"/>
    <w:rsid w:val="0D9A2FD3"/>
    <w:rsid w:val="0EB56BD9"/>
    <w:rsid w:val="0FBC4412"/>
    <w:rsid w:val="10F710BF"/>
    <w:rsid w:val="11944CAD"/>
    <w:rsid w:val="127F0594"/>
    <w:rsid w:val="128A0EBC"/>
    <w:rsid w:val="12F73558"/>
    <w:rsid w:val="159D1AF1"/>
    <w:rsid w:val="18D325DB"/>
    <w:rsid w:val="18F97776"/>
    <w:rsid w:val="1A030A4E"/>
    <w:rsid w:val="1A82591E"/>
    <w:rsid w:val="1C2E58C4"/>
    <w:rsid w:val="1C6322F0"/>
    <w:rsid w:val="1E074D0D"/>
    <w:rsid w:val="1F0A50CB"/>
    <w:rsid w:val="20B72A2D"/>
    <w:rsid w:val="231F61E2"/>
    <w:rsid w:val="23E942AD"/>
    <w:rsid w:val="263D173A"/>
    <w:rsid w:val="283A4A5F"/>
    <w:rsid w:val="288708B1"/>
    <w:rsid w:val="2898521B"/>
    <w:rsid w:val="28EC77C6"/>
    <w:rsid w:val="2A2C6006"/>
    <w:rsid w:val="2A8D509E"/>
    <w:rsid w:val="2ACA7BCD"/>
    <w:rsid w:val="2BA82907"/>
    <w:rsid w:val="2BFB1D8F"/>
    <w:rsid w:val="2C6C550B"/>
    <w:rsid w:val="2DFD45FE"/>
    <w:rsid w:val="2F8809D3"/>
    <w:rsid w:val="2FB150FE"/>
    <w:rsid w:val="33F969DA"/>
    <w:rsid w:val="34EA4C26"/>
    <w:rsid w:val="36293B42"/>
    <w:rsid w:val="366426A0"/>
    <w:rsid w:val="36F81653"/>
    <w:rsid w:val="38360154"/>
    <w:rsid w:val="38C448D2"/>
    <w:rsid w:val="39E93C9F"/>
    <w:rsid w:val="3AEA2EEF"/>
    <w:rsid w:val="3B7F4CBC"/>
    <w:rsid w:val="3C2A22D4"/>
    <w:rsid w:val="3DB108B6"/>
    <w:rsid w:val="3F6939C3"/>
    <w:rsid w:val="410601B3"/>
    <w:rsid w:val="41E12E92"/>
    <w:rsid w:val="42D577B0"/>
    <w:rsid w:val="47890E25"/>
    <w:rsid w:val="4A105772"/>
    <w:rsid w:val="4C523BC0"/>
    <w:rsid w:val="4CCB307D"/>
    <w:rsid w:val="4DB95AF1"/>
    <w:rsid w:val="51D072D7"/>
    <w:rsid w:val="52B913AA"/>
    <w:rsid w:val="532323C6"/>
    <w:rsid w:val="540B3EAB"/>
    <w:rsid w:val="550F545D"/>
    <w:rsid w:val="56FE3473"/>
    <w:rsid w:val="58997233"/>
    <w:rsid w:val="58CA2B2F"/>
    <w:rsid w:val="59495D47"/>
    <w:rsid w:val="5AF1254F"/>
    <w:rsid w:val="5B8469F6"/>
    <w:rsid w:val="5D063025"/>
    <w:rsid w:val="5D7D6A2F"/>
    <w:rsid w:val="5D9E2371"/>
    <w:rsid w:val="5E9B1791"/>
    <w:rsid w:val="5EE026F7"/>
    <w:rsid w:val="606B736F"/>
    <w:rsid w:val="6150132B"/>
    <w:rsid w:val="61BB794B"/>
    <w:rsid w:val="6220518E"/>
    <w:rsid w:val="62C56CE3"/>
    <w:rsid w:val="65341C7A"/>
    <w:rsid w:val="68DD3313"/>
    <w:rsid w:val="694E0062"/>
    <w:rsid w:val="69971BFE"/>
    <w:rsid w:val="6AB26AF5"/>
    <w:rsid w:val="6BC363D3"/>
    <w:rsid w:val="6C12360D"/>
    <w:rsid w:val="6C6810CE"/>
    <w:rsid w:val="6DF75DF9"/>
    <w:rsid w:val="6E1225B9"/>
    <w:rsid w:val="6E621AAC"/>
    <w:rsid w:val="6FAF2D2E"/>
    <w:rsid w:val="6FC12491"/>
    <w:rsid w:val="70CD3BA7"/>
    <w:rsid w:val="71A54E2E"/>
    <w:rsid w:val="72CD5043"/>
    <w:rsid w:val="738F4450"/>
    <w:rsid w:val="74031A23"/>
    <w:rsid w:val="74CF000B"/>
    <w:rsid w:val="775326D0"/>
    <w:rsid w:val="790528BB"/>
    <w:rsid w:val="79C4282A"/>
    <w:rsid w:val="7B1677D9"/>
    <w:rsid w:val="7B5452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23232"/>
      <w:u w:val="none"/>
    </w:rPr>
  </w:style>
  <w:style w:type="character" w:styleId="8">
    <w:name w:val="Hyperlink"/>
    <w:basedOn w:val="6"/>
    <w:qFormat/>
    <w:uiPriority w:val="0"/>
    <w:rPr>
      <w:color w:val="323232"/>
      <w:u w:val="none"/>
    </w:rPr>
  </w:style>
  <w:style w:type="character" w:customStyle="1" w:styleId="10">
    <w:name w:val="bsharetex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孙东华</dc:creator>
  <cp:lastModifiedBy>po</cp:lastModifiedBy>
  <dcterms:modified xsi:type="dcterms:W3CDTF">2018-10-23T03:11:47Z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