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40" w:lineRule="atLeast"/>
        <w:jc w:val="center"/>
        <w:rPr>
          <w:rFonts w:hint="eastAsia" w:ascii="华文行楷" w:hAnsi="华文行楷" w:eastAsia="华文行楷" w:cs="华文行楷"/>
          <w:b/>
          <w:color w:val="auto"/>
          <w:sz w:val="52"/>
          <w:szCs w:val="52"/>
        </w:rPr>
      </w:pPr>
      <w:r>
        <w:rPr>
          <w:rFonts w:hint="eastAsia" w:ascii="华文行楷" w:hAnsi="华文行楷" w:eastAsia="华文行楷" w:cs="华文行楷"/>
          <w:b/>
          <w:color w:val="auto"/>
          <w:sz w:val="52"/>
          <w:szCs w:val="52"/>
          <w:lang w:val="en-US" w:eastAsia="zh-CN"/>
        </w:rPr>
        <w:t>四川省阿坝州金川县观音桥镇人民政府2017年</w:t>
      </w:r>
      <w:r>
        <w:rPr>
          <w:rFonts w:hint="eastAsia" w:ascii="华文行楷" w:hAnsi="华文行楷" w:eastAsia="华文行楷" w:cs="华文行楷"/>
          <w:b/>
          <w:color w:val="auto"/>
          <w:sz w:val="52"/>
          <w:szCs w:val="52"/>
        </w:rPr>
        <w:t>藏区基层组织活动和公共服务运行资金</w:t>
      </w:r>
      <w:r>
        <w:rPr>
          <w:rFonts w:hint="eastAsia" w:ascii="华文行楷" w:hAnsi="华文行楷" w:eastAsia="华文行楷" w:cs="华文行楷"/>
          <w:b/>
          <w:color w:val="auto"/>
          <w:sz w:val="52"/>
          <w:szCs w:val="52"/>
          <w:lang w:val="en-US" w:eastAsia="zh-CN"/>
        </w:rPr>
        <w:t>绩效评价</w:t>
      </w:r>
      <w:r>
        <w:rPr>
          <w:rFonts w:hint="eastAsia" w:ascii="华文行楷" w:hAnsi="华文行楷" w:eastAsia="华文行楷" w:cs="华文行楷"/>
          <w:b/>
          <w:color w:val="auto"/>
          <w:sz w:val="52"/>
          <w:szCs w:val="52"/>
        </w:rPr>
        <w:t>报告书</w:t>
      </w: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r>
        <w:rPr>
          <w:rFonts w:ascii="隶书" w:hAnsi="Courier New" w:eastAsia="隶书"/>
          <w:color w:val="auto"/>
          <w:spacing w:val="20"/>
          <w:sz w:val="36"/>
          <w:szCs w:val="36"/>
        </w:rPr>
        <w:drawing>
          <wp:inline distT="0" distB="0" distL="114300" distR="114300">
            <wp:extent cx="3466465" cy="1506220"/>
            <wp:effectExtent l="0" t="0" r="635" b="17780"/>
            <wp:docPr id="1" name="图片 1" descr="中兴华会计师事务所所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兴华会计师事务所所标1"/>
                    <pic:cNvPicPr>
                      <a:picLocks noChangeAspect="1"/>
                    </pic:cNvPicPr>
                  </pic:nvPicPr>
                  <pic:blipFill>
                    <a:blip r:embed="rId5"/>
                    <a:stretch>
                      <a:fillRect/>
                    </a:stretch>
                  </pic:blipFill>
                  <pic:spPr>
                    <a:xfrm>
                      <a:off x="0" y="0"/>
                      <a:ext cx="3466465" cy="1506220"/>
                    </a:xfrm>
                    <a:prstGeom prst="rect">
                      <a:avLst/>
                    </a:prstGeom>
                    <a:noFill/>
                    <a:ln w="9525">
                      <a:noFill/>
                    </a:ln>
                  </pic:spPr>
                </pic:pic>
              </a:graphicData>
            </a:graphic>
          </wp:inline>
        </w:drawing>
      </w:r>
    </w:p>
    <w:p>
      <w:pPr>
        <w:spacing w:line="800" w:lineRule="atLeast"/>
        <w:jc w:val="center"/>
        <w:rPr>
          <w:rFonts w:hint="eastAsia" w:ascii="Arial" w:hAnsi="Arial" w:eastAsia="华文新魏" w:cs="Arial"/>
          <w:color w:val="auto"/>
          <w:sz w:val="48"/>
        </w:rPr>
      </w:pPr>
    </w:p>
    <w:p>
      <w:pPr>
        <w:spacing w:line="800" w:lineRule="atLeast"/>
        <w:jc w:val="both"/>
        <w:rPr>
          <w:rFonts w:hint="eastAsia" w:ascii="Arial" w:hAnsi="Arial" w:eastAsia="华文新魏" w:cs="Arial"/>
          <w:color w:val="auto"/>
          <w:sz w:val="48"/>
        </w:rPr>
      </w:pPr>
    </w:p>
    <w:p>
      <w:pPr>
        <w:spacing w:line="800" w:lineRule="atLeast"/>
        <w:jc w:val="both"/>
        <w:rPr>
          <w:rFonts w:hint="eastAsia" w:ascii="Arial" w:hAnsi="Arial" w:eastAsia="华文新魏" w:cs="Arial"/>
          <w:color w:val="auto"/>
          <w:sz w:val="48"/>
        </w:rPr>
      </w:pPr>
    </w:p>
    <w:p>
      <w:pPr>
        <w:rPr>
          <w:rFonts w:hint="eastAsia"/>
          <w:color w:val="auto"/>
        </w:rPr>
      </w:pPr>
    </w:p>
    <w:p>
      <w:pPr>
        <w:jc w:val="center"/>
        <w:rPr>
          <w:rFonts w:hint="eastAsia" w:eastAsia="华文行楷"/>
          <w:b/>
          <w:bCs/>
          <w:color w:val="auto"/>
          <w:sz w:val="44"/>
        </w:rPr>
      </w:pPr>
      <w:r>
        <w:rPr>
          <w:rFonts w:hint="eastAsia" w:eastAsia="华文行楷"/>
          <w:b/>
          <w:bCs/>
          <w:color w:val="auto"/>
          <w:sz w:val="44"/>
        </w:rPr>
        <w:t>中兴华会计师事务所(特殊普通合伙)</w:t>
      </w:r>
    </w:p>
    <w:p>
      <w:pPr>
        <w:jc w:val="center"/>
        <w:rPr>
          <w:rFonts w:hint="eastAsia"/>
          <w:color w:val="auto"/>
          <w:sz w:val="28"/>
        </w:rPr>
      </w:pPr>
      <w:r>
        <w:rPr>
          <w:rFonts w:hint="eastAsia"/>
          <w:color w:val="auto"/>
          <w:sz w:val="28"/>
        </w:rPr>
        <w:t>ZHONGXINGHAU CERTIFIED PUBLIC ACCOUNTANTS LLP</w:t>
      </w:r>
    </w:p>
    <w:p>
      <w:pPr>
        <w:spacing w:line="160" w:lineRule="exact"/>
        <w:rPr>
          <w:rFonts w:ascii="黑体" w:eastAsia="黑体"/>
          <w:color w:val="auto"/>
          <w:w w:val="90"/>
          <w:sz w:val="28"/>
        </w:rPr>
      </w:pPr>
    </w:p>
    <w:p>
      <w:pPr>
        <w:spacing w:line="600" w:lineRule="atLeast"/>
        <w:rPr>
          <w:rFonts w:hint="eastAsia" w:ascii="黑体" w:eastAsia="黑体"/>
          <w:color w:val="auto"/>
          <w:w w:val="90"/>
          <w:sz w:val="28"/>
        </w:rPr>
      </w:pPr>
      <w:r>
        <w:rPr>
          <w:rFonts w:hint="eastAsia" w:ascii="黑体" w:eastAsia="黑体"/>
          <w:color w:val="auto"/>
          <w:w w:val="90"/>
          <w:sz w:val="28"/>
        </w:rPr>
        <w:t>地址：</w:t>
      </w:r>
      <w:r>
        <w:rPr>
          <w:rFonts w:hint="eastAsia" w:ascii="黑体" w:eastAsia="黑体"/>
          <w:color w:val="auto"/>
          <w:w w:val="90"/>
          <w:sz w:val="28"/>
          <w:lang w:eastAsia="zh-CN"/>
        </w:rPr>
        <w:t>成都市金牛区蜀西路</w:t>
      </w:r>
      <w:r>
        <w:rPr>
          <w:rFonts w:hint="eastAsia" w:ascii="黑体" w:eastAsia="黑体"/>
          <w:color w:val="auto"/>
          <w:w w:val="90"/>
          <w:sz w:val="28"/>
          <w:lang w:val="en-US" w:eastAsia="zh-CN"/>
        </w:rPr>
        <w:t>49号盛大国际3幢4楼401</w:t>
      </w:r>
      <w:r>
        <w:rPr>
          <w:rFonts w:hint="eastAsia" w:ascii="黑体" w:eastAsia="黑体"/>
          <w:color w:val="auto"/>
          <w:w w:val="90"/>
          <w:sz w:val="28"/>
        </w:rPr>
        <w:t xml:space="preserve"> </w:t>
      </w:r>
      <w:r>
        <w:rPr>
          <w:rFonts w:ascii="黑体" w:eastAsia="黑体"/>
          <w:color w:val="auto"/>
          <w:w w:val="90"/>
          <w:sz w:val="24"/>
        </w:rPr>
        <w:t xml:space="preserve"> </w:t>
      </w:r>
      <w:r>
        <w:rPr>
          <w:rFonts w:hint="eastAsia" w:ascii="黑体" w:eastAsia="黑体"/>
          <w:color w:val="auto"/>
          <w:w w:val="90"/>
          <w:sz w:val="24"/>
        </w:rPr>
        <w:t xml:space="preserve">    </w:t>
      </w:r>
      <w:r>
        <w:rPr>
          <w:rFonts w:ascii="黑体" w:eastAsia="黑体"/>
          <w:color w:val="auto"/>
          <w:w w:val="90"/>
          <w:sz w:val="24"/>
        </w:rPr>
        <w:t xml:space="preserve"> </w:t>
      </w:r>
      <w:r>
        <w:rPr>
          <w:rFonts w:ascii="黑体" w:eastAsia="黑体"/>
          <w:color w:val="auto"/>
          <w:w w:val="90"/>
          <w:sz w:val="28"/>
        </w:rPr>
        <w:t xml:space="preserve"> </w:t>
      </w:r>
      <w:r>
        <w:rPr>
          <w:rFonts w:hint="eastAsia" w:ascii="黑体" w:eastAsia="黑体"/>
          <w:color w:val="auto"/>
          <w:w w:val="90"/>
          <w:sz w:val="28"/>
        </w:rPr>
        <w:t>邮编：</w:t>
      </w:r>
      <w:r>
        <w:rPr>
          <w:rFonts w:hint="eastAsia" w:ascii="黑体" w:eastAsia="黑体"/>
          <w:color w:val="auto"/>
          <w:w w:val="90"/>
          <w:sz w:val="28"/>
          <w:lang w:val="en-US" w:eastAsia="zh-CN"/>
        </w:rPr>
        <w:t>610037</w:t>
      </w:r>
    </w:p>
    <w:p>
      <w:pPr>
        <w:snapToGrid/>
        <w:spacing w:line="600" w:lineRule="atLeast"/>
        <w:jc w:val="both"/>
        <w:rPr>
          <w:rFonts w:hint="eastAsia" w:ascii="宋体" w:hAnsi="宋体" w:eastAsia="宋体"/>
          <w:b/>
          <w:color w:val="auto"/>
          <w:sz w:val="28"/>
          <w:szCs w:val="30"/>
        </w:rPr>
      </w:pPr>
      <w:r>
        <w:rPr>
          <w:rFonts w:hint="eastAsia" w:ascii="黑体" w:eastAsia="黑体"/>
          <w:color w:val="auto"/>
          <w:w w:val="90"/>
          <w:sz w:val="28"/>
        </w:rPr>
        <w:t>电话：</w:t>
      </w:r>
      <w:r>
        <w:rPr>
          <w:rFonts w:ascii="黑体" w:eastAsia="黑体"/>
          <w:color w:val="auto"/>
          <w:w w:val="90"/>
          <w:sz w:val="28"/>
        </w:rPr>
        <w:t>(</w:t>
      </w:r>
      <w:r>
        <w:rPr>
          <w:rFonts w:hint="eastAsia" w:ascii="黑体" w:eastAsia="黑体"/>
          <w:color w:val="auto"/>
          <w:w w:val="90"/>
          <w:sz w:val="28"/>
        </w:rPr>
        <w:t>0</w:t>
      </w:r>
      <w:r>
        <w:rPr>
          <w:rFonts w:hint="eastAsia" w:ascii="黑体" w:eastAsia="黑体"/>
          <w:color w:val="auto"/>
          <w:w w:val="90"/>
          <w:sz w:val="28"/>
          <w:lang w:val="en-US" w:eastAsia="zh-CN"/>
        </w:rPr>
        <w:t>28</w:t>
      </w:r>
      <w:r>
        <w:rPr>
          <w:rFonts w:ascii="黑体" w:eastAsia="黑体"/>
          <w:color w:val="auto"/>
          <w:w w:val="90"/>
          <w:sz w:val="28"/>
        </w:rPr>
        <w:t>)</w:t>
      </w:r>
      <w:r>
        <w:rPr>
          <w:rFonts w:hint="eastAsia" w:ascii="黑体" w:eastAsia="黑体"/>
          <w:color w:val="auto"/>
          <w:w w:val="90"/>
          <w:sz w:val="28"/>
        </w:rPr>
        <w:t>87779320</w:t>
      </w:r>
      <w:r>
        <w:rPr>
          <w:rFonts w:hint="eastAsia" w:ascii="黑体" w:eastAsia="黑体"/>
          <w:color w:val="auto"/>
          <w:w w:val="90"/>
          <w:sz w:val="28"/>
          <w:lang w:val="en-US" w:eastAsia="zh-CN"/>
        </w:rPr>
        <w:t>\18190919202</w:t>
      </w:r>
      <w:r>
        <w:rPr>
          <w:rFonts w:ascii="黑体" w:eastAsia="黑体"/>
          <w:color w:val="auto"/>
          <w:w w:val="90"/>
          <w:sz w:val="28"/>
        </w:rPr>
        <w:t xml:space="preserve">         </w:t>
      </w:r>
      <w:r>
        <w:rPr>
          <w:rFonts w:hint="eastAsia" w:ascii="黑体" w:eastAsia="黑体"/>
          <w:color w:val="auto"/>
          <w:w w:val="90"/>
          <w:sz w:val="28"/>
        </w:rPr>
        <w:t xml:space="preserve"> </w:t>
      </w:r>
      <w:r>
        <w:rPr>
          <w:rFonts w:ascii="黑体" w:eastAsia="黑体"/>
          <w:color w:val="auto"/>
          <w:w w:val="90"/>
          <w:sz w:val="28"/>
        </w:rPr>
        <w:t xml:space="preserve">   </w:t>
      </w:r>
      <w:r>
        <w:rPr>
          <w:rFonts w:hint="eastAsia" w:ascii="黑体" w:eastAsia="黑体"/>
          <w:color w:val="auto"/>
          <w:w w:val="90"/>
          <w:sz w:val="28"/>
        </w:rPr>
        <w:t xml:space="preserve">   传真：</w:t>
      </w:r>
      <w:r>
        <w:rPr>
          <w:rFonts w:ascii="黑体" w:eastAsia="黑体"/>
          <w:color w:val="auto"/>
          <w:w w:val="90"/>
          <w:sz w:val="28"/>
        </w:rPr>
        <w:t>(</w:t>
      </w:r>
      <w:r>
        <w:rPr>
          <w:rFonts w:hint="eastAsia" w:ascii="黑体" w:eastAsia="黑体"/>
          <w:color w:val="auto"/>
          <w:w w:val="90"/>
          <w:sz w:val="28"/>
        </w:rPr>
        <w:t>0</w:t>
      </w:r>
      <w:r>
        <w:rPr>
          <w:rFonts w:hint="eastAsia" w:ascii="黑体" w:eastAsia="黑体"/>
          <w:color w:val="auto"/>
          <w:w w:val="90"/>
          <w:sz w:val="28"/>
          <w:lang w:val="en-US" w:eastAsia="zh-CN"/>
        </w:rPr>
        <w:t>28</w:t>
      </w:r>
      <w:r>
        <w:rPr>
          <w:rFonts w:ascii="黑体" w:eastAsia="黑体"/>
          <w:color w:val="auto"/>
          <w:w w:val="90"/>
          <w:sz w:val="28"/>
        </w:rPr>
        <w:t>)</w:t>
      </w:r>
      <w:r>
        <w:rPr>
          <w:rFonts w:hint="eastAsia" w:ascii="黑体" w:eastAsia="黑体"/>
          <w:color w:val="auto"/>
          <w:w w:val="90"/>
          <w:sz w:val="28"/>
        </w:rPr>
        <w:t>87776280</w:t>
      </w:r>
    </w:p>
    <w:p>
      <w:pPr>
        <w:snapToGrid w:val="0"/>
        <w:spacing w:line="400" w:lineRule="exact"/>
        <w:jc w:val="center"/>
        <w:rPr>
          <w:rFonts w:hint="eastAsia" w:ascii="宋体" w:hAnsi="宋体" w:eastAsia="宋体"/>
          <w:b/>
          <w:color w:val="auto"/>
          <w:sz w:val="28"/>
          <w:szCs w:val="30"/>
        </w:rPr>
      </w:pPr>
    </w:p>
    <w:p>
      <w:pPr>
        <w:snapToGrid w:val="0"/>
        <w:spacing w:line="400" w:lineRule="exact"/>
        <w:jc w:val="center"/>
        <w:rPr>
          <w:rFonts w:hint="eastAsia" w:ascii="宋体" w:hAnsi="宋体" w:eastAsia="宋体"/>
          <w:b/>
          <w:color w:val="auto"/>
          <w:sz w:val="28"/>
          <w:szCs w:val="30"/>
        </w:rPr>
      </w:pPr>
    </w:p>
    <w:p>
      <w:pPr>
        <w:snapToGrid w:val="0"/>
        <w:spacing w:line="400" w:lineRule="exact"/>
        <w:jc w:val="center"/>
        <w:rPr>
          <w:rFonts w:hint="eastAsia" w:ascii="宋体" w:hAnsi="宋体" w:eastAsia="宋体"/>
          <w:b/>
          <w:color w:val="auto"/>
          <w:sz w:val="28"/>
          <w:szCs w:val="30"/>
        </w:rPr>
      </w:pPr>
    </w:p>
    <w:p>
      <w:pPr>
        <w:snapToGrid/>
        <w:spacing w:line="940" w:lineRule="atLeast"/>
        <w:jc w:val="center"/>
        <w:rPr>
          <w:rFonts w:hint="eastAsia" w:ascii="华文行楷" w:hAnsi="华文行楷" w:eastAsia="华文行楷" w:cs="华文行楷"/>
          <w:b/>
          <w:color w:val="auto"/>
          <w:sz w:val="52"/>
          <w:szCs w:val="52"/>
          <w:lang w:val="en-US" w:eastAsia="zh-CN"/>
        </w:rPr>
      </w:pPr>
      <w:r>
        <w:rPr>
          <w:rFonts w:hint="eastAsia" w:ascii="华文行楷" w:hAnsi="华文行楷" w:eastAsia="华文行楷" w:cs="华文行楷"/>
          <w:b/>
          <w:color w:val="auto"/>
          <w:sz w:val="52"/>
          <w:szCs w:val="52"/>
          <w:lang w:val="en-US" w:eastAsia="zh-CN"/>
        </w:rPr>
        <w:t>金川县观音桥镇人民政府</w:t>
      </w:r>
    </w:p>
    <w:p>
      <w:pPr>
        <w:snapToGrid/>
        <w:spacing w:line="940" w:lineRule="atLeast"/>
        <w:jc w:val="center"/>
        <w:rPr>
          <w:rFonts w:hint="eastAsia" w:ascii="华文行楷" w:hAnsi="华文行楷" w:eastAsia="华文行楷" w:cs="华文行楷"/>
          <w:b/>
          <w:color w:val="auto"/>
          <w:sz w:val="52"/>
          <w:szCs w:val="52"/>
          <w:lang w:val="en-US" w:eastAsia="zh-CN"/>
        </w:rPr>
      </w:pPr>
      <w:r>
        <w:rPr>
          <w:rFonts w:hint="eastAsia" w:ascii="华文行楷" w:hAnsi="华文行楷" w:eastAsia="华文行楷" w:cs="华文行楷"/>
          <w:b/>
          <w:color w:val="auto"/>
          <w:sz w:val="52"/>
          <w:szCs w:val="52"/>
          <w:lang w:val="en-US" w:eastAsia="zh-CN"/>
        </w:rPr>
        <w:t>2017年藏区基层组织活动和公共服务运行资金绩效评价报告</w:t>
      </w:r>
    </w:p>
    <w:p>
      <w:pPr>
        <w:spacing w:line="578" w:lineRule="exact"/>
        <w:jc w:val="both"/>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金川县财政局：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rPr>
      </w:pPr>
      <w:r>
        <w:rPr>
          <w:rFonts w:hint="eastAsia" w:ascii="宋体" w:hAnsi="宋体"/>
          <w:color w:val="auto"/>
          <w:sz w:val="24"/>
          <w:szCs w:val="24"/>
        </w:rPr>
        <w:t>我们接受委托，对</w:t>
      </w:r>
      <w:r>
        <w:rPr>
          <w:rFonts w:hint="eastAsia" w:ascii="宋体" w:hAnsi="宋体"/>
          <w:color w:val="auto"/>
          <w:sz w:val="24"/>
          <w:szCs w:val="24"/>
          <w:lang w:val="en-US" w:eastAsia="zh-CN"/>
        </w:rPr>
        <w:t>金川县观音桥镇人民政府“2017年藏区基层组织活动和公共服务运行资金”</w:t>
      </w:r>
      <w:r>
        <w:rPr>
          <w:rFonts w:hint="eastAsia" w:ascii="宋体" w:hAnsi="宋体"/>
          <w:color w:val="auto"/>
          <w:sz w:val="24"/>
          <w:szCs w:val="24"/>
        </w:rPr>
        <w:t>(以下简称“该项目</w:t>
      </w:r>
      <w:r>
        <w:rPr>
          <w:rFonts w:hint="eastAsia" w:ascii="宋体" w:hAnsi="宋体"/>
          <w:color w:val="auto"/>
          <w:sz w:val="24"/>
          <w:szCs w:val="24"/>
          <w:lang w:val="en-US" w:eastAsia="zh-CN"/>
        </w:rPr>
        <w:t>或项目</w:t>
      </w:r>
      <w:r>
        <w:rPr>
          <w:rFonts w:hint="eastAsia" w:ascii="宋体" w:hAnsi="宋体"/>
          <w:color w:val="auto"/>
          <w:sz w:val="24"/>
          <w:szCs w:val="24"/>
        </w:rPr>
        <w:t>”)</w:t>
      </w:r>
      <w:r>
        <w:rPr>
          <w:rFonts w:hint="eastAsia" w:ascii="宋体" w:hAnsi="宋体"/>
          <w:color w:val="auto"/>
          <w:sz w:val="24"/>
          <w:szCs w:val="24"/>
          <w:lang w:val="en-US" w:eastAsia="zh-CN"/>
        </w:rPr>
        <w:t>进行了绩效评价。</w:t>
      </w:r>
      <w:r>
        <w:rPr>
          <w:rFonts w:hint="eastAsia" w:ascii="宋体" w:hAnsi="宋体"/>
          <w:color w:val="auto"/>
          <w:sz w:val="24"/>
          <w:szCs w:val="24"/>
        </w:rPr>
        <w:t>提供该项目有关的真实、合法、完整</w:t>
      </w:r>
      <w:r>
        <w:rPr>
          <w:rFonts w:hint="eastAsia" w:ascii="宋体" w:hAnsi="宋体"/>
          <w:color w:val="auto"/>
          <w:sz w:val="24"/>
          <w:szCs w:val="24"/>
          <w:lang w:val="zh-CN"/>
        </w:rPr>
        <w:t>的专项</w:t>
      </w:r>
      <w:r>
        <w:rPr>
          <w:rFonts w:hint="eastAsia" w:ascii="宋体" w:hAnsi="宋体"/>
          <w:color w:val="auto"/>
          <w:sz w:val="24"/>
          <w:szCs w:val="24"/>
        </w:rPr>
        <w:t>资金</w:t>
      </w:r>
      <w:r>
        <w:rPr>
          <w:rFonts w:hint="eastAsia" w:ascii="宋体" w:hAnsi="宋体"/>
          <w:color w:val="auto"/>
          <w:sz w:val="24"/>
          <w:szCs w:val="24"/>
          <w:lang w:val="zh-CN"/>
        </w:rPr>
        <w:t>收支的财务资料以及相关的文件</w:t>
      </w:r>
      <w:r>
        <w:rPr>
          <w:rFonts w:hint="eastAsia" w:ascii="宋体" w:hAnsi="宋体"/>
          <w:color w:val="auto"/>
          <w:sz w:val="24"/>
          <w:szCs w:val="24"/>
        </w:rPr>
        <w:t>是</w:t>
      </w:r>
      <w:r>
        <w:rPr>
          <w:rFonts w:hint="eastAsia" w:ascii="宋体" w:hAnsi="宋体"/>
          <w:color w:val="auto"/>
          <w:sz w:val="24"/>
          <w:szCs w:val="24"/>
          <w:lang w:val="en-US" w:eastAsia="zh-CN"/>
        </w:rPr>
        <w:t>金川县观音桥镇人民政府的</w:t>
      </w:r>
      <w:r>
        <w:rPr>
          <w:rFonts w:hint="eastAsia" w:ascii="宋体" w:hAnsi="宋体"/>
          <w:color w:val="auto"/>
          <w:sz w:val="24"/>
          <w:szCs w:val="24"/>
        </w:rPr>
        <w:t>的责任，我们的责任是本着独立、客观、公正的原则，在实施必要评价程序的基础上发表评价意见。我们的评价是依据财政部《财政支出绩效评价管理暂行办法》(财预〔2011〕285号）</w:t>
      </w:r>
      <w:r>
        <w:rPr>
          <w:rFonts w:hint="eastAsia" w:ascii="宋体" w:hAnsi="宋体"/>
          <w:color w:val="auto"/>
          <w:sz w:val="24"/>
          <w:szCs w:val="24"/>
          <w:lang w:val="en-US" w:eastAsia="zh-CN"/>
        </w:rPr>
        <w:t>和四川省财政厅《关于四川省财政支出绩效评价操作规程（试行）》（川财绩</w:t>
      </w:r>
      <w:r>
        <w:rPr>
          <w:rFonts w:hint="eastAsia" w:ascii="宋体" w:hAnsi="宋体"/>
          <w:color w:val="auto"/>
          <w:sz w:val="24"/>
          <w:szCs w:val="24"/>
        </w:rPr>
        <w:t>〔201</w:t>
      </w:r>
      <w:r>
        <w:rPr>
          <w:rFonts w:hint="eastAsia" w:ascii="宋体" w:hAnsi="宋体"/>
          <w:color w:val="auto"/>
          <w:sz w:val="24"/>
          <w:szCs w:val="24"/>
          <w:lang w:val="en-US" w:eastAsia="zh-CN"/>
        </w:rPr>
        <w:t>8</w:t>
      </w:r>
      <w:r>
        <w:rPr>
          <w:rFonts w:hint="eastAsia" w:ascii="宋体" w:hAnsi="宋体"/>
          <w:color w:val="auto"/>
          <w:sz w:val="24"/>
          <w:szCs w:val="24"/>
        </w:rPr>
        <w:t>〕</w:t>
      </w:r>
      <w:r>
        <w:rPr>
          <w:rFonts w:hint="eastAsia" w:ascii="宋体" w:hAnsi="宋体"/>
          <w:color w:val="auto"/>
          <w:sz w:val="24"/>
          <w:szCs w:val="24"/>
          <w:lang w:val="en-US" w:eastAsia="zh-CN"/>
        </w:rPr>
        <w:t>2号）及《四川省基层组织活动和公共服务运行经费使用管理办法》</w:t>
      </w:r>
      <w:r>
        <w:rPr>
          <w:rFonts w:hint="eastAsia" w:ascii="宋体" w:hAnsi="宋体"/>
          <w:color w:val="auto"/>
          <w:sz w:val="24"/>
          <w:szCs w:val="24"/>
        </w:rPr>
        <w:t>进行的。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rPr>
      </w:pPr>
      <w:r>
        <w:rPr>
          <w:rFonts w:hint="eastAsia" w:ascii="宋体" w:hAnsi="宋体"/>
          <w:color w:val="auto"/>
          <w:sz w:val="24"/>
          <w:szCs w:val="24"/>
        </w:rPr>
        <w:t>在评价过程中，我们结合该项目的实际情况，实施了包括检查会计记录、</w:t>
      </w:r>
      <w:r>
        <w:rPr>
          <w:rFonts w:hint="eastAsia" w:ascii="宋体" w:hAnsi="宋体"/>
          <w:color w:val="auto"/>
          <w:sz w:val="24"/>
          <w:szCs w:val="24"/>
          <w:lang w:val="en-US" w:eastAsia="zh-CN"/>
        </w:rPr>
        <w:t>实地查看、</w:t>
      </w:r>
      <w:r>
        <w:rPr>
          <w:rFonts w:hint="eastAsia" w:ascii="宋体" w:hAnsi="宋体"/>
          <w:color w:val="auto"/>
          <w:sz w:val="24"/>
          <w:szCs w:val="24"/>
        </w:rPr>
        <w:t>核实和调阅上级文件等我们认为必要的评价程序。我们相信，我们的工作为发表评价意见提供了合理的基础。</w:t>
      </w:r>
    </w:p>
    <w:p>
      <w:pPr>
        <w:keepNext w:val="0"/>
        <w:keepLines w:val="0"/>
        <w:pageBreakBefore w:val="0"/>
        <w:widowControl w:val="0"/>
        <w:kinsoku/>
        <w:wordWrap/>
        <w:overflowPunct/>
        <w:topLinePunct w:val="0"/>
        <w:autoSpaceDE/>
        <w:autoSpaceDN/>
        <w:bidi w:val="0"/>
        <w:adjustRightInd/>
        <w:snapToGrid/>
        <w:spacing w:line="360" w:lineRule="auto"/>
        <w:ind w:firstLine="555"/>
        <w:textAlignment w:val="auto"/>
        <w:rPr>
          <w:rFonts w:hint="eastAsia" w:hAnsi="宋体" w:eastAsia="仿宋_GB2312"/>
          <w:color w:val="auto"/>
          <w:sz w:val="21"/>
          <w:szCs w:val="24"/>
          <w:lang w:eastAsia="zh-CN"/>
        </w:rPr>
      </w:pPr>
      <w:r>
        <w:rPr>
          <w:rFonts w:hint="eastAsia" w:ascii="宋体" w:hAnsi="宋体"/>
          <w:color w:val="auto"/>
          <w:sz w:val="24"/>
          <w:szCs w:val="24"/>
        </w:rPr>
        <w:t>我们的</w:t>
      </w:r>
      <w:r>
        <w:rPr>
          <w:rFonts w:ascii="宋体" w:hAnsi="宋体"/>
          <w:color w:val="auto"/>
          <w:sz w:val="24"/>
          <w:szCs w:val="24"/>
        </w:rPr>
        <w:t>现场</w:t>
      </w:r>
      <w:r>
        <w:rPr>
          <w:rFonts w:hint="eastAsia" w:ascii="宋体" w:hAnsi="宋体"/>
          <w:color w:val="auto"/>
          <w:sz w:val="24"/>
          <w:szCs w:val="24"/>
        </w:rPr>
        <w:t>评价</w:t>
      </w:r>
      <w:r>
        <w:rPr>
          <w:rFonts w:ascii="宋体" w:hAnsi="宋体"/>
          <w:color w:val="auto"/>
          <w:sz w:val="24"/>
          <w:szCs w:val="24"/>
        </w:rPr>
        <w:t>工作已</w:t>
      </w:r>
      <w:r>
        <w:rPr>
          <w:rFonts w:ascii="宋体" w:hAnsi="宋体"/>
          <w:color w:val="auto"/>
          <w:sz w:val="24"/>
          <w:szCs w:val="24"/>
          <w:highlight w:val="none"/>
        </w:rPr>
        <w:t>于</w:t>
      </w:r>
      <w:r>
        <w:rPr>
          <w:rFonts w:hint="eastAsia" w:ascii="宋体" w:hAnsi="宋体"/>
          <w:color w:val="auto"/>
          <w:sz w:val="24"/>
          <w:szCs w:val="24"/>
          <w:highlight w:val="none"/>
        </w:rPr>
        <w:t>201</w:t>
      </w:r>
      <w:r>
        <w:rPr>
          <w:rFonts w:hint="eastAsia" w:ascii="宋体" w:hAnsi="宋体"/>
          <w:color w:val="auto"/>
          <w:sz w:val="24"/>
          <w:szCs w:val="24"/>
          <w:highlight w:val="none"/>
          <w:lang w:val="en-US" w:eastAsia="zh-CN"/>
        </w:rPr>
        <w:t>8</w:t>
      </w:r>
      <w:r>
        <w:rPr>
          <w:rFonts w:ascii="宋体" w:hAnsi="宋体"/>
          <w:color w:val="auto"/>
          <w:sz w:val="24"/>
          <w:szCs w:val="24"/>
          <w:highlight w:val="none"/>
        </w:rPr>
        <w:t>年</w:t>
      </w:r>
      <w:r>
        <w:rPr>
          <w:rFonts w:hint="eastAsia" w:ascii="宋体" w:hAnsi="宋体"/>
          <w:color w:val="auto"/>
          <w:sz w:val="24"/>
          <w:szCs w:val="24"/>
          <w:highlight w:val="none"/>
          <w:lang w:val="en-US" w:eastAsia="zh-CN"/>
        </w:rPr>
        <w:t>9</w:t>
      </w:r>
      <w:r>
        <w:rPr>
          <w:rFonts w:ascii="宋体" w:hAnsi="宋体"/>
          <w:color w:val="auto"/>
          <w:sz w:val="24"/>
          <w:szCs w:val="24"/>
          <w:highlight w:val="none"/>
        </w:rPr>
        <w:t>月</w:t>
      </w:r>
      <w:r>
        <w:rPr>
          <w:rFonts w:hint="eastAsia" w:ascii="宋体" w:hAnsi="宋体"/>
          <w:color w:val="auto"/>
          <w:sz w:val="24"/>
          <w:szCs w:val="24"/>
          <w:highlight w:val="none"/>
          <w:lang w:val="en-US" w:eastAsia="zh-CN"/>
        </w:rPr>
        <w:t>15</w:t>
      </w:r>
      <w:r>
        <w:rPr>
          <w:rFonts w:ascii="宋体" w:hAnsi="宋体"/>
          <w:color w:val="auto"/>
          <w:sz w:val="24"/>
          <w:szCs w:val="24"/>
          <w:highlight w:val="none"/>
        </w:rPr>
        <w:t>日结束</w:t>
      </w:r>
      <w:r>
        <w:rPr>
          <w:rFonts w:ascii="宋体" w:hAnsi="宋体"/>
          <w:color w:val="auto"/>
          <w:sz w:val="24"/>
          <w:szCs w:val="24"/>
        </w:rPr>
        <w:t>，现将</w:t>
      </w:r>
      <w:r>
        <w:rPr>
          <w:rFonts w:hint="eastAsia" w:ascii="宋体" w:hAnsi="宋体"/>
          <w:color w:val="auto"/>
          <w:sz w:val="24"/>
          <w:szCs w:val="24"/>
        </w:rPr>
        <w:t>评价</w:t>
      </w:r>
      <w:r>
        <w:rPr>
          <w:rFonts w:ascii="宋体" w:hAnsi="宋体"/>
          <w:color w:val="auto"/>
          <w:sz w:val="24"/>
          <w:szCs w:val="24"/>
        </w:rPr>
        <w:t>情况报告如下</w:t>
      </w:r>
      <w:r>
        <w:rPr>
          <w:rFonts w:hint="eastAsia" w:ascii="宋体" w:hAnsi="宋体"/>
          <w:color w:val="auto"/>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项目基本情况</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项目实施单位基本情况</w:t>
      </w:r>
    </w:p>
    <w:p>
      <w:pPr>
        <w:keepNext w:val="0"/>
        <w:keepLines w:val="0"/>
        <w:pageBreakBefore w:val="0"/>
        <w:widowControl w:val="0"/>
        <w:kinsoku/>
        <w:wordWrap/>
        <w:overflowPunct/>
        <w:topLinePunct w:val="0"/>
        <w:autoSpaceDE/>
        <w:autoSpaceDN/>
        <w:bidi w:val="0"/>
        <w:adjustRightInd/>
        <w:snapToGrid/>
        <w:spacing w:line="360" w:lineRule="auto"/>
        <w:ind w:firstLine="555"/>
        <w:textAlignment w:val="auto"/>
        <w:rPr>
          <w:rFonts w:hint="eastAsia" w:ascii="宋体" w:hAnsi="宋体"/>
          <w:color w:val="auto"/>
          <w:sz w:val="24"/>
          <w:szCs w:val="24"/>
        </w:rPr>
      </w:pPr>
      <w:r>
        <w:rPr>
          <w:rFonts w:hint="eastAsia" w:ascii="宋体" w:hAnsi="宋体"/>
          <w:color w:val="auto"/>
          <w:sz w:val="24"/>
          <w:szCs w:val="24"/>
          <w:lang w:eastAsia="zh-CN"/>
        </w:rPr>
        <w:t>金川县观音桥镇人民政府机关职工</w:t>
      </w:r>
      <w:r>
        <w:rPr>
          <w:rFonts w:hint="eastAsia" w:ascii="宋体" w:hAnsi="宋体"/>
          <w:color w:val="auto"/>
          <w:sz w:val="24"/>
          <w:szCs w:val="24"/>
          <w:lang w:val="en-US" w:eastAsia="zh-CN"/>
        </w:rPr>
        <w:t>26人，其中：公务员19人，工勤2人，事业人员5人。</w:t>
      </w:r>
      <w:r>
        <w:rPr>
          <w:rFonts w:hint="eastAsia" w:ascii="宋体" w:hAnsi="宋体"/>
          <w:color w:val="auto"/>
          <w:sz w:val="24"/>
          <w:szCs w:val="24"/>
        </w:rPr>
        <w:t>主要职</w:t>
      </w:r>
      <w:r>
        <w:rPr>
          <w:rFonts w:hint="eastAsia" w:ascii="宋体" w:hAnsi="宋体"/>
          <w:color w:val="auto"/>
          <w:sz w:val="24"/>
          <w:szCs w:val="24"/>
          <w:lang w:val="en-US" w:eastAsia="zh-CN"/>
        </w:rPr>
        <w:t>责</w:t>
      </w:r>
      <w:r>
        <w:rPr>
          <w:rFonts w:hint="eastAsia" w:ascii="宋体" w:hAnsi="宋体"/>
          <w:color w:val="auto"/>
          <w:sz w:val="24"/>
          <w:szCs w:val="24"/>
        </w:rPr>
        <w:t>:</w:t>
      </w:r>
      <w:bookmarkStart w:id="0" w:name="OLE_LINK6"/>
      <w:r>
        <w:rPr>
          <w:rFonts w:hint="eastAsia" w:ascii="宋体" w:hAnsi="宋体"/>
          <w:color w:val="auto"/>
          <w:sz w:val="24"/>
          <w:szCs w:val="24"/>
        </w:rPr>
        <w:t>制定和组织实施经济、科技和社会发展计划，制定资源开发技术改造和产业结构调整方案，组织指导好各业生产，搞好商品流通，协调好本乡与外地区的经济交流与合作，抓好招商引资，人才引进项目开发，不断培育市场体系，保护各种经济组织的合法权益，组织经济运行，促进经济发展</w:t>
      </w:r>
      <w:r>
        <w:rPr>
          <w:rFonts w:hint="eastAsia" w:ascii="宋体" w:hAnsi="宋体"/>
          <w:color w:val="auto"/>
          <w:sz w:val="24"/>
          <w:szCs w:val="24"/>
          <w:lang w:val="en-US" w:eastAsia="zh-CN"/>
        </w:rPr>
        <w:t>.....</w:t>
      </w:r>
      <w:r>
        <w:rPr>
          <w:rFonts w:hint="eastAsia" w:ascii="宋体" w:hAnsi="宋体"/>
          <w:color w:val="auto"/>
          <w:sz w:val="24"/>
          <w:szCs w:val="24"/>
        </w:rPr>
        <w:t xml:space="preserve"> 按计划组织本级财政收入和地方税的征收，完成国家财政计划，不断培植税源，管好财政资金，增强财政实力</w:t>
      </w:r>
      <w:r>
        <w:rPr>
          <w:rFonts w:hint="eastAsia" w:ascii="宋体" w:hAnsi="宋体"/>
          <w:color w:val="auto"/>
          <w:sz w:val="24"/>
          <w:szCs w:val="24"/>
          <w:lang w:val="en-US" w:eastAsia="zh-CN"/>
        </w:rPr>
        <w:t>......</w:t>
      </w:r>
      <w:r>
        <w:rPr>
          <w:rFonts w:hint="eastAsia" w:ascii="宋体" w:hAnsi="宋体"/>
          <w:color w:val="auto"/>
          <w:sz w:val="24"/>
          <w:szCs w:val="24"/>
        </w:rPr>
        <w:t xml:space="preserve"> 抓好精神文明建设，丰富群众文化生活，提倡移风易俗，反对封建迷信，破除陈规陋习，树立社会主义新风尚</w:t>
      </w:r>
      <w:r>
        <w:rPr>
          <w:rFonts w:hint="eastAsia" w:ascii="宋体" w:hAnsi="宋体"/>
          <w:color w:val="auto"/>
          <w:sz w:val="24"/>
          <w:szCs w:val="24"/>
          <w:lang w:val="en-US" w:eastAsia="zh-CN"/>
        </w:rPr>
        <w:t>......</w:t>
      </w:r>
      <w:r>
        <w:rPr>
          <w:rFonts w:hint="eastAsia" w:ascii="宋体" w:hAnsi="宋体"/>
          <w:color w:val="auto"/>
          <w:sz w:val="24"/>
          <w:szCs w:val="24"/>
        </w:rPr>
        <w:t>维护社会秩序，保障公民的人身权利、民主权利和其他权利。</w:t>
      </w:r>
      <w:bookmarkEnd w:id="0"/>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highlight w:val="none"/>
          <w:lang w:val="en-US" w:eastAsia="zh-CN"/>
        </w:rPr>
      </w:pPr>
      <w:r>
        <w:rPr>
          <w:rFonts w:hint="eastAsia" w:ascii="宋体" w:hAnsi="宋体"/>
          <w:b w:val="0"/>
          <w:bCs w:val="0"/>
          <w:color w:val="auto"/>
          <w:sz w:val="24"/>
          <w:szCs w:val="24"/>
          <w:highlight w:val="none"/>
          <w:lang w:val="en-US" w:eastAsia="zh-CN"/>
        </w:rPr>
        <w:t>项目基本情况</w:t>
      </w:r>
    </w:p>
    <w:p>
      <w:pPr>
        <w:keepNext w:val="0"/>
        <w:keepLines w:val="0"/>
        <w:pageBreakBefore w:val="0"/>
        <w:widowControl w:val="0"/>
        <w:kinsoku/>
        <w:wordWrap/>
        <w:overflowPunct/>
        <w:topLinePunct w:val="0"/>
        <w:autoSpaceDE/>
        <w:autoSpaceDN/>
        <w:bidi w:val="0"/>
        <w:adjustRightInd/>
        <w:snapToGrid/>
        <w:spacing w:line="360" w:lineRule="auto"/>
        <w:ind w:firstLine="555"/>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根据金川县财政局《关于下达2017年部门预预算的通知》（金财预[2017]1号）下达资金66.00万元。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项目资金主要用于：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斯玛都村、依生村、观音村、石旁村、斯滔村、麦斯卡村各11.00万元，其中每个村办公费4.00万元、维护费7.00万元。</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评价结论及绩效分析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（一）评价结论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项目的实施，充分发挥了农村公共服务机能，改善了全镇6个村村民的生产生活环境，推进了农村社会管理创新，丰富了村民精神文化生活。</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color w:val="auto"/>
          <w:sz w:val="24"/>
          <w:szCs w:val="24"/>
          <w:lang w:val="en-US" w:eastAsia="zh-CN"/>
        </w:rPr>
      </w:pPr>
      <w:r>
        <w:rPr>
          <w:rFonts w:hint="eastAsia" w:ascii="宋体" w:hAnsi="宋体"/>
          <w:sz w:val="24"/>
          <w:szCs w:val="24"/>
          <w:lang w:val="en-US" w:eastAsia="zh-CN"/>
        </w:rPr>
        <w:t>根据</w:t>
      </w:r>
      <w:r>
        <w:rPr>
          <w:rFonts w:hint="eastAsia" w:ascii="宋体" w:hAnsi="宋体"/>
          <w:sz w:val="24"/>
          <w:szCs w:val="24"/>
        </w:rPr>
        <w:t>2018年阿坝州项目支出绩效评价指标体系</w:t>
      </w:r>
      <w:r>
        <w:rPr>
          <w:rFonts w:hint="eastAsia" w:ascii="宋体" w:hAnsi="宋体"/>
          <w:sz w:val="24"/>
          <w:szCs w:val="24"/>
          <w:lang w:val="en-US" w:eastAsia="zh-CN"/>
        </w:rPr>
        <w:t>评分，该项目综合得分</w:t>
      </w:r>
      <w:r>
        <w:rPr>
          <w:rFonts w:hint="eastAsia" w:ascii="宋体" w:hAnsi="宋体"/>
          <w:sz w:val="24"/>
          <w:szCs w:val="24"/>
          <w:highlight w:val="none"/>
          <w:lang w:val="en-US" w:eastAsia="zh-CN"/>
        </w:rPr>
        <w:t>97</w:t>
      </w:r>
      <w:r>
        <w:rPr>
          <w:rFonts w:hint="eastAsia" w:ascii="宋体" w:hAnsi="宋体"/>
          <w:sz w:val="24"/>
          <w:szCs w:val="24"/>
          <w:lang w:val="en-US" w:eastAsia="zh-CN"/>
        </w:rPr>
        <w:t>分。具体</w:t>
      </w:r>
      <w:r>
        <w:rPr>
          <w:rFonts w:hint="eastAsia" w:ascii="宋体" w:hAnsi="宋体"/>
          <w:color w:val="auto"/>
          <w:sz w:val="24"/>
          <w:szCs w:val="24"/>
          <w:lang w:val="en-US" w:eastAsia="zh-CN"/>
        </w:rPr>
        <w:t>评分情况详见附表一：</w:t>
      </w:r>
      <w:r>
        <w:rPr>
          <w:rFonts w:hint="eastAsia" w:ascii="宋体" w:hAnsi="宋体"/>
          <w:color w:val="auto"/>
          <w:sz w:val="24"/>
          <w:szCs w:val="24"/>
        </w:rPr>
        <w:t>2018年阿坝州项目支</w:t>
      </w:r>
      <w:bookmarkStart w:id="1" w:name="_GoBack"/>
      <w:bookmarkEnd w:id="1"/>
      <w:r>
        <w:rPr>
          <w:rFonts w:hint="eastAsia" w:ascii="宋体" w:hAnsi="宋体"/>
          <w:color w:val="auto"/>
          <w:sz w:val="24"/>
          <w:szCs w:val="24"/>
        </w:rPr>
        <w:t>出绩效评价指标体系</w:t>
      </w:r>
      <w:r>
        <w:rPr>
          <w:rFonts w:hint="eastAsia" w:ascii="宋体" w:hAnsi="宋体"/>
          <w:color w:val="auto"/>
          <w:sz w:val="24"/>
          <w:szCs w:val="24"/>
          <w:lang w:val="en-US" w:eastAsia="zh-CN"/>
        </w:rPr>
        <w:t>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（二）绩效分析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1、项目决策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b w:val="0"/>
          <w:i w:val="0"/>
          <w:caps w:val="0"/>
          <w:color w:val="auto"/>
          <w:spacing w:val="0"/>
          <w:sz w:val="24"/>
          <w:szCs w:val="24"/>
          <w:shd w:val="clear"/>
        </w:rPr>
      </w:pPr>
      <w:r>
        <w:rPr>
          <w:rFonts w:hint="eastAsia" w:ascii="宋体" w:hAnsi="宋体"/>
          <w:color w:val="auto"/>
          <w:sz w:val="24"/>
          <w:szCs w:val="24"/>
          <w:highlight w:val="none"/>
          <w:lang w:val="en-US" w:eastAsia="zh-CN"/>
        </w:rPr>
        <w:t>项目的必要性：</w:t>
      </w:r>
      <w:r>
        <w:rPr>
          <w:rFonts w:hint="eastAsia" w:ascii="宋体" w:hAnsi="宋体" w:eastAsia="仿宋_GB2312" w:cs="Times New Roman"/>
          <w:b w:val="0"/>
          <w:i w:val="0"/>
          <w:caps w:val="0"/>
          <w:color w:val="auto"/>
          <w:spacing w:val="0"/>
          <w:sz w:val="24"/>
          <w:szCs w:val="24"/>
          <w:shd w:val="clear"/>
        </w:rPr>
        <w:t>农村公共服务运行维护，是指对目前已建成或已运行，但尚未安排后续管护资金的村级公共服务项目进行维护。开展农村公共服务运行维护机制建设试点，是以健全村级公共服务、推进城乡基本公共服务均等化为目标，以改善农村生产生活条件为目的、以农村居民为主要服务对象，综合考虑农村公共服务需求，积极探索建立农村公共服务运行维护的支撑平台，以管促建，管建结合，为逐步建成功能完善、管理规范、运行高效的农村公共服务体系，积累经验，完善政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highlight w:val="none"/>
          <w:lang w:val="en-US" w:eastAsia="zh-CN"/>
        </w:rPr>
        <w:t>项目的可行性:为深化农村综合改革，促进公共服务进一步向经济薄弱村居延申，使各村建立净利薄弱村居公共运行维护机制，充分发挥农村公共服务机能，改善薄弱村居农民生产生活条件</w:t>
      </w:r>
      <w:r>
        <w:rPr>
          <w:rFonts w:hint="eastAsia" w:ascii="宋体" w:hAnsi="宋体" w:eastAsia="仿宋_GB2312" w:cs="Times New Roman"/>
          <w:b w:val="0"/>
          <w:i w:val="0"/>
          <w:caps w:val="0"/>
          <w:color w:val="auto"/>
          <w:spacing w:val="0"/>
          <w:sz w:val="24"/>
          <w:szCs w:val="24"/>
          <w:shd w:val="clear"/>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 xml:space="preserve">绩效目标设置情况：改善薄弱村居农民生产生活条件。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2、项目管理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highlight w:val="none"/>
          <w:lang w:val="en-US" w:eastAsia="zh-CN"/>
        </w:rPr>
      </w:pPr>
      <w:r>
        <w:rPr>
          <w:rFonts w:hint="eastAsia" w:ascii="宋体" w:hAnsi="宋体"/>
          <w:sz w:val="24"/>
          <w:szCs w:val="24"/>
          <w:highlight w:val="none"/>
          <w:lang w:val="en-US" w:eastAsia="zh-CN"/>
        </w:rPr>
        <w:t>项目资金到位情况：根据年初预算下达资金66.00万元，资金到位率100%。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highlight w:val="none"/>
          <w:lang w:val="en-US" w:eastAsia="zh-CN"/>
        </w:rPr>
      </w:pPr>
      <w:r>
        <w:rPr>
          <w:rFonts w:hint="eastAsia" w:ascii="宋体" w:hAnsi="宋体"/>
          <w:sz w:val="24"/>
          <w:szCs w:val="24"/>
          <w:highlight w:val="none"/>
          <w:lang w:val="en-US" w:eastAsia="zh-CN"/>
        </w:rPr>
        <w:t>项目资金使用情况：支付斯玛都村汛期河道清理费和村活动室维修（护）费7.00万元；支付依生村汛期河道清理及归垫2016年多支公共运行维护费等6.9752万元；支付观音村通村通组路维护6.968万元，办公费0.52345万元；支付石旁村通村通组路维护、环境整治7.00万元，办公费0.1529万元元；支付斯滔村通村通组路维护6.22万元，办公费0.4504万元；支付麦斯卡村用于通村通组路维护、河道清理维护、下农场桥锁维护6.07万元，办公费0.61235万元，合计支出41.9723万元，支付率63.59%。</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highlight w:val="none"/>
          <w:lang w:val="en-US" w:eastAsia="zh-CN"/>
        </w:rPr>
      </w:pPr>
      <w:r>
        <w:rPr>
          <w:rFonts w:hint="eastAsia" w:ascii="宋体" w:hAnsi="宋体"/>
          <w:sz w:val="24"/>
          <w:szCs w:val="24"/>
          <w:highlight w:val="none"/>
          <w:lang w:val="en-US" w:eastAsia="zh-CN"/>
        </w:rPr>
        <w:t>项目资金管理情况：项目资金严格按照《四川省基层组织活动和公共服务运行经费使用管理办法》进行管理和使用，全部用于基层组织活动、公共服务运行、日常办公运转等村务机构开展工作所必要的支出。项目资金基本上做到了专款专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3、项目绩效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按照预定进度计划已基本完成目标任务。完成目标任务率为</w:t>
      </w:r>
      <w:r>
        <w:rPr>
          <w:rFonts w:hint="eastAsia" w:ascii="宋体" w:hAnsi="宋体"/>
          <w:sz w:val="24"/>
          <w:szCs w:val="24"/>
          <w:highlight w:val="none"/>
          <w:lang w:val="en-US" w:eastAsia="zh-CN"/>
        </w:rPr>
        <w:t>63.59%</w:t>
      </w:r>
      <w:r>
        <w:rPr>
          <w:rFonts w:hint="eastAsia" w:ascii="宋体" w:hAnsi="宋体"/>
          <w:color w:val="auto"/>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该项目取得效益：该项目的实施，改善了全镇6个村基础设施条件，使老百姓生存状况明显改善，精神面貌焕然一新。推进农村社会管理创新，丰富村民精神文化生活、美化整治村内环境等方面有着深远的现实意义，创建民族团结示范村，推动各民族交往交流，促进各民族和谐共处。</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我们选择抽取了观音村、斯玛都村</w:t>
      </w:r>
      <w:r>
        <w:rPr>
          <w:rFonts w:hint="eastAsia" w:ascii="宋体" w:hAnsi="宋体"/>
          <w:sz w:val="24"/>
          <w:szCs w:val="24"/>
          <w:highlight w:val="none"/>
          <w:lang w:val="en-US" w:eastAsia="zh-CN"/>
        </w:rPr>
        <w:t>进行实地</w:t>
      </w:r>
      <w:r>
        <w:rPr>
          <w:rFonts w:hint="eastAsia" w:ascii="宋体" w:hAnsi="宋体"/>
          <w:color w:val="auto"/>
          <w:sz w:val="24"/>
          <w:szCs w:val="24"/>
          <w:highlight w:val="none"/>
          <w:lang w:val="en-US" w:eastAsia="zh-CN"/>
        </w:rPr>
        <w:t>调查；调查</w:t>
      </w:r>
      <w:r>
        <w:rPr>
          <w:rFonts w:hint="eastAsia" w:ascii="宋体" w:hAnsi="宋体"/>
          <w:sz w:val="24"/>
          <w:szCs w:val="24"/>
          <w:highlight w:val="none"/>
          <w:lang w:val="en-US" w:eastAsia="zh-CN"/>
        </w:rPr>
        <w:t>表明，该项目均已实施。</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存在主要问题</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b w:val="0"/>
          <w:bCs w:val="0"/>
          <w:color w:val="auto"/>
          <w:sz w:val="24"/>
          <w:szCs w:val="24"/>
          <w:highlight w:val="none"/>
          <w:lang w:val="en-US" w:eastAsia="zh-CN"/>
        </w:rPr>
        <w:t>项目资金使用率较低。截止2018年9月15日，观音桥镇人民政府实际收到项目资金66.00万元，实际使用项目资金</w:t>
      </w:r>
      <w:r>
        <w:rPr>
          <w:rFonts w:hint="eastAsia" w:ascii="宋体" w:hAnsi="宋体"/>
          <w:color w:val="auto"/>
          <w:sz w:val="24"/>
          <w:szCs w:val="24"/>
          <w:highlight w:val="none"/>
          <w:lang w:val="en-US" w:eastAsia="zh-CN"/>
        </w:rPr>
        <w:t>41.9723万元，项目资金使用率为63.59%。</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以拨代支。</w:t>
      </w:r>
      <w:r>
        <w:rPr>
          <w:rFonts w:hint="eastAsia" w:ascii="宋体" w:hAnsi="宋体"/>
          <w:b w:val="0"/>
          <w:bCs w:val="0"/>
          <w:color w:val="auto"/>
          <w:sz w:val="24"/>
          <w:szCs w:val="24"/>
          <w:highlight w:val="none"/>
          <w:lang w:val="en-US" w:eastAsia="zh-CN"/>
        </w:rPr>
        <w:t>截止2018年9月15日，观音桥镇人民政府已将6村办公费24.00万元全部下拨至各村委会，各村实际使用办公费1.7391万元，剩余办公费22.2609万元并未实际使用。</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相关措施建议</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lang w:val="en-US" w:eastAsia="zh-CN"/>
        </w:rPr>
      </w:pPr>
      <w:r>
        <w:rPr>
          <w:rFonts w:hint="eastAsia" w:ascii="宋体" w:hAnsi="宋体"/>
          <w:b/>
          <w:bCs/>
          <w:color w:val="auto"/>
          <w:sz w:val="24"/>
          <w:szCs w:val="24"/>
          <w:lang w:val="en-US" w:eastAsia="zh-CN"/>
        </w:rPr>
        <w:t xml:space="preserve">    </w:t>
      </w:r>
      <w:r>
        <w:rPr>
          <w:rFonts w:hint="eastAsia" w:ascii="宋体" w:hAnsi="宋体"/>
          <w:b w:val="0"/>
          <w:bCs w:val="0"/>
          <w:color w:val="auto"/>
          <w:sz w:val="24"/>
          <w:szCs w:val="24"/>
          <w:lang w:val="en-US" w:eastAsia="zh-CN"/>
        </w:rPr>
        <w:t>严格按照资金使用要求，使用范围、提供资金使用依据，保证手续齐全。</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b/>
          <w:bCs/>
          <w:color w:val="auto"/>
          <w:sz w:val="24"/>
          <w:szCs w:val="24"/>
          <w:lang w:val="en-US" w:eastAsia="zh-CN"/>
        </w:rPr>
        <w:t>本报告使用范围</w:t>
      </w:r>
      <w:r>
        <w:rPr>
          <w:rFonts w:hint="eastAsia" w:ascii="宋体" w:hAnsi="宋体"/>
          <w:b/>
          <w:bCs/>
          <w:color w:val="auto"/>
          <w:sz w:val="24"/>
          <w:szCs w:val="24"/>
          <w:lang w:val="en-US" w:eastAsia="zh-CN"/>
        </w:rPr>
        <w:br w:type="textWrapping"/>
      </w:r>
      <w:r>
        <w:rPr>
          <w:rFonts w:hint="eastAsia" w:ascii="宋体" w:hAnsi="宋体"/>
          <w:b/>
          <w:bCs/>
          <w:color w:val="auto"/>
          <w:sz w:val="24"/>
          <w:szCs w:val="24"/>
          <w:lang w:val="en-US" w:eastAsia="zh-CN"/>
        </w:rPr>
        <w:t xml:space="preserve">    </w:t>
      </w:r>
      <w:r>
        <w:rPr>
          <w:rFonts w:hint="eastAsia" w:ascii="宋体" w:hAnsi="宋体"/>
          <w:color w:val="auto"/>
          <w:sz w:val="24"/>
          <w:szCs w:val="24"/>
          <w:lang w:val="en-US" w:eastAsia="zh-CN"/>
        </w:rPr>
        <w:t>本报告是在观音桥镇人民政府所提供的现有资料基础上检查做出的结论，仅供金川县财政局了解金川县观音桥镇人民政府2017年藏区基层组织活动和公共服务运行资金绩效评价情况时使用，不作为其他用途，如因使用不当所造成的后果，与本所和签字注册会计师无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rPr>
      </w:pPr>
      <w:r>
        <w:rPr>
          <w:rFonts w:hint="eastAsia" w:ascii="宋体" w:hAnsi="宋体"/>
          <w:color w:val="auto"/>
          <w:sz w:val="24"/>
          <w:szCs w:val="24"/>
          <w:lang w:val="en-US" w:eastAsia="zh-CN"/>
        </w:rPr>
        <w:t>附件一：</w:t>
      </w:r>
      <w:r>
        <w:rPr>
          <w:rFonts w:hint="eastAsia" w:ascii="宋体" w:hAnsi="宋体"/>
          <w:color w:val="auto"/>
          <w:sz w:val="24"/>
          <w:szCs w:val="24"/>
        </w:rPr>
        <w:t>2018年阿坝州项目支出绩效评价指标体系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spacing w:line="360" w:lineRule="auto"/>
        <w:rPr>
          <w:rFonts w:hint="eastAsia" w:ascii="仿宋" w:hAnsi="仿宋" w:eastAsia="仿宋" w:cs="仿宋"/>
          <w:color w:val="auto"/>
          <w:sz w:val="24"/>
        </w:rPr>
      </w:pPr>
      <w:r>
        <w:rPr>
          <w:rFonts w:hint="eastAsia" w:ascii="仿宋" w:hAnsi="仿宋" w:eastAsia="仿宋" w:cs="仿宋"/>
          <w:bCs/>
          <w:color w:val="auto"/>
          <w:sz w:val="24"/>
        </w:rPr>
        <w:t xml:space="preserve"> </w:t>
      </w:r>
      <w:r>
        <w:rPr>
          <w:rFonts w:hint="eastAsia" w:ascii="仿宋" w:hAnsi="仿宋" w:eastAsia="仿宋" w:cs="仿宋"/>
          <w:b w:val="0"/>
          <w:bCs/>
          <w:color w:val="auto"/>
          <w:sz w:val="24"/>
        </w:rPr>
        <w:t>中兴华会计师事务所</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中国注册会计师：</w:t>
      </w:r>
    </w:p>
    <w:p>
      <w:pPr>
        <w:spacing w:line="360" w:lineRule="auto"/>
        <w:rPr>
          <w:rFonts w:hint="eastAsia" w:ascii="仿宋" w:hAnsi="仿宋" w:eastAsia="仿宋" w:cs="仿宋"/>
          <w:color w:val="auto"/>
          <w:sz w:val="24"/>
        </w:rPr>
      </w:pPr>
    </w:p>
    <w:p>
      <w:pPr>
        <w:spacing w:line="360" w:lineRule="auto"/>
        <w:rPr>
          <w:rFonts w:hint="eastAsia" w:ascii="仿宋" w:hAnsi="仿宋" w:eastAsia="仿宋" w:cs="仿宋"/>
          <w:color w:val="auto"/>
          <w:sz w:val="24"/>
        </w:rPr>
      </w:pPr>
      <w:r>
        <w:rPr>
          <w:rFonts w:hint="eastAsia" w:ascii="仿宋" w:hAnsi="仿宋" w:eastAsia="仿宋" w:cs="仿宋"/>
          <w:color w:val="auto"/>
          <w:sz w:val="24"/>
        </w:rPr>
        <w:t xml:space="preserve">   </w:t>
      </w:r>
      <w:r>
        <w:rPr>
          <w:rFonts w:hint="eastAsia" w:ascii="仿宋" w:hAnsi="仿宋" w:eastAsia="仿宋" w:cs="仿宋"/>
          <w:b w:val="0"/>
          <w:bCs/>
          <w:color w:val="auto"/>
          <w:sz w:val="24"/>
        </w:rPr>
        <w:t>（特殊普通合伙</w:t>
      </w:r>
      <w:r>
        <w:rPr>
          <w:rFonts w:hint="eastAsia" w:ascii="仿宋" w:hAnsi="仿宋" w:eastAsia="仿宋" w:cs="仿宋"/>
          <w:b w:val="0"/>
          <w:bCs/>
          <w:color w:val="auto"/>
          <w:sz w:val="24"/>
          <w:lang w:eastAsia="zh-CN"/>
        </w:rPr>
        <w:t>）</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中国注册会计师：</w:t>
      </w:r>
    </w:p>
    <w:p>
      <w:pPr>
        <w:spacing w:line="360" w:lineRule="auto"/>
        <w:rPr>
          <w:rFonts w:hint="eastAsia" w:ascii="仿宋" w:hAnsi="仿宋" w:eastAsia="仿宋" w:cs="仿宋"/>
          <w:color w:val="auto"/>
          <w:sz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rPr>
        <w:t xml:space="preserve">中国·四川·成都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报告日期：二0一</w:t>
      </w:r>
      <w:r>
        <w:rPr>
          <w:rFonts w:hint="eastAsia" w:ascii="仿宋" w:hAnsi="仿宋" w:eastAsia="仿宋" w:cs="仿宋"/>
          <w:color w:val="auto"/>
          <w:sz w:val="24"/>
          <w:lang w:eastAsia="zh-CN"/>
        </w:rPr>
        <w:t>八</w:t>
      </w:r>
      <w:r>
        <w:rPr>
          <w:rFonts w:hint="eastAsia" w:ascii="仿宋" w:hAnsi="仿宋" w:eastAsia="仿宋" w:cs="仿宋"/>
          <w:color w:val="auto"/>
          <w:sz w:val="24"/>
        </w:rPr>
        <w:t>年</w:t>
      </w:r>
      <w:r>
        <w:rPr>
          <w:rFonts w:hint="eastAsia" w:ascii="仿宋" w:hAnsi="仿宋" w:eastAsia="仿宋" w:cs="仿宋"/>
          <w:color w:val="auto"/>
          <w:sz w:val="24"/>
          <w:lang w:val="en-US" w:eastAsia="zh-CN"/>
        </w:rPr>
        <w:t>九</w:t>
      </w:r>
      <w:r>
        <w:rPr>
          <w:rFonts w:hint="eastAsia" w:ascii="仿宋" w:hAnsi="仿宋" w:eastAsia="仿宋" w:cs="仿宋"/>
          <w:color w:val="auto"/>
          <w:sz w:val="24"/>
        </w:rPr>
        <w:t>月</w:t>
      </w:r>
      <w:r>
        <w:rPr>
          <w:rFonts w:hint="eastAsia" w:ascii="仿宋" w:hAnsi="仿宋" w:eastAsia="仿宋" w:cs="仿宋"/>
          <w:color w:val="auto"/>
          <w:sz w:val="24"/>
          <w:lang w:val="en-US" w:eastAsia="zh-CN"/>
        </w:rPr>
        <w:t>十五日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3"/>
                            <w:rPr>
                              <w:rFonts w:hint="eastAsia" w:eastAsia="仿宋_GB2312"/>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3"/>
                      <w:rPr>
                        <w:rFonts w:hint="eastAsia" w:eastAsia="仿宋_GB2312"/>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0406275"/>
    <w:multiLevelType w:val="singleLevel"/>
    <w:tmpl w:val="F0406275"/>
    <w:lvl w:ilvl="0" w:tentative="0">
      <w:start w:val="1"/>
      <w:numFmt w:val="decimal"/>
      <w:suff w:val="nothing"/>
      <w:lvlText w:val="%1、"/>
      <w:lvlJc w:val="left"/>
    </w:lvl>
  </w:abstractNum>
  <w:abstractNum w:abstractNumId="1">
    <w:nsid w:val="1F11FB74"/>
    <w:multiLevelType w:val="singleLevel"/>
    <w:tmpl w:val="1F11FB74"/>
    <w:lvl w:ilvl="0" w:tentative="0">
      <w:start w:val="1"/>
      <w:numFmt w:val="chineseCounting"/>
      <w:suff w:val="nothing"/>
      <w:lvlText w:val="（%1）"/>
      <w:lvlJc w:val="left"/>
      <w:rPr>
        <w:rFonts w:hint="eastAsia"/>
      </w:rPr>
    </w:lvl>
  </w:abstractNum>
  <w:abstractNum w:abstractNumId="2">
    <w:nsid w:val="4115B164"/>
    <w:multiLevelType w:val="singleLevel"/>
    <w:tmpl w:val="4115B164"/>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37A7D"/>
    <w:rsid w:val="031A3999"/>
    <w:rsid w:val="05031C78"/>
    <w:rsid w:val="052B36C2"/>
    <w:rsid w:val="06D10598"/>
    <w:rsid w:val="094272B4"/>
    <w:rsid w:val="09633B32"/>
    <w:rsid w:val="0AB50483"/>
    <w:rsid w:val="0B5F77F5"/>
    <w:rsid w:val="0BEA2B92"/>
    <w:rsid w:val="0CB253DE"/>
    <w:rsid w:val="0CC56D5E"/>
    <w:rsid w:val="0CE80B6D"/>
    <w:rsid w:val="0D0628B6"/>
    <w:rsid w:val="0D2C0807"/>
    <w:rsid w:val="0D58510D"/>
    <w:rsid w:val="0D9A2FD3"/>
    <w:rsid w:val="0E34060C"/>
    <w:rsid w:val="0EB56BD9"/>
    <w:rsid w:val="0EDC08F5"/>
    <w:rsid w:val="0FBC4412"/>
    <w:rsid w:val="10F710BF"/>
    <w:rsid w:val="11944CAD"/>
    <w:rsid w:val="127F0594"/>
    <w:rsid w:val="128A0EBC"/>
    <w:rsid w:val="12F73558"/>
    <w:rsid w:val="14D10011"/>
    <w:rsid w:val="159D1AF1"/>
    <w:rsid w:val="18D325DB"/>
    <w:rsid w:val="19C51B42"/>
    <w:rsid w:val="1A82591E"/>
    <w:rsid w:val="1A851A5C"/>
    <w:rsid w:val="1C2E58C4"/>
    <w:rsid w:val="1C6322F0"/>
    <w:rsid w:val="1D891440"/>
    <w:rsid w:val="1E074D0D"/>
    <w:rsid w:val="1F0A50CB"/>
    <w:rsid w:val="1F104BB8"/>
    <w:rsid w:val="2029040B"/>
    <w:rsid w:val="205334A4"/>
    <w:rsid w:val="20584EEA"/>
    <w:rsid w:val="20B72A2D"/>
    <w:rsid w:val="231F61E2"/>
    <w:rsid w:val="23744A53"/>
    <w:rsid w:val="23E942AD"/>
    <w:rsid w:val="263D173A"/>
    <w:rsid w:val="27936303"/>
    <w:rsid w:val="283A4A5F"/>
    <w:rsid w:val="288708B1"/>
    <w:rsid w:val="28EC77C6"/>
    <w:rsid w:val="2A2C6006"/>
    <w:rsid w:val="2A856635"/>
    <w:rsid w:val="2A8D509E"/>
    <w:rsid w:val="2BA82907"/>
    <w:rsid w:val="2E535FC9"/>
    <w:rsid w:val="2ED91B81"/>
    <w:rsid w:val="2F8809D3"/>
    <w:rsid w:val="33F969DA"/>
    <w:rsid w:val="34EA4C26"/>
    <w:rsid w:val="36293B42"/>
    <w:rsid w:val="366426A0"/>
    <w:rsid w:val="36F81653"/>
    <w:rsid w:val="391E5B37"/>
    <w:rsid w:val="39E93C9F"/>
    <w:rsid w:val="3B19278D"/>
    <w:rsid w:val="3B655154"/>
    <w:rsid w:val="3B7F4CBC"/>
    <w:rsid w:val="3C2A22D4"/>
    <w:rsid w:val="3CEF6BB3"/>
    <w:rsid w:val="3DB108B6"/>
    <w:rsid w:val="3DF206DA"/>
    <w:rsid w:val="3F3776C3"/>
    <w:rsid w:val="3F6939C3"/>
    <w:rsid w:val="410601B3"/>
    <w:rsid w:val="41E12E92"/>
    <w:rsid w:val="42D577B0"/>
    <w:rsid w:val="43006BCF"/>
    <w:rsid w:val="48D907FF"/>
    <w:rsid w:val="4A105772"/>
    <w:rsid w:val="4C523BC0"/>
    <w:rsid w:val="4CCB307D"/>
    <w:rsid w:val="4DB95AF1"/>
    <w:rsid w:val="4ECD4FD0"/>
    <w:rsid w:val="4EFC2404"/>
    <w:rsid w:val="4FF05E95"/>
    <w:rsid w:val="516619BC"/>
    <w:rsid w:val="51D072D7"/>
    <w:rsid w:val="52B913AA"/>
    <w:rsid w:val="532323C6"/>
    <w:rsid w:val="53A10845"/>
    <w:rsid w:val="540B3EAB"/>
    <w:rsid w:val="56C75818"/>
    <w:rsid w:val="56FE3473"/>
    <w:rsid w:val="58997233"/>
    <w:rsid w:val="58CA2B2F"/>
    <w:rsid w:val="59495D47"/>
    <w:rsid w:val="5D063025"/>
    <w:rsid w:val="5D7D6A2F"/>
    <w:rsid w:val="5D9E2371"/>
    <w:rsid w:val="5E4C4C21"/>
    <w:rsid w:val="5E9B1791"/>
    <w:rsid w:val="5EE026F7"/>
    <w:rsid w:val="606B736F"/>
    <w:rsid w:val="6150132B"/>
    <w:rsid w:val="6220518E"/>
    <w:rsid w:val="62287D9C"/>
    <w:rsid w:val="62C56CE3"/>
    <w:rsid w:val="63B70CF1"/>
    <w:rsid w:val="65341C7A"/>
    <w:rsid w:val="65814E01"/>
    <w:rsid w:val="665F1DD7"/>
    <w:rsid w:val="68DD3313"/>
    <w:rsid w:val="69971BFE"/>
    <w:rsid w:val="6AB26AF5"/>
    <w:rsid w:val="6BC363D3"/>
    <w:rsid w:val="6C12360D"/>
    <w:rsid w:val="6D95188D"/>
    <w:rsid w:val="6DF75DF9"/>
    <w:rsid w:val="6E1225B9"/>
    <w:rsid w:val="6E621AAC"/>
    <w:rsid w:val="6FAF2D2E"/>
    <w:rsid w:val="6FC12491"/>
    <w:rsid w:val="70CD3BA7"/>
    <w:rsid w:val="71A54E2E"/>
    <w:rsid w:val="72CD5043"/>
    <w:rsid w:val="738F4450"/>
    <w:rsid w:val="74031A23"/>
    <w:rsid w:val="74CF000B"/>
    <w:rsid w:val="7546176A"/>
    <w:rsid w:val="775326D0"/>
    <w:rsid w:val="77DA18BC"/>
    <w:rsid w:val="790528BB"/>
    <w:rsid w:val="797E5642"/>
    <w:rsid w:val="79C4282A"/>
    <w:rsid w:val="7AE14BF2"/>
    <w:rsid w:val="7B1677D9"/>
    <w:rsid w:val="7B1D6A2D"/>
    <w:rsid w:val="7B5452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FollowedHyperlink"/>
    <w:basedOn w:val="6"/>
    <w:qFormat/>
    <w:uiPriority w:val="0"/>
    <w:rPr>
      <w:color w:val="323232"/>
      <w:u w:val="none"/>
    </w:rPr>
  </w:style>
  <w:style w:type="character" w:styleId="8">
    <w:name w:val="Hyperlink"/>
    <w:basedOn w:val="6"/>
    <w:qFormat/>
    <w:uiPriority w:val="0"/>
    <w:rPr>
      <w:color w:val="323232"/>
      <w:u w:val="none"/>
    </w:rPr>
  </w:style>
  <w:style w:type="character" w:customStyle="1" w:styleId="10">
    <w:name w:val="bsharetext"/>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孙东华</dc:creator>
  <cp:lastModifiedBy>po</cp:lastModifiedBy>
  <dcterms:modified xsi:type="dcterms:W3CDTF">2018-10-23T03:22:48Z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