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四川省阿坝州金川县扶贫和移民局</w:t>
      </w:r>
    </w:p>
    <w:p>
      <w:pPr>
        <w:spacing w:line="940" w:lineRule="atLeast"/>
        <w:jc w:val="center"/>
        <w:rPr>
          <w:rFonts w:hint="eastAsia" w:ascii="华文行楷" w:hAnsi="华文行楷" w:eastAsia="华文行楷" w:cs="华文行楷"/>
          <w:b/>
          <w:color w:val="auto"/>
          <w:sz w:val="52"/>
          <w:szCs w:val="52"/>
        </w:rPr>
      </w:pPr>
      <w:r>
        <w:rPr>
          <w:rFonts w:hint="eastAsia" w:ascii="华文行楷" w:hAnsi="华文行楷" w:eastAsia="华文行楷" w:cs="华文行楷"/>
          <w:b/>
          <w:color w:val="auto"/>
          <w:sz w:val="52"/>
          <w:szCs w:val="52"/>
        </w:rPr>
        <w:t>2017年中央和省级财政扶贫资金</w:t>
      </w:r>
      <w:r>
        <w:rPr>
          <w:rFonts w:hint="eastAsia" w:ascii="华文行楷" w:hAnsi="华文行楷" w:eastAsia="华文行楷" w:cs="华文行楷"/>
          <w:b/>
          <w:color w:val="auto"/>
          <w:sz w:val="52"/>
          <w:szCs w:val="52"/>
          <w:lang w:val="en-US" w:eastAsia="zh-CN"/>
        </w:rPr>
        <w:t>绩效评价</w:t>
      </w:r>
      <w:r>
        <w:rPr>
          <w:rFonts w:hint="eastAsia" w:ascii="华文行楷" w:hAnsi="华文行楷" w:eastAsia="华文行楷" w:cs="华文行楷"/>
          <w:b/>
          <w:color w:val="auto"/>
          <w:sz w:val="52"/>
          <w:szCs w:val="52"/>
        </w:rPr>
        <w:t>报告书</w:t>
      </w:r>
    </w:p>
    <w:p>
      <w:pPr>
        <w:spacing w:line="800" w:lineRule="atLeast"/>
        <w:jc w:val="center"/>
        <w:rPr>
          <w:rFonts w:hint="eastAsia" w:ascii="Arial" w:hAnsi="Arial" w:eastAsia="华文新魏" w:cs="Arial"/>
          <w:color w:val="auto"/>
          <w:sz w:val="48"/>
        </w:rPr>
      </w:pPr>
    </w:p>
    <w:p>
      <w:pPr>
        <w:tabs>
          <w:tab w:val="left" w:pos="1468"/>
        </w:tabs>
        <w:spacing w:line="800" w:lineRule="atLeast"/>
        <w:jc w:val="left"/>
        <w:rPr>
          <w:rFonts w:hint="eastAsia" w:ascii="Arial" w:hAnsi="Arial" w:eastAsia="华文新魏" w:cs="Arial"/>
          <w:color w:val="auto"/>
          <w:sz w:val="48"/>
          <w:lang w:eastAsia="zh-CN"/>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r>
        <w:rPr>
          <w:rFonts w:ascii="隶书" w:hAnsi="Courier New" w:eastAsia="隶书"/>
          <w:color w:val="auto"/>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rPr>
          <w:rFonts w:hint="eastAsia"/>
          <w:color w:val="auto"/>
        </w:rPr>
      </w:pPr>
    </w:p>
    <w:p>
      <w:pPr>
        <w:jc w:val="center"/>
        <w:rPr>
          <w:rFonts w:hint="eastAsia" w:eastAsia="华文行楷"/>
          <w:b/>
          <w:bCs/>
          <w:color w:val="auto"/>
          <w:sz w:val="44"/>
        </w:rPr>
      </w:pPr>
      <w:r>
        <w:rPr>
          <w:rFonts w:hint="eastAsia" w:eastAsia="华文行楷"/>
          <w:b/>
          <w:bCs/>
          <w:color w:val="auto"/>
          <w:sz w:val="44"/>
        </w:rPr>
        <w:t>中兴华会计师事务所(特殊普通合伙)</w:t>
      </w:r>
    </w:p>
    <w:p>
      <w:pPr>
        <w:jc w:val="center"/>
        <w:rPr>
          <w:rFonts w:hint="eastAsia"/>
          <w:color w:val="auto"/>
          <w:sz w:val="28"/>
        </w:rPr>
      </w:pPr>
      <w:r>
        <w:rPr>
          <w:rFonts w:hint="eastAsia"/>
          <w:color w:val="auto"/>
          <w:sz w:val="28"/>
        </w:rPr>
        <w:t>ZHONGXINGHAU CERTIFIED PUBLIC ACCOUNTANTS LLP</w:t>
      </w:r>
    </w:p>
    <w:p>
      <w:pPr>
        <w:spacing w:line="160" w:lineRule="exact"/>
        <w:rPr>
          <w:rFonts w:ascii="黑体" w:eastAsia="黑体"/>
          <w:color w:val="auto"/>
          <w:w w:val="90"/>
          <w:sz w:val="28"/>
        </w:rPr>
      </w:pPr>
    </w:p>
    <w:p>
      <w:pPr>
        <w:spacing w:line="600" w:lineRule="atLeast"/>
        <w:rPr>
          <w:rFonts w:hint="eastAsia" w:ascii="黑体" w:eastAsia="黑体"/>
          <w:color w:val="auto"/>
          <w:w w:val="90"/>
          <w:sz w:val="28"/>
        </w:rPr>
      </w:pPr>
      <w:r>
        <w:rPr>
          <w:rFonts w:hint="eastAsia" w:ascii="黑体" w:eastAsia="黑体"/>
          <w:color w:val="auto"/>
          <w:w w:val="90"/>
          <w:sz w:val="28"/>
        </w:rPr>
        <w:t>地址：</w:t>
      </w:r>
      <w:r>
        <w:rPr>
          <w:rFonts w:hint="eastAsia" w:ascii="黑体" w:eastAsia="黑体"/>
          <w:color w:val="auto"/>
          <w:w w:val="90"/>
          <w:sz w:val="28"/>
          <w:lang w:eastAsia="zh-CN"/>
        </w:rPr>
        <w:t>成都市金牛区蜀西路</w:t>
      </w:r>
      <w:r>
        <w:rPr>
          <w:rFonts w:hint="eastAsia" w:ascii="黑体" w:eastAsia="黑体"/>
          <w:color w:val="auto"/>
          <w:w w:val="90"/>
          <w:sz w:val="28"/>
          <w:lang w:val="en-US" w:eastAsia="zh-CN"/>
        </w:rPr>
        <w:t>49号盛大国际3幢4楼401</w:t>
      </w:r>
      <w:r>
        <w:rPr>
          <w:rFonts w:hint="eastAsia" w:ascii="黑体" w:eastAsia="黑体"/>
          <w:color w:val="auto"/>
          <w:w w:val="90"/>
          <w:sz w:val="28"/>
        </w:rPr>
        <w:t xml:space="preserve"> </w:t>
      </w:r>
      <w:r>
        <w:rPr>
          <w:rFonts w:ascii="黑体" w:eastAsia="黑体"/>
          <w:color w:val="auto"/>
          <w:w w:val="90"/>
          <w:sz w:val="24"/>
        </w:rPr>
        <w:t xml:space="preserve"> </w:t>
      </w:r>
      <w:r>
        <w:rPr>
          <w:rFonts w:hint="eastAsia" w:ascii="黑体" w:eastAsia="黑体"/>
          <w:color w:val="auto"/>
          <w:w w:val="90"/>
          <w:sz w:val="24"/>
        </w:rPr>
        <w:t xml:space="preserve">    </w:t>
      </w:r>
      <w:r>
        <w:rPr>
          <w:rFonts w:ascii="黑体" w:eastAsia="黑体"/>
          <w:color w:val="auto"/>
          <w:w w:val="90"/>
          <w:sz w:val="24"/>
        </w:rPr>
        <w:t xml:space="preserve"> </w:t>
      </w:r>
      <w:r>
        <w:rPr>
          <w:rFonts w:ascii="黑体" w:eastAsia="黑体"/>
          <w:color w:val="auto"/>
          <w:w w:val="90"/>
          <w:sz w:val="28"/>
        </w:rPr>
        <w:t xml:space="preserve"> </w:t>
      </w:r>
      <w:r>
        <w:rPr>
          <w:rFonts w:hint="eastAsia" w:ascii="黑体" w:eastAsia="黑体"/>
          <w:color w:val="auto"/>
          <w:w w:val="90"/>
          <w:sz w:val="28"/>
        </w:rPr>
        <w:t>邮编：</w:t>
      </w:r>
      <w:r>
        <w:rPr>
          <w:rFonts w:hint="eastAsia" w:ascii="黑体" w:eastAsia="黑体"/>
          <w:color w:val="auto"/>
          <w:w w:val="90"/>
          <w:sz w:val="28"/>
          <w:lang w:val="en-US" w:eastAsia="zh-CN"/>
        </w:rPr>
        <w:t>610037</w:t>
      </w:r>
    </w:p>
    <w:p>
      <w:pPr>
        <w:snapToGrid/>
        <w:spacing w:line="600" w:lineRule="atLeast"/>
        <w:jc w:val="both"/>
        <w:rPr>
          <w:rFonts w:hint="eastAsia" w:ascii="宋体" w:hAnsi="宋体" w:eastAsia="宋体"/>
          <w:b/>
          <w:color w:val="auto"/>
          <w:sz w:val="28"/>
          <w:szCs w:val="30"/>
        </w:rPr>
      </w:pPr>
      <w:r>
        <w:rPr>
          <w:rFonts w:hint="eastAsia" w:ascii="黑体" w:eastAsia="黑体"/>
          <w:color w:val="auto"/>
          <w:w w:val="90"/>
          <w:sz w:val="28"/>
        </w:rPr>
        <w:t>电话：</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87779320</w:t>
      </w:r>
      <w:r>
        <w:rPr>
          <w:rFonts w:hint="eastAsia" w:ascii="黑体" w:eastAsia="黑体"/>
          <w:color w:val="auto"/>
          <w:w w:val="90"/>
          <w:sz w:val="28"/>
          <w:lang w:val="en-US" w:eastAsia="zh-CN"/>
        </w:rPr>
        <w:t>\18190919202</w:t>
      </w:r>
      <w:r>
        <w:rPr>
          <w:rFonts w:ascii="黑体" w:eastAsia="黑体"/>
          <w:color w:val="auto"/>
          <w:w w:val="90"/>
          <w:sz w:val="28"/>
        </w:rPr>
        <w:t xml:space="preserve">         </w:t>
      </w:r>
      <w:r>
        <w:rPr>
          <w:rFonts w:hint="eastAsia" w:ascii="黑体" w:eastAsia="黑体"/>
          <w:color w:val="auto"/>
          <w:w w:val="90"/>
          <w:sz w:val="28"/>
        </w:rPr>
        <w:t xml:space="preserve"> </w:t>
      </w:r>
      <w:r>
        <w:rPr>
          <w:rFonts w:ascii="黑体" w:eastAsia="黑体"/>
          <w:color w:val="auto"/>
          <w:w w:val="90"/>
          <w:sz w:val="28"/>
        </w:rPr>
        <w:t xml:space="preserve">   </w:t>
      </w:r>
      <w:r>
        <w:rPr>
          <w:rFonts w:hint="eastAsia" w:ascii="黑体" w:eastAsia="黑体"/>
          <w:color w:val="auto"/>
          <w:w w:val="90"/>
          <w:sz w:val="28"/>
        </w:rPr>
        <w:t xml:space="preserve">   传真：</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87776280</w:t>
      </w:r>
    </w:p>
    <w:p>
      <w:pPr>
        <w:snapToGrid w:val="0"/>
        <w:spacing w:line="400" w:lineRule="exact"/>
        <w:jc w:val="both"/>
        <w:rPr>
          <w:rFonts w:hint="eastAsia" w:ascii="宋体" w:hAnsi="宋体" w:eastAsia="宋体"/>
          <w:b/>
          <w:color w:val="auto"/>
          <w:sz w:val="36"/>
          <w:szCs w:val="36"/>
          <w:lang w:val="en-US" w:eastAsia="zh-CN"/>
        </w:rPr>
      </w:pPr>
    </w:p>
    <w:p>
      <w:pPr>
        <w:snapToGrid w:val="0"/>
        <w:spacing w:line="400" w:lineRule="exact"/>
        <w:jc w:val="center"/>
        <w:rPr>
          <w:rFonts w:hint="eastAsia" w:ascii="宋体" w:hAnsi="宋体" w:eastAsia="宋体"/>
          <w:b/>
          <w:color w:val="auto"/>
          <w:sz w:val="36"/>
          <w:szCs w:val="36"/>
          <w:lang w:val="en-US" w:eastAsia="zh-CN"/>
        </w:rPr>
      </w:pPr>
    </w:p>
    <w:p>
      <w:pPr>
        <w:snapToGrid w:val="0"/>
        <w:spacing w:line="400" w:lineRule="exact"/>
        <w:jc w:val="center"/>
        <w:rPr>
          <w:rFonts w:hint="eastAsia" w:ascii="宋体" w:hAnsi="宋体" w:eastAsia="宋体"/>
          <w:b/>
          <w:color w:val="auto"/>
          <w:sz w:val="36"/>
          <w:szCs w:val="36"/>
          <w:lang w:val="en-US" w:eastAsia="zh-CN"/>
        </w:rPr>
      </w:pPr>
      <w:r>
        <w:rPr>
          <w:rFonts w:hint="eastAsia" w:ascii="宋体" w:hAnsi="宋体" w:eastAsia="宋体"/>
          <w:b/>
          <w:color w:val="auto"/>
          <w:sz w:val="36"/>
          <w:szCs w:val="36"/>
          <w:lang w:val="en-US" w:eastAsia="zh-CN"/>
        </w:rPr>
        <w:t>金川县扶贫和移民工作局</w:t>
      </w:r>
    </w:p>
    <w:p>
      <w:pPr>
        <w:snapToGrid w:val="0"/>
        <w:spacing w:line="400" w:lineRule="exact"/>
        <w:jc w:val="center"/>
        <w:rPr>
          <w:rFonts w:ascii="宋体" w:hAnsi="宋体" w:eastAsia="宋体"/>
          <w:b/>
          <w:color w:val="auto"/>
          <w:sz w:val="36"/>
          <w:szCs w:val="36"/>
        </w:rPr>
      </w:pPr>
      <w:r>
        <w:rPr>
          <w:rFonts w:hint="eastAsia" w:ascii="宋体" w:hAnsi="宋体" w:eastAsia="宋体"/>
          <w:b/>
          <w:color w:val="auto"/>
          <w:sz w:val="36"/>
          <w:szCs w:val="36"/>
          <w:lang w:val="en-US" w:eastAsia="zh-CN"/>
        </w:rPr>
        <w:t>2017年中央和省级财政扶贫资金</w:t>
      </w:r>
      <w:r>
        <w:rPr>
          <w:rFonts w:ascii="宋体" w:hAnsi="宋体" w:eastAsia="宋体"/>
          <w:b/>
          <w:color w:val="auto"/>
          <w:sz w:val="36"/>
          <w:szCs w:val="36"/>
        </w:rPr>
        <w:t>绩效</w:t>
      </w:r>
      <w:r>
        <w:rPr>
          <w:rFonts w:hint="eastAsia" w:ascii="宋体" w:hAnsi="宋体" w:eastAsia="宋体"/>
          <w:b/>
          <w:color w:val="auto"/>
          <w:sz w:val="36"/>
          <w:szCs w:val="36"/>
        </w:rPr>
        <w:t>评价</w:t>
      </w:r>
      <w:r>
        <w:rPr>
          <w:rFonts w:ascii="宋体" w:hAnsi="宋体" w:eastAsia="宋体"/>
          <w:b/>
          <w:color w:val="auto"/>
          <w:sz w:val="36"/>
          <w:szCs w:val="36"/>
        </w:rPr>
        <w:t>报告</w:t>
      </w:r>
    </w:p>
    <w:p>
      <w:pPr>
        <w:spacing w:line="578" w:lineRule="exact"/>
        <w:jc w:val="both"/>
        <w:rPr>
          <w:rFonts w:hint="eastAsia" w:ascii="宋体" w:hAnsi="宋体" w:eastAsia="仿宋_GB2312"/>
          <w:b/>
          <w:bCs/>
          <w:color w:val="auto"/>
          <w:sz w:val="24"/>
          <w:szCs w:val="24"/>
          <w:lang w:val="en-US" w:eastAsia="zh-CN"/>
        </w:rPr>
      </w:pPr>
      <w:r>
        <w:rPr>
          <w:rFonts w:hint="eastAsia" w:ascii="宋体" w:hAnsi="宋体"/>
          <w:b/>
          <w:bCs/>
          <w:color w:val="auto"/>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r>
        <w:rPr>
          <w:rFonts w:hint="eastAsia" w:ascii="宋体" w:hAnsi="宋体"/>
          <w:color w:val="auto"/>
          <w:sz w:val="24"/>
          <w:szCs w:val="24"/>
        </w:rPr>
        <w:t>我们接受委托，对</w:t>
      </w:r>
      <w:r>
        <w:rPr>
          <w:rFonts w:hint="eastAsia" w:ascii="宋体" w:hAnsi="宋体"/>
          <w:color w:val="auto"/>
          <w:sz w:val="24"/>
          <w:szCs w:val="24"/>
          <w:lang w:val="en-US" w:eastAsia="zh-CN"/>
        </w:rPr>
        <w:t>金川县扶贫和移民工作局“</w:t>
      </w:r>
      <w:r>
        <w:rPr>
          <w:rFonts w:hint="eastAsia" w:ascii="宋体" w:hAnsi="宋体"/>
          <w:color w:val="auto"/>
          <w:sz w:val="24"/>
          <w:szCs w:val="24"/>
        </w:rPr>
        <w:t>关于</w:t>
      </w:r>
      <w:r>
        <w:rPr>
          <w:rFonts w:hint="eastAsia" w:ascii="宋体" w:hAnsi="宋体"/>
          <w:color w:val="auto"/>
          <w:sz w:val="24"/>
          <w:szCs w:val="24"/>
          <w:lang w:val="en-US" w:eastAsia="zh-CN"/>
        </w:rPr>
        <w:t>2017年中央和省级财政扶贫资金”</w:t>
      </w:r>
      <w:r>
        <w:rPr>
          <w:rFonts w:hint="eastAsia" w:ascii="宋体" w:hAnsi="宋体"/>
          <w:color w:val="auto"/>
          <w:sz w:val="24"/>
          <w:szCs w:val="24"/>
        </w:rPr>
        <w:t>(以下简称“该项目</w:t>
      </w:r>
      <w:r>
        <w:rPr>
          <w:rFonts w:hint="eastAsia" w:ascii="宋体" w:hAnsi="宋体"/>
          <w:color w:val="auto"/>
          <w:sz w:val="24"/>
          <w:szCs w:val="24"/>
          <w:lang w:val="en-US" w:eastAsia="zh-CN"/>
        </w:rPr>
        <w:t>或项目</w:t>
      </w:r>
      <w:r>
        <w:rPr>
          <w:rFonts w:hint="eastAsia" w:ascii="宋体" w:hAnsi="宋体"/>
          <w:color w:val="auto"/>
          <w:sz w:val="24"/>
          <w:szCs w:val="24"/>
        </w:rPr>
        <w:t>”)</w:t>
      </w:r>
      <w:r>
        <w:rPr>
          <w:rFonts w:hint="eastAsia" w:ascii="宋体" w:hAnsi="宋体"/>
          <w:color w:val="auto"/>
          <w:sz w:val="24"/>
          <w:szCs w:val="24"/>
          <w:lang w:val="en-US" w:eastAsia="zh-CN"/>
        </w:rPr>
        <w:t>进行了绩效评价。</w:t>
      </w:r>
      <w:r>
        <w:rPr>
          <w:rFonts w:hint="eastAsia" w:ascii="宋体" w:hAnsi="宋体"/>
          <w:color w:val="auto"/>
          <w:sz w:val="24"/>
          <w:szCs w:val="24"/>
        </w:rPr>
        <w:t>提供该项目有关</w:t>
      </w:r>
      <w:r>
        <w:rPr>
          <w:rFonts w:ascii="宋体" w:hAnsi="宋体"/>
          <w:color w:val="auto"/>
          <w:sz w:val="24"/>
          <w:szCs w:val="24"/>
        </w:rPr>
        <w:t>的真实、合法、完整</w:t>
      </w:r>
      <w:r>
        <w:rPr>
          <w:rFonts w:hint="eastAsia" w:ascii="宋体" w:hAnsi="宋体"/>
          <w:color w:val="auto"/>
          <w:sz w:val="24"/>
          <w:szCs w:val="24"/>
          <w:lang w:val="zh-CN"/>
        </w:rPr>
        <w:t>的专项</w:t>
      </w:r>
      <w:r>
        <w:rPr>
          <w:rFonts w:hint="eastAsia" w:ascii="宋体" w:hAnsi="宋体"/>
          <w:color w:val="auto"/>
          <w:sz w:val="24"/>
          <w:szCs w:val="24"/>
        </w:rPr>
        <w:t>资金</w:t>
      </w:r>
      <w:r>
        <w:rPr>
          <w:rFonts w:hint="eastAsia" w:ascii="宋体" w:hAnsi="宋体"/>
          <w:color w:val="auto"/>
          <w:sz w:val="24"/>
          <w:szCs w:val="24"/>
          <w:lang w:val="zh-CN"/>
        </w:rPr>
        <w:t>收支的财务资料以及相关的文件</w:t>
      </w:r>
      <w:r>
        <w:rPr>
          <w:rFonts w:ascii="宋体" w:hAnsi="宋体"/>
          <w:color w:val="auto"/>
          <w:sz w:val="24"/>
          <w:szCs w:val="24"/>
        </w:rPr>
        <w:t>是</w:t>
      </w:r>
      <w:r>
        <w:rPr>
          <w:rFonts w:hint="eastAsia" w:ascii="宋体" w:hAnsi="宋体"/>
          <w:color w:val="auto"/>
          <w:sz w:val="24"/>
          <w:szCs w:val="24"/>
          <w:lang w:val="en-US" w:eastAsia="zh-CN"/>
        </w:rPr>
        <w:t>金川县扶贫和移民工作局的</w:t>
      </w:r>
      <w:r>
        <w:rPr>
          <w:rFonts w:ascii="宋体" w:hAnsi="宋体"/>
          <w:color w:val="auto"/>
          <w:sz w:val="24"/>
          <w:szCs w:val="24"/>
        </w:rPr>
        <w:t>的责任，我们的责任</w:t>
      </w:r>
      <w:r>
        <w:rPr>
          <w:rFonts w:hint="eastAsia" w:ascii="宋体" w:hAnsi="宋体"/>
          <w:color w:val="auto"/>
          <w:sz w:val="24"/>
          <w:szCs w:val="24"/>
        </w:rPr>
        <w:t>是</w:t>
      </w:r>
      <w:r>
        <w:rPr>
          <w:rFonts w:ascii="宋体" w:hAnsi="宋体"/>
          <w:color w:val="auto"/>
          <w:sz w:val="24"/>
          <w:szCs w:val="24"/>
        </w:rPr>
        <w:t>本着独立、客观、公正的原则，在实施必要</w:t>
      </w:r>
      <w:r>
        <w:rPr>
          <w:rFonts w:hint="eastAsia" w:ascii="宋体" w:hAnsi="宋体"/>
          <w:color w:val="auto"/>
          <w:sz w:val="24"/>
          <w:szCs w:val="24"/>
        </w:rPr>
        <w:t>评价</w:t>
      </w:r>
      <w:r>
        <w:rPr>
          <w:rFonts w:ascii="宋体" w:hAnsi="宋体"/>
          <w:color w:val="auto"/>
          <w:sz w:val="24"/>
          <w:szCs w:val="24"/>
        </w:rPr>
        <w:t>程序的基础上发表</w:t>
      </w:r>
      <w:r>
        <w:rPr>
          <w:rFonts w:hint="eastAsia" w:ascii="宋体" w:hAnsi="宋体"/>
          <w:color w:val="auto"/>
          <w:sz w:val="24"/>
          <w:szCs w:val="24"/>
        </w:rPr>
        <w:t>评价</w:t>
      </w:r>
      <w:r>
        <w:rPr>
          <w:rFonts w:ascii="宋体" w:hAnsi="宋体"/>
          <w:color w:val="auto"/>
          <w:sz w:val="24"/>
          <w:szCs w:val="24"/>
        </w:rPr>
        <w:t>意见。</w:t>
      </w:r>
      <w:r>
        <w:rPr>
          <w:rFonts w:hint="eastAsia" w:ascii="宋体" w:hAnsi="宋体"/>
          <w:color w:val="auto"/>
          <w:sz w:val="24"/>
          <w:szCs w:val="24"/>
        </w:rPr>
        <w:t>我们的评价是依据财政部《财政支出绩效评价管理暂行办法》(财预〔2011〕285号）</w:t>
      </w:r>
      <w:r>
        <w:rPr>
          <w:rFonts w:hint="eastAsia" w:ascii="宋体" w:hAnsi="宋体"/>
          <w:color w:val="auto"/>
          <w:sz w:val="24"/>
          <w:szCs w:val="24"/>
          <w:lang w:val="en-US" w:eastAsia="zh-CN"/>
        </w:rPr>
        <w:t>和四川省财政厅《关于四川省财政支出绩效评价操作规程（试行）》（川财绩</w:t>
      </w:r>
      <w:r>
        <w:rPr>
          <w:rFonts w:hint="eastAsia" w:ascii="宋体" w:hAnsi="宋体"/>
          <w:color w:val="auto"/>
          <w:sz w:val="24"/>
          <w:szCs w:val="24"/>
        </w:rPr>
        <w:t>〔201</w:t>
      </w:r>
      <w:r>
        <w:rPr>
          <w:rFonts w:hint="eastAsia" w:ascii="宋体" w:hAnsi="宋体"/>
          <w:color w:val="auto"/>
          <w:sz w:val="24"/>
          <w:szCs w:val="24"/>
          <w:lang w:val="en-US" w:eastAsia="zh-CN"/>
        </w:rPr>
        <w:t>8</w:t>
      </w:r>
      <w:r>
        <w:rPr>
          <w:rFonts w:hint="eastAsia" w:ascii="宋体" w:hAnsi="宋体"/>
          <w:color w:val="auto"/>
          <w:sz w:val="24"/>
          <w:szCs w:val="24"/>
        </w:rPr>
        <w:t>〕</w:t>
      </w:r>
      <w:r>
        <w:rPr>
          <w:rFonts w:hint="eastAsia" w:ascii="宋体" w:hAnsi="宋体"/>
          <w:color w:val="auto"/>
          <w:sz w:val="24"/>
          <w:szCs w:val="24"/>
          <w:lang w:val="en-US" w:eastAsia="zh-CN"/>
        </w:rPr>
        <w:t>2号）</w:t>
      </w:r>
      <w:r>
        <w:rPr>
          <w:rFonts w:hint="eastAsia" w:ascii="宋体" w:hAnsi="宋体"/>
          <w:color w:val="auto"/>
          <w:sz w:val="24"/>
          <w:szCs w:val="24"/>
          <w:highlight w:val="none"/>
          <w:lang w:val="en-US" w:eastAsia="zh-CN"/>
        </w:rPr>
        <w:t>《金川县财政专项扶贫资金管理办法》</w:t>
      </w:r>
      <w:r>
        <w:rPr>
          <w:rFonts w:hint="eastAsia" w:ascii="宋体" w:hAnsi="宋体"/>
          <w:color w:val="auto"/>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olor w:val="auto"/>
          <w:sz w:val="24"/>
          <w:szCs w:val="24"/>
        </w:rPr>
      </w:pPr>
      <w:r>
        <w:rPr>
          <w:rFonts w:hint="eastAsia" w:ascii="宋体" w:hAnsi="宋体"/>
          <w:color w:val="auto"/>
          <w:sz w:val="24"/>
          <w:szCs w:val="24"/>
        </w:rPr>
        <w:t>在评价过程中，我们结合该项目的实际情况，实施了包括检查会计记录、</w:t>
      </w:r>
      <w:r>
        <w:rPr>
          <w:rFonts w:hint="eastAsia" w:ascii="宋体" w:hAnsi="宋体"/>
          <w:color w:val="auto"/>
          <w:sz w:val="24"/>
          <w:szCs w:val="24"/>
          <w:lang w:val="en-US" w:eastAsia="zh-CN"/>
        </w:rPr>
        <w:t>实地查看、</w:t>
      </w:r>
      <w:r>
        <w:rPr>
          <w:rFonts w:hint="eastAsia" w:ascii="宋体" w:hAnsi="宋体"/>
          <w:color w:val="auto"/>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color w:val="auto"/>
          <w:sz w:val="21"/>
          <w:szCs w:val="24"/>
          <w:lang w:eastAsia="zh-CN"/>
        </w:rPr>
      </w:pPr>
      <w:r>
        <w:rPr>
          <w:rFonts w:hint="eastAsia" w:ascii="宋体" w:hAnsi="宋体"/>
          <w:color w:val="auto"/>
          <w:sz w:val="24"/>
          <w:szCs w:val="24"/>
        </w:rPr>
        <w:t>我们的</w:t>
      </w:r>
      <w:r>
        <w:rPr>
          <w:rFonts w:ascii="宋体" w:hAnsi="宋体"/>
          <w:color w:val="auto"/>
          <w:sz w:val="24"/>
          <w:szCs w:val="24"/>
        </w:rPr>
        <w:t>现场</w:t>
      </w:r>
      <w:r>
        <w:rPr>
          <w:rFonts w:hint="eastAsia" w:ascii="宋体" w:hAnsi="宋体"/>
          <w:color w:val="auto"/>
          <w:sz w:val="24"/>
          <w:szCs w:val="24"/>
        </w:rPr>
        <w:t>评价</w:t>
      </w:r>
      <w:r>
        <w:rPr>
          <w:rFonts w:ascii="宋体" w:hAnsi="宋体"/>
          <w:color w:val="auto"/>
          <w:sz w:val="24"/>
          <w:szCs w:val="24"/>
        </w:rPr>
        <w:t>工作已</w:t>
      </w:r>
      <w:r>
        <w:rPr>
          <w:rFonts w:ascii="宋体" w:hAnsi="宋体"/>
          <w:color w:val="auto"/>
          <w:sz w:val="24"/>
          <w:szCs w:val="24"/>
          <w:highlight w:val="none"/>
        </w:rPr>
        <w:t>于</w:t>
      </w:r>
      <w:r>
        <w:rPr>
          <w:rFonts w:hint="eastAsia" w:ascii="宋体" w:hAnsi="宋体"/>
          <w:color w:val="auto"/>
          <w:sz w:val="24"/>
          <w:szCs w:val="24"/>
          <w:highlight w:val="none"/>
        </w:rPr>
        <w:t>201</w:t>
      </w:r>
      <w:r>
        <w:rPr>
          <w:rFonts w:hint="eastAsia" w:ascii="宋体" w:hAnsi="宋体"/>
          <w:color w:val="auto"/>
          <w:sz w:val="24"/>
          <w:szCs w:val="24"/>
          <w:highlight w:val="none"/>
          <w:lang w:val="en-US" w:eastAsia="zh-CN"/>
        </w:rPr>
        <w:t>8</w:t>
      </w:r>
      <w:r>
        <w:rPr>
          <w:rFonts w:ascii="宋体" w:hAnsi="宋体"/>
          <w:color w:val="auto"/>
          <w:sz w:val="24"/>
          <w:szCs w:val="24"/>
          <w:highlight w:val="none"/>
        </w:rPr>
        <w:t>年</w:t>
      </w:r>
      <w:r>
        <w:rPr>
          <w:rFonts w:hint="eastAsia" w:ascii="宋体" w:hAnsi="宋体"/>
          <w:color w:val="auto"/>
          <w:sz w:val="24"/>
          <w:szCs w:val="24"/>
          <w:highlight w:val="none"/>
          <w:lang w:val="en-US" w:eastAsia="zh-CN"/>
        </w:rPr>
        <w:t>9</w:t>
      </w:r>
      <w:r>
        <w:rPr>
          <w:rFonts w:ascii="宋体" w:hAnsi="宋体"/>
          <w:color w:val="auto"/>
          <w:sz w:val="24"/>
          <w:szCs w:val="24"/>
          <w:highlight w:val="none"/>
        </w:rPr>
        <w:t>月</w:t>
      </w:r>
      <w:r>
        <w:rPr>
          <w:rFonts w:hint="eastAsia" w:ascii="宋体" w:hAnsi="宋体"/>
          <w:color w:val="auto"/>
          <w:sz w:val="24"/>
          <w:szCs w:val="24"/>
          <w:highlight w:val="none"/>
          <w:lang w:val="en-US" w:eastAsia="zh-CN"/>
        </w:rPr>
        <w:t>15</w:t>
      </w:r>
      <w:r>
        <w:rPr>
          <w:rFonts w:ascii="宋体" w:hAnsi="宋体"/>
          <w:color w:val="auto"/>
          <w:sz w:val="24"/>
          <w:szCs w:val="24"/>
          <w:highlight w:val="none"/>
        </w:rPr>
        <w:t>日结束</w:t>
      </w:r>
      <w:r>
        <w:rPr>
          <w:rFonts w:ascii="宋体" w:hAnsi="宋体"/>
          <w:color w:val="auto"/>
          <w:sz w:val="24"/>
          <w:szCs w:val="24"/>
        </w:rPr>
        <w:t>，现将</w:t>
      </w:r>
      <w:r>
        <w:rPr>
          <w:rFonts w:hint="eastAsia" w:ascii="宋体" w:hAnsi="宋体"/>
          <w:color w:val="auto"/>
          <w:sz w:val="24"/>
          <w:szCs w:val="24"/>
        </w:rPr>
        <w:t>评价</w:t>
      </w:r>
      <w:r>
        <w:rPr>
          <w:rFonts w:ascii="宋体" w:hAnsi="宋体"/>
          <w:color w:val="auto"/>
          <w:sz w:val="24"/>
          <w:szCs w:val="24"/>
        </w:rPr>
        <w:t>情况报告如下</w:t>
      </w:r>
      <w:r>
        <w:rPr>
          <w:rFonts w:hint="eastAsia" w:ascii="宋体" w:hAnsi="宋体"/>
          <w:color w:val="auto"/>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项目情况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项目实施单位基本情况</w:t>
      </w:r>
    </w:p>
    <w:p>
      <w:pPr>
        <w:keepNext w:val="0"/>
        <w:keepLines w:val="0"/>
        <w:pageBreakBefore w:val="0"/>
        <w:shd w:val="clear" w:color="auto" w:fill="FFFFFF"/>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b w:val="0"/>
          <w:bCs w:val="0"/>
          <w:sz w:val="24"/>
          <w:szCs w:val="24"/>
          <w:lang w:val="en-US" w:eastAsia="zh-CN"/>
        </w:rPr>
        <w:t>金川县扶贫和移民工作局主要工作职责为</w:t>
      </w:r>
      <w:r>
        <w:rPr>
          <w:rFonts w:hint="eastAsia" w:ascii="仿宋" w:hAnsi="仿宋" w:eastAsia="仿宋" w:cs="仿宋"/>
          <w:sz w:val="24"/>
          <w:szCs w:val="24"/>
        </w:rPr>
        <w:t>拟订全县扶贫开发中长期规划和年度计划，组织、协调和指导全县农村低保和扶贫开发政策两项制度有效衔接、产业扶贫、科技扶贫、扶贫开发工作；组织和指导全县社会扶贫工作，负责联系县外机构或组织在我县的定点帮扶与扶贫协作工作，组织全县扶贫开发对外交流与合作，组织全县外资外援扶贫项目的引进与实施。承担全县扶贫、移民资金管理责任。拟订全县扶贫开发和移民资金使用管理和项目管理办法，负责有关项目、资金、基金、物资的分配、管理、使用、稽查审计、绩效考评、统计监测等监督工作。</w:t>
      </w:r>
    </w:p>
    <w:p>
      <w:pPr>
        <w:keepNext w:val="0"/>
        <w:keepLines w:val="0"/>
        <w:pageBreakBefore w:val="0"/>
        <w:shd w:val="clear" w:color="auto" w:fill="FFFFFF"/>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编制情况：</w:t>
      </w:r>
      <w:r>
        <w:rPr>
          <w:rFonts w:hint="eastAsia" w:ascii="仿宋" w:hAnsi="仿宋" w:eastAsia="仿宋" w:cs="仿宋"/>
          <w:sz w:val="24"/>
          <w:szCs w:val="24"/>
          <w:lang w:val="en-US" w:eastAsia="zh-CN"/>
        </w:rPr>
        <w:t>县扶贫和移民工作局机关行政编制为11名。其中: 科级领导职数3名(局长1名、副局长2名); 纪检组长1名，按县委规定配备。股级领导职数7名(股、室)。事业编制为11名。其中：大骨节试点办3名，扶贫和移民中心8名。</w:t>
      </w:r>
    </w:p>
    <w:p>
      <w:pPr>
        <w:keepNext w:val="0"/>
        <w:keepLines w:val="0"/>
        <w:pageBreakBefore w:val="0"/>
        <w:shd w:val="clear" w:color="auto" w:fill="FFFFFF"/>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机关工勤人员编制1名。</w:t>
      </w:r>
    </w:p>
    <w:p>
      <w:pPr>
        <w:keepNext w:val="0"/>
        <w:keepLines w:val="0"/>
        <w:pageBreakBefore w:val="0"/>
        <w:shd w:val="clear" w:color="auto" w:fill="FFFFFF"/>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内设机构：办公室、财务股、扶贫开发项目股、社会扶贫股、移民规划安置股、政策法规和信访股、移民后期扶持股、大骨节试点办综合股。</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sz w:val="24"/>
        </w:rPr>
      </w:pPr>
      <w:r>
        <w:rPr>
          <w:rFonts w:hint="eastAsia" w:ascii="宋体" w:hAnsi="宋体"/>
          <w:color w:val="auto"/>
          <w:sz w:val="24"/>
          <w:szCs w:val="24"/>
          <w:lang w:val="en-US" w:eastAsia="zh-CN"/>
        </w:rPr>
        <w:t>根据金川县财政局《关于提前下达2017年中央和省级财政扶贫资金预算指标的通知》（</w:t>
      </w:r>
      <w:r>
        <w:rPr>
          <w:rFonts w:hint="eastAsia" w:ascii="仿宋" w:hAnsi="仿宋" w:eastAsia="仿宋" w:cs="仿宋"/>
          <w:color w:val="000000"/>
          <w:sz w:val="24"/>
          <w:lang w:val="en-US" w:eastAsia="zh-CN"/>
        </w:rPr>
        <w:t>阿洲财农</w:t>
      </w:r>
      <w:r>
        <w:rPr>
          <w:rFonts w:hint="eastAsia" w:ascii="仿宋" w:hAnsi="仿宋" w:eastAsia="仿宋" w:cs="仿宋"/>
          <w:color w:val="000000"/>
          <w:sz w:val="24"/>
        </w:rPr>
        <w:t>[201</w:t>
      </w:r>
      <w:r>
        <w:rPr>
          <w:rFonts w:hint="eastAsia" w:ascii="仿宋" w:hAnsi="仿宋" w:eastAsia="仿宋" w:cs="仿宋"/>
          <w:color w:val="000000"/>
          <w:sz w:val="24"/>
          <w:lang w:val="en-US" w:eastAsia="zh-CN"/>
        </w:rPr>
        <w:t>6</w:t>
      </w:r>
      <w:r>
        <w:rPr>
          <w:rFonts w:hint="eastAsia" w:ascii="仿宋" w:hAnsi="仿宋" w:eastAsia="仿宋" w:cs="仿宋"/>
          <w:color w:val="000000"/>
          <w:sz w:val="24"/>
        </w:rPr>
        <w:t>]</w:t>
      </w:r>
      <w:r>
        <w:rPr>
          <w:rFonts w:hint="eastAsia" w:ascii="仿宋" w:hAnsi="仿宋" w:eastAsia="仿宋" w:cs="仿宋"/>
          <w:color w:val="000000"/>
          <w:sz w:val="24"/>
          <w:lang w:val="en-US" w:eastAsia="zh-CN"/>
        </w:rPr>
        <w:t>146</w:t>
      </w:r>
      <w:r>
        <w:rPr>
          <w:rFonts w:hint="eastAsia" w:ascii="仿宋" w:hAnsi="仿宋" w:eastAsia="仿宋" w:cs="仿宋"/>
          <w:color w:val="000000"/>
          <w:sz w:val="24"/>
        </w:rPr>
        <w:t>号）</w:t>
      </w:r>
      <w:r>
        <w:rPr>
          <w:rFonts w:hint="eastAsia" w:ascii="仿宋" w:hAnsi="仿宋" w:eastAsia="仿宋" w:cs="仿宋"/>
          <w:color w:val="000000"/>
          <w:sz w:val="24"/>
          <w:lang w:eastAsia="zh-CN"/>
        </w:rPr>
        <w:t>，</w:t>
      </w:r>
      <w:r>
        <w:rPr>
          <w:rFonts w:hint="eastAsia" w:ascii="仿宋" w:hAnsi="仿宋" w:eastAsia="仿宋" w:cs="仿宋"/>
          <w:color w:val="000000"/>
          <w:sz w:val="24"/>
        </w:rPr>
        <w:t>下达资金</w:t>
      </w:r>
      <w:r>
        <w:rPr>
          <w:rFonts w:hint="eastAsia" w:ascii="仿宋" w:hAnsi="仿宋" w:eastAsia="仿宋" w:cs="仿宋"/>
          <w:color w:val="000000"/>
          <w:sz w:val="24"/>
          <w:lang w:val="en-US" w:eastAsia="zh-CN"/>
        </w:rPr>
        <w:t>16,946,600.00</w:t>
      </w:r>
      <w:r>
        <w:rPr>
          <w:rFonts w:hint="eastAsia" w:ascii="仿宋" w:hAnsi="仿宋" w:eastAsia="仿宋" w:cs="仿宋"/>
          <w:color w:val="000000"/>
          <w:sz w:val="24"/>
        </w:rPr>
        <w:t>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项目资金主要用于：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Times New Roman"/>
          <w:i w:val="0"/>
          <w:color w:val="auto"/>
          <w:kern w:val="2"/>
          <w:sz w:val="24"/>
          <w:szCs w:val="24"/>
          <w:u w:val="none"/>
          <w:lang w:val="en-US" w:eastAsia="zh-CN" w:bidi="ar"/>
        </w:rPr>
      </w:pPr>
      <w:r>
        <w:rPr>
          <w:rFonts w:hint="eastAsia" w:ascii="宋体" w:hAnsi="宋体" w:eastAsia="仿宋_GB2312" w:cs="Times New Roman"/>
          <w:i w:val="0"/>
          <w:color w:val="000000"/>
          <w:kern w:val="2"/>
          <w:sz w:val="24"/>
          <w:szCs w:val="24"/>
          <w:u w:val="none"/>
          <w:lang w:val="en-US" w:eastAsia="zh-CN" w:bidi="ar"/>
        </w:rPr>
        <w:t>精准扶贫农户补贴资金</w:t>
      </w:r>
      <w:r>
        <w:rPr>
          <w:rFonts w:hint="eastAsia" w:ascii="宋体" w:hAnsi="宋体" w:cs="Times New Roman"/>
          <w:i w:val="0"/>
          <w:color w:val="auto"/>
          <w:kern w:val="2"/>
          <w:sz w:val="24"/>
          <w:szCs w:val="24"/>
          <w:u w:val="none"/>
          <w:lang w:val="en-US" w:eastAsia="zh-CN" w:bidi="ar"/>
        </w:rPr>
        <w:t>5,855,500.00元</w:t>
      </w:r>
      <w:r>
        <w:rPr>
          <w:rFonts w:hint="eastAsia" w:ascii="宋体" w:hAnsi="宋体" w:eastAsia="仿宋_GB2312" w:cs="Times New Roman"/>
          <w:i w:val="0"/>
          <w:color w:val="000000"/>
          <w:kern w:val="2"/>
          <w:sz w:val="24"/>
          <w:szCs w:val="24"/>
          <w:u w:val="none"/>
          <w:lang w:val="en-US" w:eastAsia="zh-CN" w:bidi="ar"/>
        </w:rPr>
        <w:t>，2017年粮食局大骨节更换粮食</w:t>
      </w:r>
      <w:r>
        <w:rPr>
          <w:rFonts w:hint="eastAsia" w:ascii="宋体" w:hAnsi="宋体" w:cs="Times New Roman"/>
          <w:i w:val="0"/>
          <w:color w:val="auto"/>
          <w:kern w:val="2"/>
          <w:sz w:val="24"/>
          <w:szCs w:val="24"/>
          <w:u w:val="none"/>
          <w:lang w:val="en-US" w:eastAsia="zh-CN" w:bidi="ar"/>
        </w:rPr>
        <w:t>2,890,600.00元</w:t>
      </w:r>
      <w:r>
        <w:rPr>
          <w:rFonts w:hint="eastAsia" w:ascii="宋体" w:hAnsi="宋体" w:eastAsia="仿宋_GB2312" w:cs="Times New Roman"/>
          <w:i w:val="0"/>
          <w:color w:val="000000"/>
          <w:kern w:val="2"/>
          <w:sz w:val="24"/>
          <w:szCs w:val="24"/>
          <w:u w:val="none"/>
          <w:lang w:val="en-US" w:eastAsia="zh-CN" w:bidi="ar"/>
        </w:rPr>
        <w:t>，</w:t>
      </w:r>
      <w:r>
        <w:rPr>
          <w:rFonts w:hint="eastAsia" w:ascii="宋体" w:hAnsi="宋体" w:cs="Times New Roman"/>
          <w:i w:val="0"/>
          <w:color w:val="auto"/>
          <w:kern w:val="2"/>
          <w:sz w:val="24"/>
          <w:szCs w:val="24"/>
          <w:u w:val="none"/>
          <w:lang w:val="en-US" w:eastAsia="zh-CN" w:bidi="ar"/>
        </w:rPr>
        <w:t>贫困村摘帽项目8,200,500.00元。</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2017年中央和省级财政扶贫资金</w:t>
      </w:r>
      <w:r>
        <w:rPr>
          <w:rFonts w:hint="eastAsia" w:ascii="仿宋" w:hAnsi="仿宋" w:eastAsia="仿宋" w:cs="仿宋"/>
          <w:color w:val="000000"/>
          <w:sz w:val="24"/>
          <w:lang w:val="en-US" w:eastAsia="zh-CN"/>
        </w:rPr>
        <w:t>16,946,600.00</w:t>
      </w:r>
      <w:r>
        <w:rPr>
          <w:rFonts w:hint="eastAsia" w:ascii="宋体" w:hAnsi="宋体"/>
          <w:color w:val="auto"/>
          <w:sz w:val="24"/>
          <w:szCs w:val="24"/>
          <w:lang w:val="en-US" w:eastAsia="zh-CN"/>
        </w:rPr>
        <w:t>元，项目已基本完成，取得了相应的效益。</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评分，该项目综合得分96分。具体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必要性：结合本地脱贫攻坚实际，围绕脱贫攻坚目标任务精准使用资金，以改善建档立卡贫困村、建档立卡贫困户生产生活条件和增收脱贫未重点，因地制宜，建立靳准扶贫机制，确保减贫任务如期完成。项目的可行性：通过围绕培育和壮大特色优势产业，支持贫困地区和建档立卡贫困户发展种植业、养殖业、民族手工业、乡村旅游业....围绕改善农村贫困地区基本生产生活条件、支持修建小型公益性生产设施、小型农村饮水安全配套设施、贫困村村组道路等，支持吸纳建档立卡贫困户较多的实施主体使用资产收益扶贫资金，增加建档立卡贫困户收入，推动社会主义和谐社会建设的重要举措；也是加快发展服务业，扩大就业渠道和促进经济增长的重要途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绩效目标设置情况：安排资金</w:t>
      </w:r>
      <w:r>
        <w:rPr>
          <w:rFonts w:hint="eastAsia" w:ascii="宋体" w:hAnsi="宋体" w:cs="Times New Roman"/>
          <w:i w:val="0"/>
          <w:color w:val="auto"/>
          <w:kern w:val="2"/>
          <w:sz w:val="24"/>
          <w:szCs w:val="24"/>
          <w:u w:val="none"/>
          <w:lang w:val="en-US" w:eastAsia="zh-CN" w:bidi="ar"/>
        </w:rPr>
        <w:t>5,855,500.00</w:t>
      </w:r>
      <w:r>
        <w:rPr>
          <w:rFonts w:hint="eastAsia" w:ascii="宋体" w:hAnsi="宋体"/>
          <w:color w:val="auto"/>
          <w:sz w:val="24"/>
          <w:szCs w:val="24"/>
          <w:lang w:val="en-US" w:eastAsia="zh-CN"/>
        </w:rPr>
        <w:t>元对全县22个乡镇91个村的594户1673名贫困人口实施精准到户，通过发展产业带动贫困户增收；安排大骨节资金2,890,600.00元；投入</w:t>
      </w:r>
      <w:r>
        <w:rPr>
          <w:rFonts w:hint="eastAsia" w:ascii="宋体" w:hAnsi="宋体" w:cs="Times New Roman"/>
          <w:i w:val="0"/>
          <w:color w:val="auto"/>
          <w:kern w:val="2"/>
          <w:sz w:val="24"/>
          <w:szCs w:val="24"/>
          <w:u w:val="none"/>
          <w:lang w:val="en-US" w:eastAsia="zh-CN" w:bidi="ar"/>
        </w:rPr>
        <w:t>8,200,500.00</w:t>
      </w:r>
      <w:r>
        <w:rPr>
          <w:rFonts w:hint="eastAsia" w:ascii="宋体" w:hAnsi="宋体"/>
          <w:color w:val="auto"/>
          <w:sz w:val="24"/>
          <w:szCs w:val="24"/>
          <w:lang w:val="en-US" w:eastAsia="zh-CN"/>
        </w:rPr>
        <w:t>元用于贫困村摘帽项目建设，通过项目建设能顺利实现摘帽。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项目资金到位情况：下达2017年中央和省级财政扶贫资金</w:t>
      </w:r>
      <w:r>
        <w:rPr>
          <w:rFonts w:hint="eastAsia" w:ascii="仿宋" w:hAnsi="仿宋" w:eastAsia="仿宋" w:cs="仿宋"/>
          <w:color w:val="000000"/>
          <w:sz w:val="24"/>
          <w:lang w:val="en-US" w:eastAsia="zh-CN"/>
        </w:rPr>
        <w:t>16,946,600.00</w:t>
      </w:r>
      <w:bookmarkStart w:id="0" w:name="_GoBack"/>
      <w:bookmarkEnd w:id="0"/>
      <w:r>
        <w:rPr>
          <w:rFonts w:hint="eastAsia" w:ascii="宋体" w:hAnsi="宋体"/>
          <w:sz w:val="24"/>
          <w:szCs w:val="24"/>
          <w:lang w:val="en-US" w:eastAsia="zh-CN"/>
        </w:rPr>
        <w:t>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项目资金使用情况：</w:t>
      </w:r>
    </w:p>
    <w:tbl>
      <w:tblPr>
        <w:tblStyle w:val="9"/>
        <w:tblW w:w="849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3868"/>
        <w:gridCol w:w="1291"/>
        <w:gridCol w:w="1244"/>
        <w:gridCol w:w="1079"/>
        <w:gridCol w:w="10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收到资金</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已付资金</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未付资金</w:t>
            </w:r>
          </w:p>
        </w:tc>
        <w:tc>
          <w:tcPr>
            <w:tcW w:w="10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精准扶贫农户补贴资金</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5,855,500.00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5,848,500.00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7,000.00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2017年粮食局大骨节更换粮食</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2,960,600.00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2,578,502.54</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382,097.46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1"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河东乡容尔甲村旅游接待点建设工程项目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427,500.00</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22,500.00</w:t>
            </w:r>
          </w:p>
        </w:tc>
        <w:tc>
          <w:tcPr>
            <w:tcW w:w="10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3"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二嘎里乡雅夏村2017年财政扶贫资金项目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5"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河东乡科尔纳村集体经济投资入股分红项目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俄热乡依斗村村活动室维修项目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俄热乡嘎斯都村村活动室维修项目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曾达乡木尔都村2017年扶贫财政基础设施专项资金项目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0"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庆宁乡咯尔西村2017年统筹整合财政涉农资金项目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庆宁乡咯尔西村2017年养殖项目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二嘎里乡查拉沟村2017年统筹整合财政涉农资金项目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观音镇斯玛都村搭建旅游帐篷，生猪养殖项目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观音镇斯玛都村2017年活动室提升，环境整治项目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5"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卡撒乡山埂子村通村公路维修项目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579,000.00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221,000.00</w:t>
            </w: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河西乡热登村吊桥维修资金</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马尔邦乡独足沟村村集体经济入股金眉园区参与分红项目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庆宁乡松坪村产业发展村集体经济项目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450,500.00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450,500.00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2"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太阳河麦地沟村2017年黄牛和生猪养殖项目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曾达乡坛罐窑村2017年中蜂养殖项目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卡拉脚乡玛目都村阿江寨复垦及开荒土地，新修堡坎项目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毛日乡热它村人居环境改善项目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540,000.00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540,000.00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毛日乡依生村2017年入户硬化路建设项目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146,150.00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43,850.00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曾达乡木尔都村2017年集体经济项目</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450,000.00</w:t>
            </w:r>
          </w:p>
        </w:tc>
        <w:tc>
          <w:tcPr>
            <w:tcW w:w="1079"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color w:val="000000"/>
                <w:sz w:val="18"/>
                <w:szCs w:val="18"/>
                <w:u w:val="none"/>
              </w:rPr>
            </w:pPr>
          </w:p>
        </w:tc>
        <w:tc>
          <w:tcPr>
            <w:tcW w:w="10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6" w:hRule="atLeast"/>
        </w:trPr>
        <w:tc>
          <w:tcPr>
            <w:tcW w:w="38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16,946,600.00</w:t>
            </w:r>
          </w:p>
        </w:tc>
        <w:tc>
          <w:tcPr>
            <w:tcW w:w="12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16,270,152.54</w:t>
            </w:r>
          </w:p>
        </w:tc>
        <w:tc>
          <w:tcPr>
            <w:tcW w:w="10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243,500.00</w:t>
            </w:r>
          </w:p>
        </w:tc>
        <w:tc>
          <w:tcPr>
            <w:tcW w:w="10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432,947.46</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项目资金管理情况：项目资金的管理和使用严格按照《</w:t>
      </w:r>
      <w:r>
        <w:rPr>
          <w:rFonts w:hint="eastAsia" w:ascii="宋体" w:hAnsi="宋体"/>
          <w:color w:val="auto"/>
          <w:sz w:val="24"/>
          <w:szCs w:val="24"/>
          <w:highlight w:val="none"/>
          <w:lang w:val="en-US" w:eastAsia="zh-CN"/>
        </w:rPr>
        <w:t>金川县财政专项扶贫资金管理办法</w:t>
      </w:r>
      <w:r>
        <w:rPr>
          <w:rFonts w:hint="eastAsia" w:ascii="宋体" w:hAnsi="宋体"/>
          <w:sz w:val="24"/>
          <w:szCs w:val="24"/>
          <w:highlight w:val="none"/>
          <w:lang w:val="en-US" w:eastAsia="zh-CN"/>
        </w:rPr>
        <w:t>》均用于</w:t>
      </w:r>
      <w:r>
        <w:rPr>
          <w:rFonts w:hint="eastAsia" w:ascii="宋体" w:hAnsi="宋体" w:eastAsia="仿宋_GB2312" w:cs="Times New Roman"/>
          <w:i w:val="0"/>
          <w:color w:val="000000"/>
          <w:kern w:val="2"/>
          <w:sz w:val="24"/>
          <w:szCs w:val="24"/>
          <w:u w:val="none"/>
          <w:lang w:val="en-US" w:eastAsia="zh-CN" w:bidi="ar"/>
        </w:rPr>
        <w:t>精准扶贫农户补贴资金</w:t>
      </w:r>
      <w:r>
        <w:rPr>
          <w:rFonts w:hint="eastAsia" w:ascii="宋体" w:hAnsi="宋体" w:cs="Times New Roman"/>
          <w:i w:val="0"/>
          <w:color w:val="000000"/>
          <w:kern w:val="2"/>
          <w:sz w:val="24"/>
          <w:szCs w:val="24"/>
          <w:u w:val="none"/>
          <w:lang w:val="en-US" w:eastAsia="zh-CN" w:bidi="ar"/>
        </w:rPr>
        <w:t>，</w:t>
      </w:r>
      <w:r>
        <w:rPr>
          <w:rFonts w:hint="eastAsia" w:ascii="宋体" w:hAnsi="宋体" w:eastAsia="仿宋_GB2312" w:cs="Times New Roman"/>
          <w:i w:val="0"/>
          <w:color w:val="000000"/>
          <w:kern w:val="2"/>
          <w:sz w:val="24"/>
          <w:szCs w:val="24"/>
          <w:u w:val="none"/>
          <w:lang w:val="en-US" w:eastAsia="zh-CN" w:bidi="ar"/>
        </w:rPr>
        <w:t>2017年粮食局大骨节更换粮食，</w:t>
      </w:r>
      <w:r>
        <w:rPr>
          <w:rFonts w:hint="eastAsia" w:ascii="宋体" w:hAnsi="宋体" w:cs="Times New Roman"/>
          <w:i w:val="0"/>
          <w:color w:val="auto"/>
          <w:kern w:val="2"/>
          <w:sz w:val="24"/>
          <w:szCs w:val="24"/>
          <w:u w:val="none"/>
          <w:lang w:val="en-US" w:eastAsia="zh-CN" w:bidi="ar"/>
        </w:rPr>
        <w:t>贫困村摘帽项目</w:t>
      </w:r>
      <w:r>
        <w:rPr>
          <w:rFonts w:hint="eastAsia" w:ascii="宋体" w:hAnsi="宋体"/>
          <w:sz w:val="24"/>
          <w:szCs w:val="24"/>
          <w:highlight w:val="none"/>
          <w:lang w:val="en-US" w:eastAsia="zh-CN"/>
        </w:rPr>
        <w:t>工作所必要的支出。项目资金做到了专款专用。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3、项目绩效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按照预定进度计划已完成目标任务，已通过验收，完成目标任务率为100%。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该项目取得效益：增加了贫困人口和贫困村的经济收入，提高了我县贫困人口脱贫致富和贫困村产业发展的质量，增加人民的幸福指数，为金川县脱贫攻坚打下坚实基础。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我们选择抽取了庆宁乡松坪村</w:t>
      </w:r>
      <w:r>
        <w:rPr>
          <w:rFonts w:hint="eastAsia" w:ascii="宋体" w:hAnsi="宋体" w:eastAsia="仿宋_GB2312" w:cs="Times New Roman"/>
          <w:i w:val="0"/>
          <w:color w:val="000000"/>
          <w:kern w:val="2"/>
          <w:sz w:val="24"/>
          <w:szCs w:val="24"/>
          <w:u w:val="none"/>
          <w:lang w:val="en-US" w:eastAsia="zh-CN" w:bidi="ar"/>
        </w:rPr>
        <w:t>产业发展村集体经济</w:t>
      </w:r>
      <w:r>
        <w:rPr>
          <w:rFonts w:hint="eastAsia" w:ascii="宋体" w:hAnsi="宋体" w:cs="Times New Roman"/>
          <w:i w:val="0"/>
          <w:color w:val="000000"/>
          <w:kern w:val="2"/>
          <w:sz w:val="24"/>
          <w:szCs w:val="24"/>
          <w:u w:val="none"/>
          <w:lang w:val="en-US" w:eastAsia="zh-CN" w:bidi="ar"/>
        </w:rPr>
        <w:t>，</w:t>
      </w:r>
      <w:r>
        <w:rPr>
          <w:rFonts w:hint="eastAsia" w:ascii="宋体" w:hAnsi="宋体"/>
          <w:sz w:val="24"/>
          <w:szCs w:val="24"/>
          <w:highlight w:val="none"/>
          <w:lang w:val="en-US" w:eastAsia="zh-CN"/>
        </w:rPr>
        <w:t>对其进行实地调查；调查表明，该项目均已实施。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存在主要问题</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无总的实施方案，只有每个项目实施方案。</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撒瓦脚乡阿拉学村50万元资产收益总目于2018年实施，资金暂未拨付。</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相关措施建议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81"/>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加强对原始单据审核。</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81"/>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严格按照资金用途使用。</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81"/>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早日实现社会效益。</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b/>
          <w:bCs/>
          <w:color w:val="auto"/>
          <w:sz w:val="24"/>
          <w:szCs w:val="24"/>
          <w:lang w:val="en-US" w:eastAsia="zh-CN"/>
        </w:rPr>
        <w:t>本报告使用范围</w:t>
      </w:r>
      <w:r>
        <w:rPr>
          <w:rFonts w:hint="eastAsia" w:ascii="宋体" w:hAnsi="宋体"/>
          <w:b/>
          <w:bCs/>
          <w:color w:val="auto"/>
          <w:sz w:val="24"/>
          <w:szCs w:val="24"/>
          <w:lang w:val="en-US" w:eastAsia="zh-CN"/>
        </w:rPr>
        <w:br w:type="textWrapping"/>
      </w:r>
      <w:r>
        <w:rPr>
          <w:rFonts w:hint="eastAsia" w:ascii="宋体" w:hAnsi="宋体"/>
          <w:b/>
          <w:bCs/>
          <w:color w:val="auto"/>
          <w:sz w:val="24"/>
          <w:szCs w:val="24"/>
          <w:lang w:val="en-US" w:eastAsia="zh-CN"/>
        </w:rPr>
        <w:t xml:space="preserve">    </w:t>
      </w:r>
      <w:r>
        <w:rPr>
          <w:rFonts w:hint="eastAsia" w:ascii="宋体" w:hAnsi="宋体"/>
          <w:color w:val="auto"/>
          <w:sz w:val="24"/>
          <w:szCs w:val="24"/>
          <w:lang w:val="en-US" w:eastAsia="zh-CN"/>
        </w:rPr>
        <w:t>本报告是在金川县扶贫和移民局所提供的现有资料基础上检查做出的结论，仅供金川县财政局区了解金川县扶贫和移民局2017年中央和省级财政扶贫资金绩效评价情况时使用，不作为其他用途，如因使用不当所造成的后果，与本所和签字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附件一：</w:t>
      </w:r>
      <w:r>
        <w:rPr>
          <w:rFonts w:hint="eastAsia" w:ascii="宋体" w:hAnsi="宋体"/>
          <w:color w:val="auto"/>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spacing w:line="360" w:lineRule="auto"/>
        <w:rPr>
          <w:rFonts w:hint="eastAsia" w:ascii="仿宋" w:hAnsi="仿宋" w:eastAsia="仿宋" w:cs="仿宋"/>
          <w:color w:val="auto"/>
          <w:sz w:val="24"/>
        </w:rPr>
      </w:pPr>
      <w:r>
        <w:rPr>
          <w:rFonts w:hint="eastAsia" w:ascii="仿宋" w:hAnsi="仿宋" w:eastAsia="仿宋" w:cs="仿宋"/>
          <w:bCs/>
          <w:color w:val="auto"/>
          <w:sz w:val="24"/>
        </w:rPr>
        <w:t xml:space="preserve"> </w:t>
      </w:r>
      <w:r>
        <w:rPr>
          <w:rFonts w:hint="eastAsia" w:ascii="仿宋" w:hAnsi="仿宋" w:eastAsia="仿宋" w:cs="仿宋"/>
          <w:b w:val="0"/>
          <w:bCs/>
          <w:color w:val="auto"/>
          <w:sz w:val="24"/>
        </w:rPr>
        <w:t>中兴华会计师事务所</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b w:val="0"/>
          <w:bCs/>
          <w:color w:val="auto"/>
          <w:sz w:val="24"/>
        </w:rPr>
        <w:t>（特殊普通合伙</w:t>
      </w:r>
      <w:r>
        <w:rPr>
          <w:rFonts w:hint="eastAsia" w:ascii="仿宋" w:hAnsi="仿宋" w:eastAsia="仿宋" w:cs="仿宋"/>
          <w:b w:val="0"/>
          <w:bCs/>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rPr>
        <w:t xml:space="preserve">中国·四川·成都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报告日期：二0一</w:t>
      </w:r>
      <w:r>
        <w:rPr>
          <w:rFonts w:hint="eastAsia" w:ascii="仿宋" w:hAnsi="仿宋" w:eastAsia="仿宋" w:cs="仿宋"/>
          <w:color w:val="auto"/>
          <w:sz w:val="24"/>
          <w:lang w:eastAsia="zh-CN"/>
        </w:rPr>
        <w:t>八</w:t>
      </w:r>
      <w:r>
        <w:rPr>
          <w:rFonts w:hint="eastAsia" w:ascii="仿宋" w:hAnsi="仿宋" w:eastAsia="仿宋" w:cs="仿宋"/>
          <w:color w:val="auto"/>
          <w:sz w:val="24"/>
        </w:rPr>
        <w:t>年</w:t>
      </w:r>
      <w:r>
        <w:rPr>
          <w:rFonts w:hint="eastAsia" w:ascii="仿宋" w:hAnsi="仿宋" w:eastAsia="仿宋" w:cs="仿宋"/>
          <w:color w:val="auto"/>
          <w:sz w:val="24"/>
          <w:lang w:val="en-US" w:eastAsia="zh-CN"/>
        </w:rPr>
        <w:t>九</w:t>
      </w:r>
      <w:r>
        <w:rPr>
          <w:rFonts w:hint="eastAsia" w:ascii="仿宋" w:hAnsi="仿宋" w:eastAsia="仿宋" w:cs="仿宋"/>
          <w:color w:val="auto"/>
          <w:sz w:val="24"/>
        </w:rPr>
        <w:t>月</w:t>
      </w:r>
      <w:r>
        <w:rPr>
          <w:rFonts w:hint="eastAsia" w:ascii="仿宋" w:hAnsi="仿宋" w:eastAsia="仿宋" w:cs="仿宋"/>
          <w:color w:val="auto"/>
          <w:sz w:val="24"/>
          <w:lang w:val="en-US" w:eastAsia="zh-CN"/>
        </w:rPr>
        <w:t>十五日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5页</w:t>
                          </w:r>
                        </w:p>
                        <w:p>
                          <w:pPr>
                            <w:pStyle w:val="3"/>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5页</w:t>
                    </w:r>
                  </w:p>
                  <w:p>
                    <w:pPr>
                      <w:pStyle w:val="3"/>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9C6376"/>
    <w:multiLevelType w:val="singleLevel"/>
    <w:tmpl w:val="8F9C6376"/>
    <w:lvl w:ilvl="0" w:tentative="0">
      <w:start w:val="1"/>
      <w:numFmt w:val="decimal"/>
      <w:suff w:val="nothing"/>
      <w:lvlText w:val="%1、"/>
      <w:lvlJc w:val="left"/>
      <w:pPr>
        <w:ind w:left="481" w:leftChars="0" w:firstLine="0" w:firstLineChars="0"/>
      </w:pPr>
    </w:lvl>
  </w:abstractNum>
  <w:abstractNum w:abstractNumId="1">
    <w:nsid w:val="1F11FB74"/>
    <w:multiLevelType w:val="singleLevel"/>
    <w:tmpl w:val="1F11FB74"/>
    <w:lvl w:ilvl="0" w:tentative="0">
      <w:start w:val="1"/>
      <w:numFmt w:val="chineseCounting"/>
      <w:suff w:val="nothing"/>
      <w:lvlText w:val="（%1）"/>
      <w:lvlJc w:val="left"/>
      <w:rPr>
        <w:rFonts w:hint="eastAsia"/>
      </w:rPr>
    </w:lvl>
  </w:abstractNum>
  <w:abstractNum w:abstractNumId="2">
    <w:nsid w:val="4115B164"/>
    <w:multiLevelType w:val="singleLevel"/>
    <w:tmpl w:val="4115B164"/>
    <w:lvl w:ilvl="0" w:tentative="0">
      <w:start w:val="1"/>
      <w:numFmt w:val="chineseCounting"/>
      <w:suff w:val="nothing"/>
      <w:lvlText w:val="%1、"/>
      <w:lvlJc w:val="left"/>
      <w:rPr>
        <w:rFonts w:hint="eastAsia"/>
      </w:rPr>
    </w:lvl>
  </w:abstractNum>
  <w:abstractNum w:abstractNumId="3">
    <w:nsid w:val="5265368B"/>
    <w:multiLevelType w:val="singleLevel"/>
    <w:tmpl w:val="5265368B"/>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37A7D"/>
    <w:rsid w:val="031A3999"/>
    <w:rsid w:val="03B962DE"/>
    <w:rsid w:val="04487858"/>
    <w:rsid w:val="052B36C2"/>
    <w:rsid w:val="06D10598"/>
    <w:rsid w:val="082F7549"/>
    <w:rsid w:val="08627972"/>
    <w:rsid w:val="094272B4"/>
    <w:rsid w:val="09633B32"/>
    <w:rsid w:val="0AB50483"/>
    <w:rsid w:val="0B5F77F5"/>
    <w:rsid w:val="0BEA2B92"/>
    <w:rsid w:val="0CB253DE"/>
    <w:rsid w:val="0CC56D5E"/>
    <w:rsid w:val="0D0628B6"/>
    <w:rsid w:val="0D336BC2"/>
    <w:rsid w:val="0D58510D"/>
    <w:rsid w:val="0D9A2FD3"/>
    <w:rsid w:val="0EB56BD9"/>
    <w:rsid w:val="0FBC4412"/>
    <w:rsid w:val="10F710BF"/>
    <w:rsid w:val="11944CAD"/>
    <w:rsid w:val="127F0594"/>
    <w:rsid w:val="128A0EBC"/>
    <w:rsid w:val="12F73558"/>
    <w:rsid w:val="159D1AF1"/>
    <w:rsid w:val="17AF62BC"/>
    <w:rsid w:val="18D325DB"/>
    <w:rsid w:val="1A030A4E"/>
    <w:rsid w:val="1A82591E"/>
    <w:rsid w:val="1AB82A2E"/>
    <w:rsid w:val="1C2E58C4"/>
    <w:rsid w:val="1C6322F0"/>
    <w:rsid w:val="1CDB24E4"/>
    <w:rsid w:val="1E074D0D"/>
    <w:rsid w:val="1F0A50CB"/>
    <w:rsid w:val="1FA72272"/>
    <w:rsid w:val="200177E9"/>
    <w:rsid w:val="20B72A2D"/>
    <w:rsid w:val="231F61E2"/>
    <w:rsid w:val="23E942AD"/>
    <w:rsid w:val="249D2749"/>
    <w:rsid w:val="263D173A"/>
    <w:rsid w:val="283A4A5F"/>
    <w:rsid w:val="288708B1"/>
    <w:rsid w:val="2898521B"/>
    <w:rsid w:val="28EC77C6"/>
    <w:rsid w:val="291C23FC"/>
    <w:rsid w:val="2A2C6006"/>
    <w:rsid w:val="2A8D509E"/>
    <w:rsid w:val="2ACA7BCD"/>
    <w:rsid w:val="2BA82907"/>
    <w:rsid w:val="2BFB1D8F"/>
    <w:rsid w:val="2F8809D3"/>
    <w:rsid w:val="2FB150FE"/>
    <w:rsid w:val="33F969DA"/>
    <w:rsid w:val="34EA4C26"/>
    <w:rsid w:val="36293B42"/>
    <w:rsid w:val="366426A0"/>
    <w:rsid w:val="36E74CAF"/>
    <w:rsid w:val="36F81653"/>
    <w:rsid w:val="38360154"/>
    <w:rsid w:val="387C4139"/>
    <w:rsid w:val="38C448D2"/>
    <w:rsid w:val="39E93C9F"/>
    <w:rsid w:val="3AEA2EEF"/>
    <w:rsid w:val="3B7F4CBC"/>
    <w:rsid w:val="3C2A22D4"/>
    <w:rsid w:val="3DB108B6"/>
    <w:rsid w:val="3F6939C3"/>
    <w:rsid w:val="410601B3"/>
    <w:rsid w:val="41E12E92"/>
    <w:rsid w:val="42D577B0"/>
    <w:rsid w:val="458A53C2"/>
    <w:rsid w:val="4A105772"/>
    <w:rsid w:val="4C523BC0"/>
    <w:rsid w:val="4C9B2084"/>
    <w:rsid w:val="4CC131AC"/>
    <w:rsid w:val="4CCB307D"/>
    <w:rsid w:val="4DB95AF1"/>
    <w:rsid w:val="505E7C5D"/>
    <w:rsid w:val="51D072D7"/>
    <w:rsid w:val="51E5748B"/>
    <w:rsid w:val="52B913AA"/>
    <w:rsid w:val="532323C6"/>
    <w:rsid w:val="53A20935"/>
    <w:rsid w:val="540B3EAB"/>
    <w:rsid w:val="550F545D"/>
    <w:rsid w:val="56FE3473"/>
    <w:rsid w:val="58997233"/>
    <w:rsid w:val="58CA2B2F"/>
    <w:rsid w:val="59495D47"/>
    <w:rsid w:val="5AF1254F"/>
    <w:rsid w:val="5D063025"/>
    <w:rsid w:val="5D1255AE"/>
    <w:rsid w:val="5D7D6A2F"/>
    <w:rsid w:val="5D9E2371"/>
    <w:rsid w:val="5E9B1791"/>
    <w:rsid w:val="5EE026F7"/>
    <w:rsid w:val="606B736F"/>
    <w:rsid w:val="6150132B"/>
    <w:rsid w:val="6220518E"/>
    <w:rsid w:val="62C56CE3"/>
    <w:rsid w:val="63BD14A8"/>
    <w:rsid w:val="65341C7A"/>
    <w:rsid w:val="68DD3313"/>
    <w:rsid w:val="694E0062"/>
    <w:rsid w:val="69971BFE"/>
    <w:rsid w:val="6AB26AF5"/>
    <w:rsid w:val="6BC363D3"/>
    <w:rsid w:val="6C12360D"/>
    <w:rsid w:val="6DF75DF9"/>
    <w:rsid w:val="6E1225B9"/>
    <w:rsid w:val="6E621AAC"/>
    <w:rsid w:val="6FAF2D2E"/>
    <w:rsid w:val="6FC12491"/>
    <w:rsid w:val="70CD3BA7"/>
    <w:rsid w:val="71A54E2E"/>
    <w:rsid w:val="72CD5043"/>
    <w:rsid w:val="738F4450"/>
    <w:rsid w:val="74031A23"/>
    <w:rsid w:val="74CF000B"/>
    <w:rsid w:val="775326D0"/>
    <w:rsid w:val="790528BB"/>
    <w:rsid w:val="79AA38B8"/>
    <w:rsid w:val="79C4282A"/>
    <w:rsid w:val="7B1677D9"/>
    <w:rsid w:val="7B545202"/>
    <w:rsid w:val="7D3D7B46"/>
    <w:rsid w:val="7E2324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qFormat/>
    <w:uiPriority w:val="0"/>
    <w:rPr>
      <w:color w:val="323232"/>
      <w:u w:val="none"/>
    </w:rPr>
  </w:style>
  <w:style w:type="character" w:styleId="8">
    <w:name w:val="Hyperlink"/>
    <w:basedOn w:val="6"/>
    <w:qFormat/>
    <w:uiPriority w:val="0"/>
    <w:rPr>
      <w:color w:val="323232"/>
      <w:u w:val="none"/>
    </w:rPr>
  </w:style>
  <w:style w:type="character" w:customStyle="1" w:styleId="10">
    <w:name w:val="bsharetext"/>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po</cp:lastModifiedBy>
  <dcterms:modified xsi:type="dcterms:W3CDTF">2018-10-23T08:31:06Z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