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40" w:lineRule="atLeast"/>
        <w:jc w:val="center"/>
        <w:rPr>
          <w:rFonts w:hint="eastAsia" w:ascii="华文行楷" w:hAnsi="华文行楷" w:eastAsia="华文行楷" w:cs="华文行楷"/>
          <w:b/>
          <w:color w:val="auto"/>
          <w:sz w:val="52"/>
          <w:szCs w:val="52"/>
          <w:lang w:val="en-US" w:eastAsia="zh-CN"/>
        </w:rPr>
      </w:pPr>
      <w:r>
        <w:rPr>
          <w:rFonts w:hint="eastAsia" w:ascii="华文行楷" w:hAnsi="华文行楷" w:eastAsia="华文行楷" w:cs="华文行楷"/>
          <w:b/>
          <w:color w:val="auto"/>
          <w:sz w:val="52"/>
          <w:szCs w:val="52"/>
          <w:lang w:val="en-US" w:eastAsia="zh-CN"/>
        </w:rPr>
        <w:t>四川省阿坝州金川县</w:t>
      </w:r>
    </w:p>
    <w:p>
      <w:pPr>
        <w:spacing w:line="940" w:lineRule="atLeast"/>
        <w:jc w:val="center"/>
        <w:rPr>
          <w:rFonts w:hint="eastAsia" w:ascii="华文行楷" w:hAnsi="华文行楷" w:eastAsia="华文行楷" w:cs="华文行楷"/>
          <w:b/>
          <w:color w:val="auto"/>
          <w:sz w:val="52"/>
          <w:szCs w:val="52"/>
          <w:lang w:val="en-US" w:eastAsia="zh-CN"/>
        </w:rPr>
      </w:pPr>
      <w:r>
        <w:rPr>
          <w:rFonts w:hint="eastAsia" w:ascii="华文行楷" w:hAnsi="华文行楷" w:eastAsia="华文行楷" w:cs="华文行楷"/>
          <w:b/>
          <w:color w:val="auto"/>
          <w:sz w:val="52"/>
          <w:szCs w:val="52"/>
          <w:lang w:val="en-US" w:eastAsia="zh-CN"/>
        </w:rPr>
        <w:t>发展改革和经济商务信息化局</w:t>
      </w:r>
    </w:p>
    <w:p>
      <w:pPr>
        <w:spacing w:line="940" w:lineRule="atLeast"/>
        <w:jc w:val="center"/>
        <w:rPr>
          <w:rFonts w:hint="eastAsia" w:ascii="华文行楷" w:hAnsi="华文行楷" w:eastAsia="华文行楷" w:cs="华文行楷"/>
          <w:b/>
          <w:color w:val="auto"/>
          <w:sz w:val="52"/>
          <w:szCs w:val="52"/>
        </w:rPr>
      </w:pPr>
      <w:r>
        <w:rPr>
          <w:rFonts w:hint="eastAsia" w:ascii="华文行楷" w:hAnsi="华文行楷" w:eastAsia="华文行楷" w:cs="华文行楷"/>
          <w:b/>
          <w:color w:val="auto"/>
          <w:sz w:val="52"/>
          <w:szCs w:val="52"/>
          <w:lang w:val="en-US" w:eastAsia="zh-CN"/>
        </w:rPr>
        <w:t>2017年省级内贸流通服务业发展促进资金绩效评价</w:t>
      </w:r>
      <w:r>
        <w:rPr>
          <w:rFonts w:hint="eastAsia" w:ascii="华文行楷" w:hAnsi="华文行楷" w:eastAsia="华文行楷" w:cs="华文行楷"/>
          <w:b/>
          <w:color w:val="auto"/>
          <w:sz w:val="52"/>
          <w:szCs w:val="52"/>
        </w:rPr>
        <w:t>报告书</w:t>
      </w: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  <w:r>
        <w:rPr>
          <w:rFonts w:ascii="隶书" w:hAnsi="Courier New" w:eastAsia="隶书"/>
          <w:color w:val="auto"/>
          <w:spacing w:val="20"/>
          <w:sz w:val="36"/>
          <w:szCs w:val="36"/>
        </w:rPr>
        <w:drawing>
          <wp:inline distT="0" distB="0" distL="114300" distR="114300">
            <wp:extent cx="3466465" cy="1506220"/>
            <wp:effectExtent l="0" t="0" r="635" b="17780"/>
            <wp:docPr id="1" name="图片 1" descr="中兴华会计师事务所所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兴华会计师事务所所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both"/>
        <w:rPr>
          <w:rFonts w:hint="eastAsia" w:ascii="Arial" w:hAnsi="Arial" w:eastAsia="华文新魏" w:cs="Arial"/>
          <w:color w:val="auto"/>
          <w:sz w:val="48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 w:eastAsia="华文行楷"/>
          <w:b/>
          <w:bCs/>
          <w:color w:val="auto"/>
          <w:sz w:val="44"/>
        </w:rPr>
      </w:pPr>
      <w:r>
        <w:rPr>
          <w:rFonts w:hint="eastAsia" w:eastAsia="华文行楷"/>
          <w:b/>
          <w:bCs/>
          <w:color w:val="auto"/>
          <w:sz w:val="44"/>
        </w:rPr>
        <w:t>中兴华会计师事务所(特殊普通合伙)</w:t>
      </w:r>
    </w:p>
    <w:p>
      <w:pPr>
        <w:jc w:val="center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>ZHONGXINGHAU CERTIFIED PUBLIC ACCOUNTANTS LLP</w:t>
      </w:r>
    </w:p>
    <w:p>
      <w:pPr>
        <w:spacing w:line="160" w:lineRule="exact"/>
        <w:rPr>
          <w:rFonts w:ascii="黑体" w:eastAsia="黑体"/>
          <w:color w:val="auto"/>
          <w:w w:val="90"/>
          <w:sz w:val="28"/>
        </w:rPr>
      </w:pPr>
    </w:p>
    <w:p>
      <w:pPr>
        <w:spacing w:line="600" w:lineRule="atLeast"/>
        <w:rPr>
          <w:rFonts w:hint="eastAsia" w:ascii="黑体" w:eastAsia="黑体"/>
          <w:color w:val="auto"/>
          <w:w w:val="90"/>
          <w:sz w:val="28"/>
        </w:rPr>
      </w:pPr>
      <w:r>
        <w:rPr>
          <w:rFonts w:hint="eastAsia" w:ascii="黑体" w:eastAsia="黑体"/>
          <w:color w:val="auto"/>
          <w:w w:val="90"/>
          <w:sz w:val="28"/>
        </w:rPr>
        <w:t>地址：</w:t>
      </w:r>
      <w:r>
        <w:rPr>
          <w:rFonts w:hint="eastAsia" w:ascii="黑体" w:eastAsia="黑体"/>
          <w:color w:val="auto"/>
          <w:w w:val="90"/>
          <w:sz w:val="28"/>
          <w:lang w:eastAsia="zh-CN"/>
        </w:rPr>
        <w:t>成都市金牛区蜀西路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49号盛大国际3幢4楼401</w:t>
      </w:r>
      <w:r>
        <w:rPr>
          <w:rFonts w:hint="eastAsia" w:ascii="黑体" w:eastAsia="黑体"/>
          <w:color w:val="auto"/>
          <w:w w:val="90"/>
          <w:sz w:val="28"/>
        </w:rPr>
        <w:t xml:space="preserve"> </w:t>
      </w:r>
      <w:r>
        <w:rPr>
          <w:rFonts w:ascii="黑体" w:eastAsia="黑体"/>
          <w:color w:val="auto"/>
          <w:w w:val="90"/>
          <w:sz w:val="24"/>
        </w:rPr>
        <w:t xml:space="preserve"> </w:t>
      </w:r>
      <w:r>
        <w:rPr>
          <w:rFonts w:hint="eastAsia" w:ascii="黑体" w:eastAsia="黑体"/>
          <w:color w:val="auto"/>
          <w:w w:val="90"/>
          <w:sz w:val="24"/>
        </w:rPr>
        <w:t xml:space="preserve">    </w:t>
      </w:r>
      <w:r>
        <w:rPr>
          <w:rFonts w:ascii="黑体" w:eastAsia="黑体"/>
          <w:color w:val="auto"/>
          <w:w w:val="90"/>
          <w:sz w:val="24"/>
        </w:rPr>
        <w:t xml:space="preserve"> </w:t>
      </w:r>
      <w:r>
        <w:rPr>
          <w:rFonts w:ascii="黑体" w:eastAsia="黑体"/>
          <w:color w:val="auto"/>
          <w:w w:val="90"/>
          <w:sz w:val="28"/>
        </w:rPr>
        <w:t xml:space="preserve"> </w:t>
      </w:r>
      <w:r>
        <w:rPr>
          <w:rFonts w:hint="eastAsia" w:ascii="黑体" w:eastAsia="黑体"/>
          <w:color w:val="auto"/>
          <w:w w:val="90"/>
          <w:sz w:val="28"/>
        </w:rPr>
        <w:t>邮编：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610037</w:t>
      </w:r>
    </w:p>
    <w:p>
      <w:pPr>
        <w:snapToGrid/>
        <w:spacing w:line="600" w:lineRule="atLeast"/>
        <w:jc w:val="both"/>
        <w:rPr>
          <w:rFonts w:hint="eastAsia" w:ascii="宋体" w:hAnsi="宋体" w:eastAsia="宋体"/>
          <w:b/>
          <w:color w:val="auto"/>
          <w:sz w:val="28"/>
          <w:szCs w:val="30"/>
        </w:rPr>
      </w:pPr>
      <w:r>
        <w:rPr>
          <w:rFonts w:hint="eastAsia" w:ascii="黑体" w:eastAsia="黑体"/>
          <w:color w:val="auto"/>
          <w:w w:val="90"/>
          <w:sz w:val="28"/>
        </w:rPr>
        <w:t>电话：</w:t>
      </w:r>
      <w:r>
        <w:rPr>
          <w:rFonts w:ascii="黑体" w:eastAsia="黑体"/>
          <w:color w:val="auto"/>
          <w:w w:val="90"/>
          <w:sz w:val="28"/>
        </w:rPr>
        <w:t>(</w:t>
      </w:r>
      <w:r>
        <w:rPr>
          <w:rFonts w:hint="eastAsia" w:ascii="黑体" w:eastAsia="黑体"/>
          <w:color w:val="auto"/>
          <w:w w:val="90"/>
          <w:sz w:val="28"/>
        </w:rPr>
        <w:t>0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28</w:t>
      </w:r>
      <w:r>
        <w:rPr>
          <w:rFonts w:ascii="黑体" w:eastAsia="黑体"/>
          <w:color w:val="auto"/>
          <w:w w:val="90"/>
          <w:sz w:val="28"/>
        </w:rPr>
        <w:t>)</w:t>
      </w:r>
      <w:r>
        <w:rPr>
          <w:rFonts w:hint="eastAsia" w:ascii="黑体" w:eastAsia="黑体"/>
          <w:color w:val="auto"/>
          <w:w w:val="90"/>
          <w:sz w:val="28"/>
        </w:rPr>
        <w:t>87779320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\18190919202</w:t>
      </w:r>
      <w:r>
        <w:rPr>
          <w:rFonts w:ascii="黑体" w:eastAsia="黑体"/>
          <w:color w:val="auto"/>
          <w:w w:val="90"/>
          <w:sz w:val="28"/>
        </w:rPr>
        <w:t xml:space="preserve">         </w:t>
      </w:r>
      <w:r>
        <w:rPr>
          <w:rFonts w:hint="eastAsia" w:ascii="黑体" w:eastAsia="黑体"/>
          <w:color w:val="auto"/>
          <w:w w:val="90"/>
          <w:sz w:val="28"/>
        </w:rPr>
        <w:t xml:space="preserve"> </w:t>
      </w:r>
      <w:r>
        <w:rPr>
          <w:rFonts w:ascii="黑体" w:eastAsia="黑体"/>
          <w:color w:val="auto"/>
          <w:w w:val="90"/>
          <w:sz w:val="28"/>
        </w:rPr>
        <w:t xml:space="preserve">   </w:t>
      </w:r>
      <w:r>
        <w:rPr>
          <w:rFonts w:hint="eastAsia" w:ascii="黑体" w:eastAsia="黑体"/>
          <w:color w:val="auto"/>
          <w:w w:val="90"/>
          <w:sz w:val="28"/>
        </w:rPr>
        <w:t xml:space="preserve">   传真：</w:t>
      </w:r>
      <w:r>
        <w:rPr>
          <w:rFonts w:ascii="黑体" w:eastAsia="黑体"/>
          <w:color w:val="auto"/>
          <w:w w:val="90"/>
          <w:sz w:val="28"/>
        </w:rPr>
        <w:t>(</w:t>
      </w:r>
      <w:r>
        <w:rPr>
          <w:rFonts w:hint="eastAsia" w:ascii="黑体" w:eastAsia="黑体"/>
          <w:color w:val="auto"/>
          <w:w w:val="90"/>
          <w:sz w:val="28"/>
        </w:rPr>
        <w:t>0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28</w:t>
      </w:r>
      <w:r>
        <w:rPr>
          <w:rFonts w:ascii="黑体" w:eastAsia="黑体"/>
          <w:color w:val="auto"/>
          <w:w w:val="90"/>
          <w:sz w:val="28"/>
        </w:rPr>
        <w:t>)</w:t>
      </w:r>
      <w:r>
        <w:rPr>
          <w:rFonts w:hint="eastAsia" w:ascii="黑体" w:eastAsia="黑体"/>
          <w:color w:val="auto"/>
          <w:w w:val="90"/>
          <w:sz w:val="28"/>
        </w:rPr>
        <w:t>87776280</w:t>
      </w: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color w:val="auto"/>
          <w:sz w:val="28"/>
          <w:szCs w:val="30"/>
        </w:rPr>
      </w:pP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color w:val="auto"/>
          <w:sz w:val="36"/>
          <w:szCs w:val="36"/>
          <w:lang w:val="en-US" w:eastAsia="zh-CN"/>
        </w:rPr>
        <w:t>金川县发展改革和经济商务信息化局</w:t>
      </w: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color w:val="auto"/>
          <w:sz w:val="36"/>
          <w:szCs w:val="36"/>
          <w:lang w:val="en-US" w:eastAsia="zh-CN"/>
        </w:rPr>
        <w:t>2017年省级内贸流通服务业发展促进资金</w:t>
      </w:r>
    </w:p>
    <w:p>
      <w:pPr>
        <w:snapToGrid w:val="0"/>
        <w:spacing w:line="400" w:lineRule="exact"/>
        <w:jc w:val="center"/>
        <w:rPr>
          <w:rFonts w:ascii="宋体" w:hAnsi="宋体" w:eastAsia="宋体"/>
          <w:b/>
          <w:color w:val="auto"/>
          <w:sz w:val="36"/>
          <w:szCs w:val="36"/>
        </w:rPr>
      </w:pPr>
      <w:r>
        <w:rPr>
          <w:rFonts w:ascii="宋体" w:hAnsi="宋体" w:eastAsia="宋体"/>
          <w:b/>
          <w:color w:val="auto"/>
          <w:sz w:val="36"/>
          <w:szCs w:val="36"/>
        </w:rPr>
        <w:t>绩效</w:t>
      </w:r>
      <w:r>
        <w:rPr>
          <w:rFonts w:hint="eastAsia" w:ascii="宋体" w:hAnsi="宋体" w:eastAsia="宋体"/>
          <w:b/>
          <w:color w:val="auto"/>
          <w:sz w:val="36"/>
          <w:szCs w:val="36"/>
        </w:rPr>
        <w:t>评价</w:t>
      </w:r>
      <w:r>
        <w:rPr>
          <w:rFonts w:ascii="宋体" w:hAnsi="宋体" w:eastAsia="宋体"/>
          <w:b/>
          <w:color w:val="auto"/>
          <w:sz w:val="36"/>
          <w:szCs w:val="36"/>
        </w:rPr>
        <w:t>报告</w:t>
      </w:r>
    </w:p>
    <w:p>
      <w:pPr>
        <w:spacing w:line="578" w:lineRule="exact"/>
        <w:jc w:val="both"/>
        <w:rPr>
          <w:rFonts w:hint="eastAsia" w:ascii="宋体" w:hAnsi="宋体" w:eastAsia="仿宋_GB2312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金川县财政局：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我们接受委托，对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金川县发展改革和经济商务信息化局“</w:t>
      </w:r>
      <w:r>
        <w:rPr>
          <w:rFonts w:hint="eastAsia" w:ascii="宋体" w:hAnsi="宋体"/>
          <w:color w:val="auto"/>
          <w:sz w:val="24"/>
          <w:szCs w:val="24"/>
        </w:rPr>
        <w:t>关于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2017年省级内贸流通服务业发展促进资金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”</w:t>
      </w:r>
      <w:r>
        <w:rPr>
          <w:rFonts w:hint="eastAsia" w:ascii="宋体" w:hAnsi="宋体"/>
          <w:color w:val="auto"/>
          <w:sz w:val="24"/>
          <w:szCs w:val="24"/>
        </w:rPr>
        <w:t>(以下简称“该项目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或项目</w:t>
      </w:r>
      <w:r>
        <w:rPr>
          <w:rFonts w:hint="eastAsia" w:ascii="宋体" w:hAnsi="宋体"/>
          <w:color w:val="auto"/>
          <w:sz w:val="24"/>
          <w:szCs w:val="24"/>
        </w:rPr>
        <w:t>”)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进行了绩效评价。</w:t>
      </w:r>
      <w:r>
        <w:rPr>
          <w:rFonts w:hint="eastAsia" w:ascii="宋体" w:hAnsi="宋体"/>
          <w:color w:val="auto"/>
          <w:sz w:val="24"/>
          <w:szCs w:val="24"/>
        </w:rPr>
        <w:t>提供该项目有关</w:t>
      </w:r>
      <w:r>
        <w:rPr>
          <w:rFonts w:ascii="宋体" w:hAnsi="宋体"/>
          <w:color w:val="auto"/>
          <w:sz w:val="24"/>
          <w:szCs w:val="24"/>
        </w:rPr>
        <w:t>的真实、合法、完整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的专项</w:t>
      </w:r>
      <w:r>
        <w:rPr>
          <w:rFonts w:hint="eastAsia" w:ascii="宋体" w:hAnsi="宋体"/>
          <w:color w:val="auto"/>
          <w:sz w:val="24"/>
          <w:szCs w:val="24"/>
        </w:rPr>
        <w:t>资金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收支的财务资料以及相关的文件</w:t>
      </w:r>
      <w:r>
        <w:rPr>
          <w:rFonts w:ascii="宋体" w:hAnsi="宋体"/>
          <w:color w:val="auto"/>
          <w:sz w:val="24"/>
          <w:szCs w:val="24"/>
        </w:rPr>
        <w:t>是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金川县发展改革和经济商务信息化局的</w:t>
      </w:r>
      <w:r>
        <w:rPr>
          <w:rFonts w:ascii="宋体" w:hAnsi="宋体"/>
          <w:color w:val="auto"/>
          <w:sz w:val="24"/>
          <w:szCs w:val="24"/>
        </w:rPr>
        <w:t>的责任，我们的责任</w:t>
      </w:r>
      <w:r>
        <w:rPr>
          <w:rFonts w:hint="eastAsia" w:ascii="宋体" w:hAnsi="宋体"/>
          <w:color w:val="auto"/>
          <w:sz w:val="24"/>
          <w:szCs w:val="24"/>
        </w:rPr>
        <w:t>是</w:t>
      </w:r>
      <w:r>
        <w:rPr>
          <w:rFonts w:ascii="宋体" w:hAnsi="宋体"/>
          <w:color w:val="auto"/>
          <w:sz w:val="24"/>
          <w:szCs w:val="24"/>
        </w:rPr>
        <w:t>本着独立、客观、公正的原则，在实施必要</w:t>
      </w:r>
      <w:r>
        <w:rPr>
          <w:rFonts w:hint="eastAsia" w:ascii="宋体" w:hAnsi="宋体"/>
          <w:color w:val="auto"/>
          <w:sz w:val="24"/>
          <w:szCs w:val="24"/>
        </w:rPr>
        <w:t>评价</w:t>
      </w:r>
      <w:r>
        <w:rPr>
          <w:rFonts w:ascii="宋体" w:hAnsi="宋体"/>
          <w:color w:val="auto"/>
          <w:sz w:val="24"/>
          <w:szCs w:val="24"/>
        </w:rPr>
        <w:t>程序的基础上发表</w:t>
      </w:r>
      <w:r>
        <w:rPr>
          <w:rFonts w:hint="eastAsia" w:ascii="宋体" w:hAnsi="宋体"/>
          <w:color w:val="auto"/>
          <w:sz w:val="24"/>
          <w:szCs w:val="24"/>
        </w:rPr>
        <w:t>评价</w:t>
      </w:r>
      <w:r>
        <w:rPr>
          <w:rFonts w:ascii="宋体" w:hAnsi="宋体"/>
          <w:color w:val="auto"/>
          <w:sz w:val="24"/>
          <w:szCs w:val="24"/>
        </w:rPr>
        <w:t>意见。</w:t>
      </w:r>
      <w:r>
        <w:rPr>
          <w:rFonts w:hint="eastAsia" w:ascii="宋体" w:hAnsi="宋体"/>
          <w:color w:val="auto"/>
          <w:sz w:val="24"/>
          <w:szCs w:val="24"/>
        </w:rPr>
        <w:t>我们的评价是依据财政部《财政支出绩效评价管理暂行办法》(财预〔2011〕285号）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和四川省财政厅《关于四川省财政支出绩效评价操作规程（试行）》（川财绩</w:t>
      </w:r>
      <w:r>
        <w:rPr>
          <w:rFonts w:hint="eastAsia" w:ascii="宋体" w:hAnsi="宋体"/>
          <w:color w:val="auto"/>
          <w:sz w:val="24"/>
          <w:szCs w:val="24"/>
        </w:rPr>
        <w:t>〔201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color w:val="auto"/>
          <w:sz w:val="24"/>
          <w:szCs w:val="24"/>
        </w:rPr>
        <w:t>〕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2号）《省级电子商务脱贫奔康示范项目资金管理办法》</w:t>
      </w:r>
      <w:r>
        <w:rPr>
          <w:rFonts w:hint="eastAsia" w:ascii="宋体" w:hAnsi="宋体"/>
          <w:color w:val="auto"/>
          <w:sz w:val="24"/>
          <w:szCs w:val="24"/>
        </w:rPr>
        <w:t>进行的。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在评价过程中，我们结合该项目的实际情况，实施了包括检查会计记录、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实地查看、</w:t>
      </w:r>
      <w:r>
        <w:rPr>
          <w:rFonts w:hint="eastAsia" w:ascii="宋体" w:hAnsi="宋体"/>
          <w:color w:val="auto"/>
          <w:sz w:val="24"/>
          <w:szCs w:val="24"/>
        </w:rPr>
        <w:t>核实和调阅上级文件等我们认为必要的评价程序。我们相信，我们的工作为发表评价意见提供了合理的基础。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5"/>
        <w:textAlignment w:val="auto"/>
        <w:rPr>
          <w:rFonts w:hint="eastAsia" w:hAnsi="宋体" w:eastAsia="仿宋_GB2312"/>
          <w:color w:val="auto"/>
          <w:sz w:val="21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我们的</w:t>
      </w:r>
      <w:r>
        <w:rPr>
          <w:rFonts w:ascii="宋体" w:hAnsi="宋体"/>
          <w:color w:val="auto"/>
          <w:sz w:val="24"/>
          <w:szCs w:val="24"/>
        </w:rPr>
        <w:t>现场</w:t>
      </w:r>
      <w:r>
        <w:rPr>
          <w:rFonts w:hint="eastAsia" w:ascii="宋体" w:hAnsi="宋体"/>
          <w:color w:val="auto"/>
          <w:sz w:val="24"/>
          <w:szCs w:val="24"/>
        </w:rPr>
        <w:t>评价</w:t>
      </w:r>
      <w:r>
        <w:rPr>
          <w:rFonts w:ascii="宋体" w:hAnsi="宋体"/>
          <w:color w:val="auto"/>
          <w:sz w:val="24"/>
          <w:szCs w:val="24"/>
        </w:rPr>
        <w:t>工作已</w:t>
      </w:r>
      <w:r>
        <w:rPr>
          <w:rFonts w:ascii="宋体" w:hAnsi="宋体"/>
          <w:color w:val="auto"/>
          <w:sz w:val="24"/>
          <w:szCs w:val="24"/>
          <w:highlight w:val="none"/>
        </w:rPr>
        <w:t>于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201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ascii="宋体" w:hAnsi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ascii="宋体" w:hAnsi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15</w:t>
      </w:r>
      <w:r>
        <w:rPr>
          <w:rFonts w:ascii="宋体" w:hAnsi="宋体"/>
          <w:color w:val="auto"/>
          <w:sz w:val="24"/>
          <w:szCs w:val="24"/>
          <w:highlight w:val="none"/>
        </w:rPr>
        <w:t>日结束</w:t>
      </w:r>
      <w:r>
        <w:rPr>
          <w:rFonts w:ascii="宋体" w:hAnsi="宋体"/>
          <w:color w:val="auto"/>
          <w:sz w:val="24"/>
          <w:szCs w:val="24"/>
        </w:rPr>
        <w:t>，现将</w:t>
      </w:r>
      <w:r>
        <w:rPr>
          <w:rFonts w:hint="eastAsia" w:ascii="宋体" w:hAnsi="宋体"/>
          <w:color w:val="auto"/>
          <w:sz w:val="24"/>
          <w:szCs w:val="24"/>
        </w:rPr>
        <w:t>评价</w:t>
      </w:r>
      <w:r>
        <w:rPr>
          <w:rFonts w:ascii="宋体" w:hAnsi="宋体"/>
          <w:color w:val="auto"/>
          <w:sz w:val="24"/>
          <w:szCs w:val="24"/>
        </w:rPr>
        <w:t>情况报告如下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  <w:t>项目实施单位基本情况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金川县发展改革和经济商务信息化局总编制25名，实有人员25人。行政编制15名，实有15人；事业编制10人，实有10人，退休人员2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color w:val="auto"/>
          <w:sz w:val="24"/>
          <w:szCs w:val="24"/>
        </w:rPr>
        <w:t>人。全局内设办公室、综合规划股、项目投资和审批股、工交能源股、农村经济股、工业经济和信息化股、商务股。主要职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责</w:t>
      </w:r>
      <w:r>
        <w:rPr>
          <w:rFonts w:hint="eastAsia" w:ascii="宋体" w:hAnsi="宋体"/>
          <w:color w:val="auto"/>
          <w:sz w:val="24"/>
          <w:szCs w:val="24"/>
        </w:rPr>
        <w:t>:贯彻实施国家、省、州有关国民经济和社会发展、经济体制改革的方针、政策和法律、法规；……推进可持续发展，负责全县节能减排的综合协调工作；指导、协调并综合管理全县招标投标工作……；负责监测、分析工业经济运行态势和质量；负责全县企业技术改造推进工作；负责全县工业和信息化领域的节能降耗、清洁生产和资源节约与综合利用工作；承担全县服务业发展工作中组织实施的协调职责，推进流通产业结构调整；指导全县外商促进和管理工作；……承办县政府交办的其他事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根据金川县财政局《关于下达2017年省级内贸流通服务业发展促进资金的通知》（</w:t>
      </w:r>
      <w:r>
        <w:rPr>
          <w:rFonts w:hint="eastAsia" w:ascii="宋体" w:hAnsi="宋体"/>
          <w:color w:val="auto"/>
          <w:sz w:val="24"/>
          <w:szCs w:val="24"/>
        </w:rPr>
        <w:t>金财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建</w:t>
      </w:r>
      <w:r>
        <w:rPr>
          <w:rFonts w:hint="eastAsia" w:ascii="宋体" w:hAnsi="宋体"/>
          <w:color w:val="auto"/>
          <w:sz w:val="24"/>
          <w:szCs w:val="24"/>
        </w:rPr>
        <w:t>[2017]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19</w:t>
      </w:r>
      <w:r>
        <w:rPr>
          <w:rFonts w:hint="eastAsia" w:ascii="宋体" w:hAnsi="宋体"/>
          <w:color w:val="auto"/>
          <w:sz w:val="24"/>
          <w:szCs w:val="24"/>
        </w:rPr>
        <w:t>号）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auto"/>
          <w:sz w:val="24"/>
          <w:szCs w:val="24"/>
        </w:rPr>
        <w:t>下达资金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6,000,000.00</w:t>
      </w:r>
      <w:r>
        <w:rPr>
          <w:rFonts w:hint="eastAsia" w:ascii="宋体" w:hAnsi="宋体"/>
          <w:color w:val="auto"/>
          <w:sz w:val="24"/>
          <w:szCs w:val="24"/>
        </w:rPr>
        <w:t>元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。项目经过竞争性谈判，由金川藏地秘宝电子商务有限公司实施，项目计划总投资12,000,000.00元，省级专项补助资金6,000,000.00元，地方财政配套资金3,000,000.00元，企业自筹3,000,000.00元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项目资金主要用于：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省级财政补助资金6,000,000.00</w:t>
      </w:r>
      <w:r>
        <w:rPr>
          <w:rFonts w:hint="eastAsia" w:ascii="宋体" w:hAnsi="宋体"/>
          <w:color w:val="auto"/>
          <w:sz w:val="24"/>
          <w:szCs w:val="24"/>
        </w:rPr>
        <w:t>元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，主要用于电商公共机构机构的建设1,900,000.00</w:t>
      </w:r>
      <w:r>
        <w:rPr>
          <w:rFonts w:hint="eastAsia" w:ascii="宋体" w:hAnsi="宋体"/>
          <w:color w:val="auto"/>
          <w:sz w:val="24"/>
          <w:szCs w:val="24"/>
        </w:rPr>
        <w:t>元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，物流配送体系建设1,450,000.00元，电子商务人才培训1,000,000.00元，特色品牌和网销体系建设1,650,000.00元。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评价结论及绩效分析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（一）评价结论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项目的实施，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促进了贫困户脱贫，增加了就业岗位，增加了当地农牧民的经济收入，带动了当地交通运输业、乡村旅游业的迅速发展。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根据</w:t>
      </w:r>
      <w:r>
        <w:rPr>
          <w:rFonts w:hint="eastAsia" w:ascii="宋体" w:hAnsi="宋体"/>
          <w:sz w:val="24"/>
          <w:szCs w:val="24"/>
        </w:rPr>
        <w:t>2018年阿坝州项目支出绩效评价指标体系</w:t>
      </w:r>
      <w:r>
        <w:rPr>
          <w:rFonts w:hint="eastAsia" w:ascii="宋体" w:hAnsi="宋体"/>
          <w:sz w:val="24"/>
          <w:szCs w:val="24"/>
          <w:lang w:val="en-US" w:eastAsia="zh-CN"/>
        </w:rPr>
        <w:t>评分，该项目综合得分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89</w:t>
      </w:r>
      <w:r>
        <w:rPr>
          <w:rFonts w:hint="eastAsia" w:ascii="宋体" w:hAnsi="宋体"/>
          <w:sz w:val="24"/>
          <w:szCs w:val="24"/>
          <w:lang w:val="en-US" w:eastAsia="zh-CN"/>
        </w:rPr>
        <w:t>份。具体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评分情况详见附表一：</w:t>
      </w:r>
      <w:r>
        <w:rPr>
          <w:rFonts w:hint="eastAsia" w:ascii="宋体" w:hAnsi="宋体"/>
          <w:color w:val="auto"/>
          <w:sz w:val="24"/>
          <w:szCs w:val="24"/>
        </w:rPr>
        <w:t>2018年阿坝州项目支出绩效评价指标体系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（二）绩效分析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1、项目决策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项目的必要性：因金川县电子商务起步相对较晚，受信息交流、交通运输、支柱产业的影响，金川本地农产品金川雪梨、金川雪梨膏及相关产品、甜樱桃、中药材等特色农产品得不到有效销售。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项目的可行性：按照“企业主体、政府推动、市场运作、合作共赢”的原则，结合金川县优质的农林牧特产资源，深入贯彻国家“互联网+”的战略，开展电子商务的精准脱贫。打通“工业品下乡，农产品进城”双向通道，解决“最初和最后的一公里”的问题，拓宽金川县农村网购，网销渠道，推动农业增效和农民增收，促进贫困户脱贫奔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 xml:space="preserve">绩效目标设置情况：建立1个县级电商公共发展中心，2个片区服务中心，8个电子商务服务站，20个电子商务服务点，培育农村综合电子商务示范村1个，培育电子商务配套服务示范企业2家，建立人才培训基地一个，培育网商、微商上百家，培训电子商务人员1000以上人次，建立完善的乡村物流体系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2、项目管理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项目资金到位情况：下达2017年省级内贸流通服务业发展促进资金6,000,000.00元。资金到位率100%。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项目资金使用情况：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主要用于电商公共机构机构的建设1,900,000.00元，物流配送体系建设1,450,000.00元，电子商务人才培训1,000,000.00元，特色品牌和网销体系建设1,650,000.00元</w:t>
      </w:r>
      <w:r>
        <w:rPr>
          <w:rFonts w:hint="eastAsia" w:ascii="宋体" w:hAnsi="宋体"/>
          <w:sz w:val="24"/>
          <w:szCs w:val="24"/>
          <w:lang w:val="en-US" w:eastAsia="zh-CN"/>
        </w:rPr>
        <w:t>。按照合同要求，分三次全部拨付到实施企业。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项目资金管理情况：项目资金严格按照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《省级电子商务脱贫奔康示范项目资金管理办法》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进行管理和使用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。</w:t>
      </w:r>
      <w:r>
        <w:rPr>
          <w:rFonts w:hint="eastAsia" w:ascii="宋体" w:hAnsi="宋体"/>
          <w:sz w:val="24"/>
          <w:szCs w:val="24"/>
          <w:lang w:val="en-US" w:eastAsia="zh-CN"/>
        </w:rPr>
        <w:t>项目资金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基本上</w:t>
      </w:r>
      <w:r>
        <w:rPr>
          <w:rFonts w:hint="eastAsia" w:ascii="宋体" w:hAnsi="宋体"/>
          <w:sz w:val="24"/>
          <w:szCs w:val="24"/>
          <w:lang w:val="en-US" w:eastAsia="zh-CN"/>
        </w:rPr>
        <w:t>做到了专款专用。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3、项目绩效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按照预定进度计划已完成目标任务，已通过县级、州级验收，完成目标任务率为100%。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该项目取得经济效益：促进贫困户脱贫，增加及就业岗位，增加了当地农牧民的经济收入，带动了当地交通运输业、乡村旅游业的迅速发展。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社会效益：物流仓储配送体系建设，使金川物流整体运营价格比建设前相比有明显降低；电商培训推广体系建设，已完成电商人才培训1700余人次，带动创业就业80余人次，培育网商83家；建立“东女国”县域公共品牌，制作“金川雪梨”“金川雪梨膏”“金川蜂蜜”“金川花椒”的产品包装，未金川农产品提供统一的流通标准，提升了金川县、金川县农产品、金川出品的知名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我们选择抽取了</w:t>
      </w:r>
      <w:r>
        <w:rPr>
          <w:rFonts w:hint="eastAsia" w:ascii="宋体" w:hAnsi="宋体"/>
          <w:color w:val="auto"/>
          <w:sz w:val="24"/>
          <w:szCs w:val="24"/>
        </w:rPr>
        <w:t>马尔邦乡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和</w:t>
      </w:r>
      <w:r>
        <w:rPr>
          <w:rFonts w:hint="eastAsia" w:ascii="宋体" w:hAnsi="宋体"/>
          <w:color w:val="auto"/>
          <w:sz w:val="24"/>
          <w:szCs w:val="24"/>
        </w:rPr>
        <w:t>马奈乡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电商公共机构建设、物流配送体系建设、电子商务人才培训及特色品牌和网销体系建设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进行了实地查看；查看表明，项目均已实施。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存在主要问题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  <w:t>未按资金文件及项目合同规定的时间和方式进行资金拨付。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  <w:t>根据四川省商务厅《关于2017年全省电子商务重点地区示范项目建设有关要求的通知》（川商电商[2017]23号）“第三条限期完成资金拨付务必于2017年11月15日之前将省级资金全额拨付给项目承办机构”，但根据项目合同书“第四条 服务费用及支付方式 项目运行及验收审计后，拨付省级财政补助资金20%尾款”，项目2018年6月20号验收，资金于2017年12月拨付。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相关措施建议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  <w:t xml:space="preserve"> 加大电子商务的培训及宣传。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本报告使用范围</w:t>
      </w: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本报告是在贵局所提供的现有资料基础上检查做出的结论，仅供金川县财政局区了解金川县发展改革和经济商务信息化局2017年省级内贸流通服务业发展促进资金绩效评价情况使用，不作为其他用途，如因使用不当所造成的后果，与本所和签字注册会计师无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附件一：</w:t>
      </w:r>
      <w:r>
        <w:rPr>
          <w:rFonts w:hint="eastAsia" w:ascii="宋体" w:hAnsi="宋体"/>
          <w:color w:val="auto"/>
          <w:sz w:val="24"/>
          <w:szCs w:val="24"/>
        </w:rPr>
        <w:t>2018年阿坝州项目支出绩效评价指标体系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中兴华会计师事务所</w:t>
      </w:r>
      <w:r>
        <w:rPr>
          <w:rFonts w:hint="eastAsia" w:ascii="仿宋" w:hAnsi="仿宋" w:eastAsia="仿宋" w:cs="仿宋"/>
          <w:color w:val="auto"/>
          <w:sz w:val="24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</w:rPr>
        <w:t>中国注册会计师：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（特殊普通合伙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</w:rPr>
        <w:t>中国注册会计师：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中国·四川·成都  　　 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</w:rPr>
        <w:t xml:space="preserve"> 报告日期：二0一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八</w:t>
      </w:r>
      <w:r>
        <w:rPr>
          <w:rFonts w:hint="eastAsia" w:ascii="仿宋" w:hAnsi="仿宋" w:eastAsia="仿宋" w:cs="仿宋"/>
          <w:color w:val="auto"/>
          <w:sz w:val="24"/>
        </w:rPr>
        <w:t>年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九</w:t>
      </w:r>
      <w:r>
        <w:rPr>
          <w:rFonts w:hint="eastAsia" w:ascii="仿宋" w:hAnsi="仿宋" w:eastAsia="仿宋" w:cs="仿宋"/>
          <w:color w:val="auto"/>
          <w:sz w:val="24"/>
        </w:rPr>
        <w:t>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十五日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>4 页</w:t>
                          </w:r>
                        </w:p>
                        <w:p>
                          <w:pPr>
                            <w:pStyle w:val="3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 共</w:t>
                    </w: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>4 页</w:t>
                    </w:r>
                  </w:p>
                  <w:p>
                    <w:pPr>
                      <w:pStyle w:val="3"/>
                      <w:rPr>
                        <w:rFonts w:hint="eastAsia" w:eastAsia="仿宋_GB2312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1FB74"/>
    <w:multiLevelType w:val="singleLevel"/>
    <w:tmpl w:val="1F11FB7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115B164"/>
    <w:multiLevelType w:val="singleLevel"/>
    <w:tmpl w:val="4115B1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37A7D"/>
    <w:rsid w:val="031A3999"/>
    <w:rsid w:val="052B36C2"/>
    <w:rsid w:val="06D10598"/>
    <w:rsid w:val="094272B4"/>
    <w:rsid w:val="09633B32"/>
    <w:rsid w:val="0AB50483"/>
    <w:rsid w:val="0B5F77F5"/>
    <w:rsid w:val="0BEA2B92"/>
    <w:rsid w:val="0CB253DE"/>
    <w:rsid w:val="0CC56D5E"/>
    <w:rsid w:val="0D0628B6"/>
    <w:rsid w:val="0D336BC2"/>
    <w:rsid w:val="0D58510D"/>
    <w:rsid w:val="0D9A2FD3"/>
    <w:rsid w:val="0EB56BD9"/>
    <w:rsid w:val="0FBC4412"/>
    <w:rsid w:val="10F710BF"/>
    <w:rsid w:val="11944CAD"/>
    <w:rsid w:val="127F0594"/>
    <w:rsid w:val="128A0EBC"/>
    <w:rsid w:val="12F73558"/>
    <w:rsid w:val="159D1AF1"/>
    <w:rsid w:val="18D325DB"/>
    <w:rsid w:val="1A82591E"/>
    <w:rsid w:val="1C2E58C4"/>
    <w:rsid w:val="1C6322F0"/>
    <w:rsid w:val="1E074D0D"/>
    <w:rsid w:val="1E9753E3"/>
    <w:rsid w:val="1F0A50CB"/>
    <w:rsid w:val="20B72A2D"/>
    <w:rsid w:val="231F61E2"/>
    <w:rsid w:val="23E942AD"/>
    <w:rsid w:val="263D173A"/>
    <w:rsid w:val="283A4A5F"/>
    <w:rsid w:val="288708B1"/>
    <w:rsid w:val="28EC77C6"/>
    <w:rsid w:val="2A2C6006"/>
    <w:rsid w:val="2A8D509E"/>
    <w:rsid w:val="2ACA7BCD"/>
    <w:rsid w:val="2BA82907"/>
    <w:rsid w:val="2F8809D3"/>
    <w:rsid w:val="33F969DA"/>
    <w:rsid w:val="34EA4C26"/>
    <w:rsid w:val="36293B42"/>
    <w:rsid w:val="366426A0"/>
    <w:rsid w:val="36F81653"/>
    <w:rsid w:val="38360154"/>
    <w:rsid w:val="38C448D2"/>
    <w:rsid w:val="39E93C9F"/>
    <w:rsid w:val="3AEA2EEF"/>
    <w:rsid w:val="3B7F4CBC"/>
    <w:rsid w:val="3C1F2484"/>
    <w:rsid w:val="3C2A22D4"/>
    <w:rsid w:val="3DB108B6"/>
    <w:rsid w:val="3F6939C3"/>
    <w:rsid w:val="410601B3"/>
    <w:rsid w:val="41E12E92"/>
    <w:rsid w:val="42D577B0"/>
    <w:rsid w:val="4A105772"/>
    <w:rsid w:val="4C523BC0"/>
    <w:rsid w:val="4CCB307D"/>
    <w:rsid w:val="4DB95AF1"/>
    <w:rsid w:val="51D072D7"/>
    <w:rsid w:val="52B913AA"/>
    <w:rsid w:val="532323C6"/>
    <w:rsid w:val="540B3EAB"/>
    <w:rsid w:val="550F545D"/>
    <w:rsid w:val="56FE3473"/>
    <w:rsid w:val="58997233"/>
    <w:rsid w:val="58CA2B2F"/>
    <w:rsid w:val="59495D47"/>
    <w:rsid w:val="5D063025"/>
    <w:rsid w:val="5D7D6A2F"/>
    <w:rsid w:val="5D9E2371"/>
    <w:rsid w:val="5E9B1791"/>
    <w:rsid w:val="5EE026F7"/>
    <w:rsid w:val="606B736F"/>
    <w:rsid w:val="6150132B"/>
    <w:rsid w:val="6220518E"/>
    <w:rsid w:val="62C56CE3"/>
    <w:rsid w:val="65341C7A"/>
    <w:rsid w:val="68A123FF"/>
    <w:rsid w:val="68DD3313"/>
    <w:rsid w:val="694E0062"/>
    <w:rsid w:val="69971BFE"/>
    <w:rsid w:val="6AB26AF5"/>
    <w:rsid w:val="6B1806CF"/>
    <w:rsid w:val="6BC363D3"/>
    <w:rsid w:val="6C12360D"/>
    <w:rsid w:val="6DF75DF9"/>
    <w:rsid w:val="6E1225B9"/>
    <w:rsid w:val="6E621AAC"/>
    <w:rsid w:val="6FAF2D2E"/>
    <w:rsid w:val="6FC12491"/>
    <w:rsid w:val="70CD3BA7"/>
    <w:rsid w:val="71A54E2E"/>
    <w:rsid w:val="72CD5043"/>
    <w:rsid w:val="738F4450"/>
    <w:rsid w:val="74031A23"/>
    <w:rsid w:val="74CF000B"/>
    <w:rsid w:val="775326D0"/>
    <w:rsid w:val="790528BB"/>
    <w:rsid w:val="79C4282A"/>
    <w:rsid w:val="7B1677D9"/>
    <w:rsid w:val="7B5452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323232"/>
      <w:u w:val="none"/>
    </w:rPr>
  </w:style>
  <w:style w:type="character" w:styleId="8">
    <w:name w:val="Hyperlink"/>
    <w:basedOn w:val="6"/>
    <w:uiPriority w:val="0"/>
    <w:rPr>
      <w:color w:val="323232"/>
      <w:u w:val="none"/>
    </w:rPr>
  </w:style>
  <w:style w:type="character" w:customStyle="1" w:styleId="10">
    <w:name w:val="bsharetex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孙东华</dc:creator>
  <cp:lastModifiedBy>橙子</cp:lastModifiedBy>
  <dcterms:modified xsi:type="dcterms:W3CDTF">2018-10-23T01:58:55Z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