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发展改革和经济商务信息化局</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2017年易地扶贫搬迁中央预算内资金</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金川县发展改革和经济商务信息化局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2017年易地扶贫搬迁中央预算内资金</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金川县发展改革和经济商务信息化局“</w:t>
      </w:r>
      <w:r>
        <w:rPr>
          <w:rFonts w:hint="eastAsia" w:ascii="宋体" w:hAnsi="宋体"/>
          <w:color w:val="auto"/>
          <w:sz w:val="24"/>
          <w:szCs w:val="24"/>
        </w:rPr>
        <w:t>关于</w:t>
      </w:r>
      <w:r>
        <w:rPr>
          <w:rFonts w:hint="eastAsia" w:ascii="宋体" w:hAnsi="宋体"/>
          <w:color w:val="auto"/>
          <w:sz w:val="24"/>
          <w:szCs w:val="24"/>
          <w:lang w:val="en-US" w:eastAsia="zh-CN"/>
        </w:rPr>
        <w:t>2017年易地扶贫搬迁中央预算内资金”</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金川县发展改革和经济商务信息化局的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2号）《四川省易地扶贫搬迁项目资金管理办法》（川财农</w:t>
      </w:r>
      <w:r>
        <w:rPr>
          <w:rFonts w:hint="eastAsia" w:ascii="宋体" w:hAnsi="宋体"/>
          <w:color w:val="auto"/>
          <w:sz w:val="24"/>
          <w:szCs w:val="24"/>
        </w:rPr>
        <w:t>〔201</w:t>
      </w:r>
      <w:r>
        <w:rPr>
          <w:rFonts w:hint="eastAsia" w:ascii="宋体" w:hAnsi="宋体"/>
          <w:color w:val="auto"/>
          <w:sz w:val="24"/>
          <w:szCs w:val="24"/>
          <w:lang w:val="en-US" w:eastAsia="zh-CN"/>
        </w:rPr>
        <w:t>6</w:t>
      </w:r>
      <w:r>
        <w:rPr>
          <w:rFonts w:hint="eastAsia" w:ascii="宋体" w:hAnsi="宋体"/>
          <w:color w:val="auto"/>
          <w:sz w:val="24"/>
          <w:szCs w:val="24"/>
        </w:rPr>
        <w:t>〕</w:t>
      </w:r>
      <w:r>
        <w:rPr>
          <w:rFonts w:hint="eastAsia" w:ascii="宋体" w:hAnsi="宋体"/>
          <w:color w:val="auto"/>
          <w:sz w:val="24"/>
          <w:szCs w:val="24"/>
          <w:lang w:val="en-US" w:eastAsia="zh-CN"/>
        </w:rPr>
        <w:t>102号）和《阿坝州精准脱贫项目财政扶贫资金监督管理办法的通知》（阿府办法</w:t>
      </w:r>
      <w:r>
        <w:rPr>
          <w:rFonts w:hint="eastAsia" w:ascii="宋体" w:hAnsi="宋体"/>
          <w:color w:val="auto"/>
          <w:sz w:val="24"/>
          <w:szCs w:val="24"/>
        </w:rPr>
        <w:t>〔201</w:t>
      </w:r>
      <w:r>
        <w:rPr>
          <w:rFonts w:hint="eastAsia" w:ascii="宋体" w:hAnsi="宋体"/>
          <w:color w:val="auto"/>
          <w:sz w:val="24"/>
          <w:szCs w:val="24"/>
          <w:lang w:val="en-US" w:eastAsia="zh-CN"/>
        </w:rPr>
        <w:t>6</w:t>
      </w:r>
      <w:r>
        <w:rPr>
          <w:rFonts w:hint="eastAsia" w:ascii="宋体" w:hAnsi="宋体"/>
          <w:color w:val="auto"/>
          <w:sz w:val="24"/>
          <w:szCs w:val="24"/>
        </w:rPr>
        <w:t>〕</w:t>
      </w:r>
      <w:r>
        <w:rPr>
          <w:rFonts w:hint="eastAsia" w:ascii="宋体" w:hAnsi="宋体"/>
          <w:color w:val="auto"/>
          <w:sz w:val="24"/>
          <w:szCs w:val="24"/>
          <w:lang w:val="en-US" w:eastAsia="zh-CN"/>
        </w:rPr>
        <w:t>25号）</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ascii="宋体" w:hAnsi="宋体"/>
          <w:color w:val="auto"/>
          <w:sz w:val="24"/>
          <w:szCs w:val="24"/>
        </w:rPr>
      </w:pPr>
      <w:r>
        <w:rPr>
          <w:rFonts w:hint="eastAsia" w:ascii="宋体" w:hAnsi="宋体"/>
          <w:color w:val="auto"/>
          <w:sz w:val="24"/>
          <w:szCs w:val="24"/>
        </w:rPr>
        <w:t>金川县发展改革和经济商务信息化局总编制25名，实有人员25人。行政编制15名，实有15人；事业编制10人，实有10人，退休人员2</w:t>
      </w:r>
      <w:r>
        <w:rPr>
          <w:rFonts w:hint="eastAsia" w:ascii="宋体" w:hAnsi="宋体"/>
          <w:color w:val="auto"/>
          <w:sz w:val="24"/>
          <w:szCs w:val="24"/>
          <w:lang w:val="en-US" w:eastAsia="zh-CN"/>
        </w:rPr>
        <w:t>0</w:t>
      </w:r>
      <w:r>
        <w:rPr>
          <w:rFonts w:hint="eastAsia" w:ascii="宋体" w:hAnsi="宋体"/>
          <w:color w:val="auto"/>
          <w:sz w:val="24"/>
          <w:szCs w:val="24"/>
        </w:rPr>
        <w:t>人。全局内设办公室、综合规划股、项目投资和审批股、工交能源股、农村经济股、工业经济和信息化股、商务股。主要职能:贯彻实施国家、省、州有关国民经济和社会发展、经济体制改革的方针、政策和法律、法规；……推进可持续发展，负责全县节能减排的综合协调工作；指导、协调并综合管理全县招标投标工作……；负责监测、分析工业经济运行态势和质量；负责全县企业技术改造推进工作；负责全县工业和信息化领域的节能降耗、清洁生产和资源节约与综合利用工作；承担全县服务业发展工作中组织实施的协调职责，推进流通产业结构调整；指导全县外商促进和管理工作；……承办县政府交办的其他事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根据金川县财政局《关于下达2017年易地扶贫搬迁工程第一批中央预算内基建投资预算的通知》（金财投[2017]102号）下达资金1,430,000.00元，其中中央预算内资金1,430,000.00元。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sz w:val="24"/>
          <w:szCs w:val="24"/>
          <w:highlight w:val="none"/>
          <w:lang w:val="en-US" w:eastAsia="zh-CN"/>
        </w:rPr>
        <w:t>对</w:t>
      </w:r>
      <w:r>
        <w:rPr>
          <w:rFonts w:hint="eastAsia" w:ascii="宋体" w:hAnsi="宋体"/>
          <w:color w:val="auto"/>
          <w:sz w:val="24"/>
          <w:szCs w:val="24"/>
          <w:highlight w:val="none"/>
          <w:lang w:val="en-US" w:eastAsia="zh-CN"/>
        </w:rPr>
        <w:t>34户143名建档立卡贫困人口，按人均1万元发放补助。该项目于3月全面开工启动，于11月全部开工验收并拨付资金。</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color w:val="auto"/>
          <w:sz w:val="24"/>
          <w:szCs w:val="24"/>
          <w:highlight w:val="none"/>
          <w:lang w:val="en-US" w:eastAsia="zh-CN"/>
        </w:rPr>
        <w:t>项目的实施，改善了安置地基础设施条件，使老百姓生存状况明显改善，精神面貌焕然一新。民族传统特色文化得到传承与保护，引导各地建设具有民族特色的安置住房，大力发展民族特色优势产业，创建民族团结示范村，推动各民族交往交流，有利于促进各民族和谐共处。</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评分，该项目综合得分96份。具体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 xml:space="preserve">项目的必要性：贫困地区环境承载能力不足、自然灾害频发，以及交通不便、信息不畅、人才短缺、市场不完善，形成了“贫困—经济社会发展落后—贫困程度加深”的恶性循环。通过实施本项目，有利于改善基础设施建设，帮助搬迁群众就业创业，不断拓宽搬迁群众增收渠道，努力实现扶真贫、真扶贫、真脱贫。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项目的可行性：财政部、中国人民银行、审计署等部门不断强化资金保障和监管，加大审计监督力度，确保易地扶贫搬迁资金规范高效使用，确保实现廉洁搬迁、阳光搬迁。该项目的建设提高了农牧民的生产、生活质量，推动了农业产业快速的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 xml:space="preserve">绩效目标设置情况：金川县34户143名建档立卡贫困人口，按人均1万元补助到搬迁户。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项目资金到位情况：根据《下达2017年易地扶贫搬迁工程第一批中央预算内基建投资预算的通知》（阿州财农〔2017〕21号）下达资金1,430,000.00元。资金到位率100%。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项目资金使用情况：对</w:t>
      </w:r>
      <w:r>
        <w:rPr>
          <w:rFonts w:hint="eastAsia" w:ascii="宋体" w:hAnsi="宋体"/>
          <w:color w:val="auto"/>
          <w:sz w:val="24"/>
          <w:szCs w:val="24"/>
          <w:highlight w:val="none"/>
          <w:lang w:val="en-US" w:eastAsia="zh-CN"/>
        </w:rPr>
        <w:t>34户143名建档立卡贫困人口，按人均1万元发放补助，已全部发放完毕</w:t>
      </w:r>
      <w:r>
        <w:rPr>
          <w:rFonts w:hint="eastAsia" w:ascii="宋体" w:hAnsi="宋体"/>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highlight w:val="none"/>
          <w:lang w:val="en-US" w:eastAsia="zh-CN"/>
        </w:rPr>
      </w:pPr>
      <w:r>
        <w:rPr>
          <w:rFonts w:hint="eastAsia" w:ascii="宋体" w:hAnsi="宋体"/>
          <w:sz w:val="24"/>
          <w:szCs w:val="24"/>
          <w:highlight w:val="none"/>
          <w:lang w:val="en-US" w:eastAsia="zh-CN"/>
        </w:rPr>
        <w:t>项目资金管理情况：项目资金严格按照《国家发展改革委关于印发易地扶贫搬迁中央预算内投资管理办法的通知》（发改地区规〔2016〕1202号）和</w:t>
      </w:r>
      <w:r>
        <w:rPr>
          <w:rFonts w:hint="eastAsia" w:ascii="宋体" w:hAnsi="宋体"/>
          <w:color w:val="auto"/>
          <w:sz w:val="24"/>
          <w:szCs w:val="24"/>
          <w:highlight w:val="none"/>
          <w:lang w:val="en-US" w:eastAsia="zh-CN"/>
        </w:rPr>
        <w:t>《四川省易地扶贫搬迁中央预算内投资管理办法》（川发改赈</w:t>
      </w:r>
      <w:r>
        <w:rPr>
          <w:rFonts w:hint="eastAsia" w:ascii="宋体" w:hAnsi="宋体"/>
          <w:sz w:val="24"/>
          <w:szCs w:val="24"/>
          <w:highlight w:val="none"/>
          <w:lang w:val="en-US" w:eastAsia="zh-CN"/>
        </w:rPr>
        <w:t>〔2016〕454号</w:t>
      </w:r>
      <w:r>
        <w:rPr>
          <w:rFonts w:hint="eastAsia" w:ascii="宋体" w:hAnsi="宋体"/>
          <w:color w:val="auto"/>
          <w:sz w:val="24"/>
          <w:szCs w:val="24"/>
          <w:highlight w:val="none"/>
          <w:lang w:val="en-US" w:eastAsia="zh-CN"/>
        </w:rPr>
        <w:t>）</w:t>
      </w:r>
      <w:r>
        <w:rPr>
          <w:rFonts w:hint="eastAsia" w:ascii="宋体" w:hAnsi="宋体"/>
          <w:sz w:val="24"/>
          <w:szCs w:val="24"/>
          <w:highlight w:val="none"/>
          <w:lang w:val="en-US" w:eastAsia="zh-CN"/>
        </w:rPr>
        <w:t>进行管理和使用，全部资金由财政直接拨付到搬迁户手中。项目资金基本上做到了专款专用。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按照预定进度计划已完成目标任务。完成目标任务率为100%。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该项目取得经济效益：为培育和发展后续产业，帮助贫困群众增产增收，加快了脱贫致富步伐。带动了文化旅游产业、经济的迅速发展。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生态效益：易地扶贫搬迁为改善迁出区生态环境提供了空间，进而促进生态系统的良性循环，实现资源的可持续利用。防治水土流失、维护国家生态安全都具有重要意义。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社会效益：改善了安置地基础设施条件，使老百姓生存状况明显改善，精神面貌焕然一新。民族传统特色文化得到传承与保护，引导各地建设具有民族特色的安置住房，大力发展民族特色优势产业，创建民族团结示范村，推动各民族交往交流，促进各民族和谐共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我们选择抽取了</w:t>
      </w:r>
      <w:r>
        <w:rPr>
          <w:rFonts w:hint="eastAsia" w:ascii="宋体" w:hAnsi="宋体"/>
          <w:color w:val="auto"/>
          <w:sz w:val="24"/>
          <w:szCs w:val="24"/>
          <w:highlight w:val="none"/>
        </w:rPr>
        <w:t>二嘎里乡</w:t>
      </w:r>
      <w:r>
        <w:rPr>
          <w:rFonts w:hint="eastAsia" w:ascii="宋体" w:hAnsi="宋体"/>
          <w:color w:val="auto"/>
          <w:sz w:val="24"/>
          <w:szCs w:val="24"/>
          <w:highlight w:val="none"/>
          <w:lang w:val="en-US" w:eastAsia="zh-CN"/>
        </w:rPr>
        <w:t>建档立卡贫困人口，对其</w:t>
      </w:r>
      <w:r>
        <w:rPr>
          <w:rFonts w:hint="eastAsia" w:ascii="宋体" w:hAnsi="宋体"/>
          <w:sz w:val="24"/>
          <w:szCs w:val="24"/>
          <w:highlight w:val="none"/>
          <w:lang w:val="en-US" w:eastAsia="zh-CN"/>
        </w:rPr>
        <w:t>进行了实地调查；调查表明，项目均已实施。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1、</w:t>
      </w:r>
      <w:bookmarkStart w:id="0" w:name="_GoBack"/>
      <w:bookmarkEnd w:id="0"/>
      <w:r>
        <w:rPr>
          <w:rFonts w:hint="eastAsia" w:ascii="宋体" w:hAnsi="宋体"/>
          <w:b w:val="0"/>
          <w:bCs w:val="0"/>
          <w:color w:val="auto"/>
          <w:sz w:val="24"/>
          <w:szCs w:val="24"/>
          <w:lang w:val="en-US" w:eastAsia="zh-CN"/>
        </w:rPr>
        <w:t>严格按照资金使用要求，提供资金使用依据，保证手续齐全。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发展改革和经济商务信息化局所提供的现有资料基础上检查做出的结论，仅供金川县财政局区了解金川县发展改革和经济商务信息化局2017年易地扶贫搬迁中央预算内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7A7D"/>
    <w:rsid w:val="031A3999"/>
    <w:rsid w:val="052B36C2"/>
    <w:rsid w:val="06D10598"/>
    <w:rsid w:val="094272B4"/>
    <w:rsid w:val="09633B32"/>
    <w:rsid w:val="0AB50483"/>
    <w:rsid w:val="0B5F77F5"/>
    <w:rsid w:val="0BEA2B92"/>
    <w:rsid w:val="0CB253DE"/>
    <w:rsid w:val="0CC56D5E"/>
    <w:rsid w:val="0D0628B6"/>
    <w:rsid w:val="0D2C0807"/>
    <w:rsid w:val="0D58510D"/>
    <w:rsid w:val="0D9A2FD3"/>
    <w:rsid w:val="0EB56BD9"/>
    <w:rsid w:val="0FBC4412"/>
    <w:rsid w:val="10F710BF"/>
    <w:rsid w:val="11944CAD"/>
    <w:rsid w:val="127F0594"/>
    <w:rsid w:val="128A0EBC"/>
    <w:rsid w:val="12F73558"/>
    <w:rsid w:val="14D10011"/>
    <w:rsid w:val="159D1AF1"/>
    <w:rsid w:val="18D325DB"/>
    <w:rsid w:val="1A82591E"/>
    <w:rsid w:val="1A851A5C"/>
    <w:rsid w:val="1C2E58C4"/>
    <w:rsid w:val="1C6322F0"/>
    <w:rsid w:val="1E074D0D"/>
    <w:rsid w:val="1F0A50CB"/>
    <w:rsid w:val="20B72A2D"/>
    <w:rsid w:val="231F61E2"/>
    <w:rsid w:val="23744A53"/>
    <w:rsid w:val="23E942AD"/>
    <w:rsid w:val="263D173A"/>
    <w:rsid w:val="27936303"/>
    <w:rsid w:val="283A4A5F"/>
    <w:rsid w:val="288708B1"/>
    <w:rsid w:val="28EC77C6"/>
    <w:rsid w:val="2A2C6006"/>
    <w:rsid w:val="2A856635"/>
    <w:rsid w:val="2A8D509E"/>
    <w:rsid w:val="2BA82907"/>
    <w:rsid w:val="2ED91B81"/>
    <w:rsid w:val="2F8809D3"/>
    <w:rsid w:val="33F969DA"/>
    <w:rsid w:val="34EA4C26"/>
    <w:rsid w:val="36293B42"/>
    <w:rsid w:val="366426A0"/>
    <w:rsid w:val="36F81653"/>
    <w:rsid w:val="39E93C9F"/>
    <w:rsid w:val="3B19278D"/>
    <w:rsid w:val="3B655154"/>
    <w:rsid w:val="3B7F4CBC"/>
    <w:rsid w:val="3C2A22D4"/>
    <w:rsid w:val="3CEF6BB3"/>
    <w:rsid w:val="3DB108B6"/>
    <w:rsid w:val="3DF206DA"/>
    <w:rsid w:val="3EB37059"/>
    <w:rsid w:val="3F3776C3"/>
    <w:rsid w:val="3F6939C3"/>
    <w:rsid w:val="408E1FFF"/>
    <w:rsid w:val="410601B3"/>
    <w:rsid w:val="41E12E92"/>
    <w:rsid w:val="42D577B0"/>
    <w:rsid w:val="440043B2"/>
    <w:rsid w:val="48D907FF"/>
    <w:rsid w:val="4A105772"/>
    <w:rsid w:val="4C523BC0"/>
    <w:rsid w:val="4CCB307D"/>
    <w:rsid w:val="4DB95AF1"/>
    <w:rsid w:val="4ECD4FD0"/>
    <w:rsid w:val="4EFC2404"/>
    <w:rsid w:val="51D072D7"/>
    <w:rsid w:val="52B913AA"/>
    <w:rsid w:val="532323C6"/>
    <w:rsid w:val="53A10845"/>
    <w:rsid w:val="540B3EAB"/>
    <w:rsid w:val="56C75818"/>
    <w:rsid w:val="56FE3473"/>
    <w:rsid w:val="58997233"/>
    <w:rsid w:val="58CA2B2F"/>
    <w:rsid w:val="59495D47"/>
    <w:rsid w:val="5D063025"/>
    <w:rsid w:val="5D7D6A2F"/>
    <w:rsid w:val="5D9E2371"/>
    <w:rsid w:val="5E9B1791"/>
    <w:rsid w:val="5EE026F7"/>
    <w:rsid w:val="606B736F"/>
    <w:rsid w:val="6150132B"/>
    <w:rsid w:val="6220518E"/>
    <w:rsid w:val="62287D9C"/>
    <w:rsid w:val="62C56CE3"/>
    <w:rsid w:val="63B70CF1"/>
    <w:rsid w:val="65341C7A"/>
    <w:rsid w:val="65814E01"/>
    <w:rsid w:val="665F1DD7"/>
    <w:rsid w:val="68DD3313"/>
    <w:rsid w:val="69971BFE"/>
    <w:rsid w:val="6AB26AF5"/>
    <w:rsid w:val="6BC363D3"/>
    <w:rsid w:val="6C12360D"/>
    <w:rsid w:val="6D95188D"/>
    <w:rsid w:val="6DF75DF9"/>
    <w:rsid w:val="6E1225B9"/>
    <w:rsid w:val="6E621AAC"/>
    <w:rsid w:val="6FAF2D2E"/>
    <w:rsid w:val="6FC12491"/>
    <w:rsid w:val="70CD3BA7"/>
    <w:rsid w:val="71A54E2E"/>
    <w:rsid w:val="72CD5043"/>
    <w:rsid w:val="738F4450"/>
    <w:rsid w:val="74031A23"/>
    <w:rsid w:val="74CF000B"/>
    <w:rsid w:val="775326D0"/>
    <w:rsid w:val="77DA18BC"/>
    <w:rsid w:val="790528BB"/>
    <w:rsid w:val="79C4282A"/>
    <w:rsid w:val="7AE14BF2"/>
    <w:rsid w:val="7B1677D9"/>
    <w:rsid w:val="7B1D6A2D"/>
    <w:rsid w:val="7B545202"/>
    <w:rsid w:val="7EA53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323232"/>
      <w:u w:val="none"/>
    </w:rPr>
  </w:style>
  <w:style w:type="character" w:styleId="8">
    <w:name w:val="Hyperlink"/>
    <w:basedOn w:val="6"/>
    <w:qFormat/>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2018-10-23T02:28:32Z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