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四川省阿坝州金川县</w:t>
      </w:r>
    </w:p>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科学技术和知识产权局</w:t>
      </w:r>
    </w:p>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2017年第一批省级科技计划资金</w:t>
      </w:r>
    </w:p>
    <w:p>
      <w:pPr>
        <w:spacing w:line="940" w:lineRule="atLeast"/>
        <w:jc w:val="center"/>
        <w:rPr>
          <w:rFonts w:hint="eastAsia" w:ascii="华文行楷" w:hAnsi="华文行楷" w:eastAsia="华文行楷" w:cs="华文行楷"/>
          <w:b/>
          <w:color w:val="auto"/>
          <w:sz w:val="52"/>
          <w:szCs w:val="52"/>
        </w:rPr>
      </w:pPr>
      <w:r>
        <w:rPr>
          <w:rFonts w:hint="eastAsia" w:ascii="华文行楷" w:hAnsi="华文行楷" w:eastAsia="华文行楷" w:cs="华文行楷"/>
          <w:b/>
          <w:color w:val="auto"/>
          <w:sz w:val="52"/>
          <w:szCs w:val="52"/>
          <w:lang w:val="en-US" w:eastAsia="zh-CN"/>
        </w:rPr>
        <w:t>绩效评价</w:t>
      </w:r>
      <w:r>
        <w:rPr>
          <w:rFonts w:hint="eastAsia" w:ascii="华文行楷" w:hAnsi="华文行楷" w:eastAsia="华文行楷" w:cs="华文行楷"/>
          <w:b/>
          <w:color w:val="auto"/>
          <w:sz w:val="52"/>
          <w:szCs w:val="52"/>
        </w:rPr>
        <w:t>报告书</w:t>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r>
        <w:rPr>
          <w:rFonts w:ascii="隶书" w:hAnsi="Courier New" w:eastAsia="隶书"/>
          <w:color w:val="auto"/>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rPr>
          <w:rFonts w:hint="eastAsia"/>
          <w:color w:val="auto"/>
        </w:rPr>
      </w:pPr>
    </w:p>
    <w:p>
      <w:pPr>
        <w:jc w:val="center"/>
        <w:rPr>
          <w:rFonts w:hint="eastAsia" w:eastAsia="华文行楷"/>
          <w:b/>
          <w:bCs/>
          <w:color w:val="auto"/>
          <w:sz w:val="44"/>
        </w:rPr>
      </w:pPr>
      <w:r>
        <w:rPr>
          <w:rFonts w:hint="eastAsia" w:eastAsia="华文行楷"/>
          <w:b/>
          <w:bCs/>
          <w:color w:val="auto"/>
          <w:sz w:val="44"/>
        </w:rPr>
        <w:t>中兴华会计师事务所(特殊普通合伙)</w:t>
      </w:r>
    </w:p>
    <w:p>
      <w:pPr>
        <w:jc w:val="center"/>
        <w:rPr>
          <w:rFonts w:hint="eastAsia"/>
          <w:color w:val="auto"/>
          <w:sz w:val="28"/>
        </w:rPr>
      </w:pPr>
      <w:r>
        <w:rPr>
          <w:rFonts w:hint="eastAsia"/>
          <w:color w:val="auto"/>
          <w:sz w:val="28"/>
        </w:rPr>
        <w:t>ZHONGXINGHAU CERTIFIED PUBLIC ACCOUNTANTS LLP</w:t>
      </w:r>
    </w:p>
    <w:p>
      <w:pPr>
        <w:spacing w:line="160" w:lineRule="exact"/>
        <w:rPr>
          <w:rFonts w:ascii="黑体" w:eastAsia="黑体"/>
          <w:color w:val="auto"/>
          <w:w w:val="90"/>
          <w:sz w:val="28"/>
        </w:rPr>
      </w:pPr>
    </w:p>
    <w:p>
      <w:pPr>
        <w:spacing w:line="600" w:lineRule="atLeast"/>
        <w:rPr>
          <w:rFonts w:hint="eastAsia" w:ascii="黑体" w:eastAsia="黑体"/>
          <w:color w:val="auto"/>
          <w:w w:val="90"/>
          <w:sz w:val="28"/>
        </w:rPr>
      </w:pPr>
      <w:r>
        <w:rPr>
          <w:rFonts w:hint="eastAsia" w:ascii="黑体" w:eastAsia="黑体"/>
          <w:color w:val="auto"/>
          <w:w w:val="90"/>
          <w:sz w:val="28"/>
        </w:rPr>
        <w:t>地址：</w:t>
      </w:r>
      <w:r>
        <w:rPr>
          <w:rFonts w:hint="eastAsia" w:ascii="黑体" w:eastAsia="黑体"/>
          <w:color w:val="auto"/>
          <w:w w:val="90"/>
          <w:sz w:val="28"/>
          <w:lang w:eastAsia="zh-CN"/>
        </w:rPr>
        <w:t>成都市金牛区蜀西路</w:t>
      </w:r>
      <w:r>
        <w:rPr>
          <w:rFonts w:hint="eastAsia" w:ascii="黑体" w:eastAsia="黑体"/>
          <w:color w:val="auto"/>
          <w:w w:val="90"/>
          <w:sz w:val="28"/>
          <w:lang w:val="en-US" w:eastAsia="zh-CN"/>
        </w:rPr>
        <w:t>49号盛大国际3幢4楼401</w:t>
      </w:r>
      <w:r>
        <w:rPr>
          <w:rFonts w:hint="eastAsia" w:ascii="黑体" w:eastAsia="黑体"/>
          <w:color w:val="auto"/>
          <w:w w:val="90"/>
          <w:sz w:val="28"/>
        </w:rPr>
        <w:t xml:space="preserve"> </w:t>
      </w:r>
      <w:r>
        <w:rPr>
          <w:rFonts w:ascii="黑体" w:eastAsia="黑体"/>
          <w:color w:val="auto"/>
          <w:w w:val="90"/>
          <w:sz w:val="24"/>
        </w:rPr>
        <w:t xml:space="preserve"> </w:t>
      </w:r>
      <w:r>
        <w:rPr>
          <w:rFonts w:hint="eastAsia" w:ascii="黑体" w:eastAsia="黑体"/>
          <w:color w:val="auto"/>
          <w:w w:val="90"/>
          <w:sz w:val="24"/>
        </w:rPr>
        <w:t xml:space="preserve">    </w:t>
      </w:r>
      <w:r>
        <w:rPr>
          <w:rFonts w:ascii="黑体" w:eastAsia="黑体"/>
          <w:color w:val="auto"/>
          <w:w w:val="90"/>
          <w:sz w:val="24"/>
        </w:rPr>
        <w:t xml:space="preserve"> </w:t>
      </w:r>
      <w:r>
        <w:rPr>
          <w:rFonts w:ascii="黑体" w:eastAsia="黑体"/>
          <w:color w:val="auto"/>
          <w:w w:val="90"/>
          <w:sz w:val="28"/>
        </w:rPr>
        <w:t xml:space="preserve"> </w:t>
      </w:r>
      <w:r>
        <w:rPr>
          <w:rFonts w:hint="eastAsia" w:ascii="黑体" w:eastAsia="黑体"/>
          <w:color w:val="auto"/>
          <w:w w:val="90"/>
          <w:sz w:val="28"/>
        </w:rPr>
        <w:t>邮编：</w:t>
      </w:r>
      <w:r>
        <w:rPr>
          <w:rFonts w:hint="eastAsia" w:ascii="黑体" w:eastAsia="黑体"/>
          <w:color w:val="auto"/>
          <w:w w:val="90"/>
          <w:sz w:val="28"/>
          <w:lang w:val="en-US" w:eastAsia="zh-CN"/>
        </w:rPr>
        <w:t>610037</w:t>
      </w:r>
    </w:p>
    <w:p>
      <w:pPr>
        <w:spacing w:line="600" w:lineRule="atLeast"/>
        <w:rPr>
          <w:rFonts w:ascii="黑体" w:eastAsia="黑体"/>
          <w:color w:val="auto"/>
          <w:w w:val="90"/>
          <w:sz w:val="28"/>
        </w:rPr>
      </w:pPr>
      <w:r>
        <w:rPr>
          <w:rFonts w:hint="eastAsia" w:ascii="黑体" w:eastAsia="黑体"/>
          <w:color w:val="auto"/>
          <w:w w:val="90"/>
          <w:sz w:val="28"/>
        </w:rPr>
        <w:t>电话：</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87779320</w:t>
      </w:r>
      <w:r>
        <w:rPr>
          <w:rFonts w:hint="eastAsia" w:ascii="黑体" w:eastAsia="黑体"/>
          <w:color w:val="auto"/>
          <w:w w:val="90"/>
          <w:sz w:val="28"/>
          <w:lang w:val="en-US" w:eastAsia="zh-CN"/>
        </w:rPr>
        <w:t>\18190919202</w:t>
      </w:r>
      <w:r>
        <w:rPr>
          <w:rFonts w:ascii="黑体" w:eastAsia="黑体"/>
          <w:color w:val="auto"/>
          <w:w w:val="90"/>
          <w:sz w:val="28"/>
        </w:rPr>
        <w:t xml:space="preserve">         </w:t>
      </w:r>
      <w:r>
        <w:rPr>
          <w:rFonts w:hint="eastAsia" w:ascii="黑体" w:eastAsia="黑体"/>
          <w:color w:val="auto"/>
          <w:w w:val="90"/>
          <w:sz w:val="28"/>
        </w:rPr>
        <w:t xml:space="preserve"> </w:t>
      </w:r>
      <w:r>
        <w:rPr>
          <w:rFonts w:ascii="黑体" w:eastAsia="黑体"/>
          <w:color w:val="auto"/>
          <w:w w:val="90"/>
          <w:sz w:val="28"/>
        </w:rPr>
        <w:t xml:space="preserve">   </w:t>
      </w:r>
      <w:r>
        <w:rPr>
          <w:rFonts w:hint="eastAsia" w:ascii="黑体" w:eastAsia="黑体"/>
          <w:color w:val="auto"/>
          <w:w w:val="90"/>
          <w:sz w:val="28"/>
        </w:rPr>
        <w:t xml:space="preserve">   传真：</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87776280</w:t>
      </w:r>
    </w:p>
    <w:p>
      <w:pPr>
        <w:snapToGrid w:val="0"/>
        <w:spacing w:line="400" w:lineRule="exact"/>
        <w:jc w:val="both"/>
        <w:rPr>
          <w:rFonts w:hint="eastAsia" w:ascii="宋体" w:hAnsi="宋体" w:eastAsia="宋体"/>
          <w:b/>
          <w:color w:val="auto"/>
          <w:sz w:val="28"/>
          <w:szCs w:val="30"/>
        </w:rPr>
      </w:pPr>
    </w:p>
    <w:p>
      <w:pPr>
        <w:snapToGrid w:val="0"/>
        <w:spacing w:line="400" w:lineRule="exact"/>
        <w:jc w:val="center"/>
        <w:rPr>
          <w:rFonts w:hint="eastAsia" w:ascii="宋体" w:hAnsi="宋体" w:eastAsia="宋体"/>
          <w:b/>
          <w:color w:val="auto"/>
          <w:sz w:val="36"/>
          <w:szCs w:val="36"/>
          <w:lang w:val="en-US" w:eastAsia="zh-CN"/>
        </w:rPr>
      </w:pPr>
      <w:r>
        <w:rPr>
          <w:rFonts w:hint="eastAsia" w:ascii="宋体" w:hAnsi="宋体" w:eastAsia="宋体"/>
          <w:b/>
          <w:color w:val="auto"/>
          <w:sz w:val="36"/>
          <w:szCs w:val="36"/>
          <w:lang w:val="en-US" w:eastAsia="zh-CN"/>
        </w:rPr>
        <w:t>金川县科学技术和知识产权局</w:t>
      </w:r>
    </w:p>
    <w:p>
      <w:pPr>
        <w:snapToGrid w:val="0"/>
        <w:spacing w:line="400" w:lineRule="exact"/>
        <w:jc w:val="center"/>
        <w:rPr>
          <w:rFonts w:hint="eastAsia" w:ascii="宋体" w:hAnsi="宋体" w:eastAsia="宋体"/>
          <w:b/>
          <w:color w:val="auto"/>
          <w:sz w:val="36"/>
          <w:szCs w:val="36"/>
          <w:lang w:val="en-US" w:eastAsia="zh-CN"/>
        </w:rPr>
      </w:pPr>
    </w:p>
    <w:p>
      <w:pPr>
        <w:snapToGrid w:val="0"/>
        <w:spacing w:line="400" w:lineRule="exact"/>
        <w:jc w:val="center"/>
        <w:rPr>
          <w:rFonts w:ascii="宋体" w:hAnsi="宋体" w:eastAsia="宋体"/>
          <w:b/>
          <w:color w:val="auto"/>
          <w:sz w:val="36"/>
          <w:szCs w:val="36"/>
        </w:rPr>
      </w:pPr>
      <w:r>
        <w:rPr>
          <w:rFonts w:hint="eastAsia" w:ascii="宋体" w:hAnsi="宋体" w:eastAsia="宋体"/>
          <w:b/>
          <w:color w:val="auto"/>
          <w:sz w:val="36"/>
          <w:szCs w:val="36"/>
          <w:lang w:val="en-US" w:eastAsia="zh-CN"/>
        </w:rPr>
        <w:t>2017年第一批省级科技计划资金</w:t>
      </w:r>
      <w:r>
        <w:rPr>
          <w:rFonts w:ascii="宋体" w:hAnsi="宋体" w:eastAsia="宋体"/>
          <w:b/>
          <w:color w:val="auto"/>
          <w:sz w:val="36"/>
          <w:szCs w:val="36"/>
        </w:rPr>
        <w:t>绩效</w:t>
      </w:r>
      <w:r>
        <w:rPr>
          <w:rFonts w:hint="eastAsia" w:ascii="宋体" w:hAnsi="宋体" w:eastAsia="宋体"/>
          <w:b/>
          <w:color w:val="auto"/>
          <w:sz w:val="36"/>
          <w:szCs w:val="36"/>
        </w:rPr>
        <w:t>评价</w:t>
      </w:r>
      <w:r>
        <w:rPr>
          <w:rFonts w:ascii="宋体" w:hAnsi="宋体" w:eastAsia="宋体"/>
          <w:b/>
          <w:color w:val="auto"/>
          <w:sz w:val="36"/>
          <w:szCs w:val="36"/>
        </w:rPr>
        <w:t>报告</w:t>
      </w:r>
    </w:p>
    <w:p>
      <w:pPr>
        <w:spacing w:line="578" w:lineRule="exact"/>
        <w:jc w:val="both"/>
        <w:rPr>
          <w:rFonts w:hint="eastAsia" w:ascii="宋体" w:hAnsi="宋体" w:eastAsia="仿宋_GB2312"/>
          <w:b/>
          <w:bCs/>
          <w:color w:val="auto"/>
          <w:sz w:val="24"/>
          <w:szCs w:val="24"/>
          <w:lang w:val="en-US" w:eastAsia="zh-CN"/>
        </w:rPr>
      </w:pPr>
      <w:r>
        <w:rPr>
          <w:rFonts w:hint="eastAsia" w:ascii="宋体" w:hAnsi="宋体"/>
          <w:b/>
          <w:bCs/>
          <w:color w:val="auto"/>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r>
        <w:rPr>
          <w:rFonts w:hint="eastAsia" w:ascii="宋体" w:hAnsi="宋体"/>
          <w:color w:val="auto"/>
          <w:sz w:val="24"/>
          <w:szCs w:val="24"/>
        </w:rPr>
        <w:t>我们接受委托，对</w:t>
      </w:r>
      <w:r>
        <w:rPr>
          <w:rFonts w:hint="eastAsia" w:ascii="宋体" w:hAnsi="宋体"/>
          <w:color w:val="auto"/>
          <w:sz w:val="24"/>
          <w:szCs w:val="24"/>
          <w:lang w:val="en-US" w:eastAsia="zh-CN"/>
        </w:rPr>
        <w:t>金川县科学技术和知识产权局“</w:t>
      </w:r>
      <w:r>
        <w:rPr>
          <w:rFonts w:hint="eastAsia" w:ascii="宋体" w:hAnsi="宋体"/>
          <w:color w:val="auto"/>
          <w:sz w:val="24"/>
          <w:szCs w:val="24"/>
        </w:rPr>
        <w:t>关于201</w:t>
      </w:r>
      <w:r>
        <w:rPr>
          <w:rFonts w:hint="eastAsia" w:ascii="宋体" w:hAnsi="宋体"/>
          <w:color w:val="auto"/>
          <w:sz w:val="24"/>
          <w:szCs w:val="24"/>
          <w:lang w:val="en-US" w:eastAsia="zh-CN"/>
        </w:rPr>
        <w:t>7</w:t>
      </w:r>
      <w:r>
        <w:rPr>
          <w:rFonts w:hint="eastAsia" w:ascii="宋体" w:hAnsi="宋体"/>
          <w:color w:val="auto"/>
          <w:sz w:val="24"/>
          <w:szCs w:val="24"/>
        </w:rPr>
        <w:t>年</w:t>
      </w:r>
      <w:r>
        <w:rPr>
          <w:rFonts w:hint="eastAsia" w:ascii="宋体" w:hAnsi="宋体"/>
          <w:color w:val="auto"/>
          <w:sz w:val="24"/>
          <w:szCs w:val="24"/>
          <w:lang w:val="en-US" w:eastAsia="zh-CN"/>
        </w:rPr>
        <w:t>第一批省级科技计划资金”</w:t>
      </w:r>
      <w:r>
        <w:rPr>
          <w:rFonts w:hint="eastAsia" w:ascii="宋体" w:hAnsi="宋体"/>
          <w:color w:val="auto"/>
          <w:sz w:val="24"/>
          <w:szCs w:val="24"/>
        </w:rPr>
        <w:t>(以下简称“该项目”)</w:t>
      </w:r>
      <w:r>
        <w:rPr>
          <w:rFonts w:hint="eastAsia" w:ascii="宋体" w:hAnsi="宋体"/>
          <w:color w:val="auto"/>
          <w:sz w:val="24"/>
          <w:szCs w:val="24"/>
          <w:lang w:val="en-US" w:eastAsia="zh-CN"/>
        </w:rPr>
        <w:t>进行了绩效评价。</w:t>
      </w:r>
      <w:r>
        <w:rPr>
          <w:rFonts w:hint="eastAsia" w:ascii="宋体" w:hAnsi="宋体"/>
          <w:color w:val="auto"/>
          <w:sz w:val="24"/>
          <w:szCs w:val="24"/>
        </w:rPr>
        <w:t>提供该项目有关</w:t>
      </w:r>
      <w:r>
        <w:rPr>
          <w:rFonts w:ascii="宋体" w:hAnsi="宋体"/>
          <w:color w:val="auto"/>
          <w:sz w:val="24"/>
          <w:szCs w:val="24"/>
        </w:rPr>
        <w:t>的真实、合法、完整</w:t>
      </w:r>
      <w:r>
        <w:rPr>
          <w:rFonts w:hint="eastAsia" w:ascii="宋体" w:hAnsi="宋体"/>
          <w:color w:val="auto"/>
          <w:sz w:val="24"/>
          <w:szCs w:val="24"/>
          <w:lang w:val="zh-CN"/>
        </w:rPr>
        <w:t>的专项</w:t>
      </w:r>
      <w:r>
        <w:rPr>
          <w:rFonts w:hint="eastAsia" w:ascii="宋体" w:hAnsi="宋体"/>
          <w:color w:val="auto"/>
          <w:sz w:val="24"/>
          <w:szCs w:val="24"/>
        </w:rPr>
        <w:t>资金</w:t>
      </w:r>
      <w:r>
        <w:rPr>
          <w:rFonts w:hint="eastAsia" w:ascii="宋体" w:hAnsi="宋体"/>
          <w:color w:val="auto"/>
          <w:sz w:val="24"/>
          <w:szCs w:val="24"/>
          <w:lang w:val="zh-CN"/>
        </w:rPr>
        <w:t>收支的财务资料以及相关的文件</w:t>
      </w:r>
      <w:r>
        <w:rPr>
          <w:rFonts w:ascii="宋体" w:hAnsi="宋体"/>
          <w:color w:val="auto"/>
          <w:sz w:val="24"/>
          <w:szCs w:val="24"/>
        </w:rPr>
        <w:t>是</w:t>
      </w:r>
      <w:r>
        <w:rPr>
          <w:rFonts w:hint="eastAsia" w:ascii="宋体" w:hAnsi="宋体"/>
          <w:color w:val="auto"/>
          <w:sz w:val="24"/>
          <w:szCs w:val="24"/>
          <w:lang w:val="en-US" w:eastAsia="zh-CN"/>
        </w:rPr>
        <w:t>金川县科学技术和知识产权局的</w:t>
      </w:r>
      <w:r>
        <w:rPr>
          <w:rFonts w:ascii="宋体" w:hAnsi="宋体"/>
          <w:color w:val="auto"/>
          <w:sz w:val="24"/>
          <w:szCs w:val="24"/>
        </w:rPr>
        <w:t>的责任，我们的责任</w:t>
      </w:r>
      <w:r>
        <w:rPr>
          <w:rFonts w:hint="eastAsia" w:ascii="宋体" w:hAnsi="宋体"/>
          <w:color w:val="auto"/>
          <w:sz w:val="24"/>
          <w:szCs w:val="24"/>
        </w:rPr>
        <w:t>是</w:t>
      </w:r>
      <w:r>
        <w:rPr>
          <w:rFonts w:ascii="宋体" w:hAnsi="宋体"/>
          <w:color w:val="auto"/>
          <w:sz w:val="24"/>
          <w:szCs w:val="24"/>
        </w:rPr>
        <w:t>本着独立、客观、公正的原则，在实施必要</w:t>
      </w:r>
      <w:r>
        <w:rPr>
          <w:rFonts w:hint="eastAsia" w:ascii="宋体" w:hAnsi="宋体"/>
          <w:color w:val="auto"/>
          <w:sz w:val="24"/>
          <w:szCs w:val="24"/>
        </w:rPr>
        <w:t>评价</w:t>
      </w:r>
      <w:r>
        <w:rPr>
          <w:rFonts w:ascii="宋体" w:hAnsi="宋体"/>
          <w:color w:val="auto"/>
          <w:sz w:val="24"/>
          <w:szCs w:val="24"/>
        </w:rPr>
        <w:t>程序的基础上发表</w:t>
      </w:r>
      <w:r>
        <w:rPr>
          <w:rFonts w:hint="eastAsia" w:ascii="宋体" w:hAnsi="宋体"/>
          <w:color w:val="auto"/>
          <w:sz w:val="24"/>
          <w:szCs w:val="24"/>
        </w:rPr>
        <w:t>评价</w:t>
      </w:r>
      <w:r>
        <w:rPr>
          <w:rFonts w:ascii="宋体" w:hAnsi="宋体"/>
          <w:color w:val="auto"/>
          <w:sz w:val="24"/>
          <w:szCs w:val="24"/>
        </w:rPr>
        <w:t>意见。</w:t>
      </w:r>
      <w:r>
        <w:rPr>
          <w:rFonts w:hint="eastAsia" w:ascii="宋体" w:hAnsi="宋体"/>
          <w:color w:val="auto"/>
          <w:sz w:val="24"/>
          <w:szCs w:val="24"/>
        </w:rPr>
        <w:t>我们的评价是依据财政部《财政支出绩效评价管理暂行办法》(财预〔2011〕285号）</w:t>
      </w:r>
      <w:r>
        <w:rPr>
          <w:rFonts w:hint="eastAsia" w:ascii="宋体" w:hAnsi="宋体"/>
          <w:color w:val="auto"/>
          <w:sz w:val="24"/>
          <w:szCs w:val="24"/>
          <w:lang w:val="en-US" w:eastAsia="zh-CN"/>
        </w:rPr>
        <w:t>和四川省财政厅《关于四川省财政支出绩效评价操作规程（试行）》（川财绩</w:t>
      </w:r>
      <w:r>
        <w:rPr>
          <w:rFonts w:hint="eastAsia" w:ascii="宋体" w:hAnsi="宋体"/>
          <w:color w:val="auto"/>
          <w:sz w:val="24"/>
          <w:szCs w:val="24"/>
        </w:rPr>
        <w:t>〔201</w:t>
      </w:r>
      <w:r>
        <w:rPr>
          <w:rFonts w:hint="eastAsia" w:ascii="宋体" w:hAnsi="宋体"/>
          <w:color w:val="auto"/>
          <w:sz w:val="24"/>
          <w:szCs w:val="24"/>
          <w:lang w:val="en-US" w:eastAsia="zh-CN"/>
        </w:rPr>
        <w:t>8</w:t>
      </w:r>
      <w:r>
        <w:rPr>
          <w:rFonts w:hint="eastAsia" w:ascii="宋体" w:hAnsi="宋体"/>
          <w:color w:val="auto"/>
          <w:sz w:val="24"/>
          <w:szCs w:val="24"/>
        </w:rPr>
        <w:t>〕</w:t>
      </w:r>
      <w:r>
        <w:rPr>
          <w:rFonts w:hint="eastAsia" w:ascii="宋体" w:hAnsi="宋体"/>
          <w:color w:val="auto"/>
          <w:sz w:val="24"/>
          <w:szCs w:val="24"/>
          <w:lang w:val="en-US" w:eastAsia="zh-CN"/>
        </w:rPr>
        <w:t>2号）《四川省科技计划项目管理暂行办法》</w:t>
      </w:r>
      <w:r>
        <w:rPr>
          <w:rFonts w:hint="eastAsia" w:ascii="宋体" w:hAnsi="宋体"/>
          <w:color w:val="auto"/>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olor w:val="auto"/>
          <w:sz w:val="24"/>
          <w:szCs w:val="24"/>
        </w:rPr>
      </w:pPr>
      <w:r>
        <w:rPr>
          <w:rFonts w:hint="eastAsia" w:ascii="宋体" w:hAnsi="宋体"/>
          <w:color w:val="auto"/>
          <w:sz w:val="24"/>
          <w:szCs w:val="24"/>
        </w:rPr>
        <w:t>在评价过程中，我们结合该项目的实际情况，实施了包括检查会计记录、</w:t>
      </w:r>
      <w:r>
        <w:rPr>
          <w:rFonts w:hint="eastAsia" w:ascii="宋体" w:hAnsi="宋体"/>
          <w:color w:val="auto"/>
          <w:sz w:val="24"/>
          <w:szCs w:val="24"/>
          <w:lang w:val="en-US" w:eastAsia="zh-CN"/>
        </w:rPr>
        <w:t>实地查看、</w:t>
      </w:r>
      <w:r>
        <w:rPr>
          <w:rFonts w:hint="eastAsia" w:ascii="宋体" w:hAnsi="宋体"/>
          <w:color w:val="auto"/>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color w:val="auto"/>
          <w:sz w:val="21"/>
          <w:szCs w:val="24"/>
          <w:lang w:eastAsia="zh-CN"/>
        </w:rPr>
      </w:pPr>
      <w:r>
        <w:rPr>
          <w:rFonts w:hint="eastAsia" w:ascii="宋体" w:hAnsi="宋体"/>
          <w:color w:val="auto"/>
          <w:sz w:val="24"/>
          <w:szCs w:val="24"/>
        </w:rPr>
        <w:t>我们的</w:t>
      </w:r>
      <w:r>
        <w:rPr>
          <w:rFonts w:ascii="宋体" w:hAnsi="宋体"/>
          <w:color w:val="auto"/>
          <w:sz w:val="24"/>
          <w:szCs w:val="24"/>
        </w:rPr>
        <w:t>现场</w:t>
      </w:r>
      <w:r>
        <w:rPr>
          <w:rFonts w:hint="eastAsia" w:ascii="宋体" w:hAnsi="宋体"/>
          <w:color w:val="auto"/>
          <w:sz w:val="24"/>
          <w:szCs w:val="24"/>
        </w:rPr>
        <w:t>评价</w:t>
      </w:r>
      <w:r>
        <w:rPr>
          <w:rFonts w:ascii="宋体" w:hAnsi="宋体"/>
          <w:color w:val="auto"/>
          <w:sz w:val="24"/>
          <w:szCs w:val="24"/>
        </w:rPr>
        <w:t>工作已</w:t>
      </w:r>
      <w:r>
        <w:rPr>
          <w:rFonts w:ascii="宋体" w:hAnsi="宋体"/>
          <w:color w:val="auto"/>
          <w:sz w:val="24"/>
          <w:szCs w:val="24"/>
          <w:highlight w:val="none"/>
        </w:rPr>
        <w:t>于</w:t>
      </w:r>
      <w:r>
        <w:rPr>
          <w:rFonts w:hint="eastAsia" w:ascii="宋体" w:hAnsi="宋体"/>
          <w:color w:val="auto"/>
          <w:sz w:val="24"/>
          <w:szCs w:val="24"/>
          <w:highlight w:val="none"/>
        </w:rPr>
        <w:t>201</w:t>
      </w:r>
      <w:r>
        <w:rPr>
          <w:rFonts w:hint="eastAsia" w:ascii="宋体" w:hAnsi="宋体"/>
          <w:color w:val="auto"/>
          <w:sz w:val="24"/>
          <w:szCs w:val="24"/>
          <w:highlight w:val="none"/>
          <w:lang w:val="en-US" w:eastAsia="zh-CN"/>
        </w:rPr>
        <w:t>8</w:t>
      </w:r>
      <w:r>
        <w:rPr>
          <w:rFonts w:ascii="宋体" w:hAnsi="宋体"/>
          <w:color w:val="auto"/>
          <w:sz w:val="24"/>
          <w:szCs w:val="24"/>
          <w:highlight w:val="none"/>
        </w:rPr>
        <w:t>年</w:t>
      </w:r>
      <w:r>
        <w:rPr>
          <w:rFonts w:hint="eastAsia" w:ascii="宋体" w:hAnsi="宋体"/>
          <w:color w:val="auto"/>
          <w:sz w:val="24"/>
          <w:szCs w:val="24"/>
          <w:highlight w:val="none"/>
          <w:lang w:val="en-US" w:eastAsia="zh-CN"/>
        </w:rPr>
        <w:t>9</w:t>
      </w:r>
      <w:r>
        <w:rPr>
          <w:rFonts w:ascii="宋体" w:hAnsi="宋体"/>
          <w:color w:val="auto"/>
          <w:sz w:val="24"/>
          <w:szCs w:val="24"/>
          <w:highlight w:val="none"/>
        </w:rPr>
        <w:t>月</w:t>
      </w:r>
      <w:r>
        <w:rPr>
          <w:rFonts w:hint="eastAsia" w:ascii="宋体" w:hAnsi="宋体"/>
          <w:color w:val="auto"/>
          <w:sz w:val="24"/>
          <w:szCs w:val="24"/>
          <w:highlight w:val="none"/>
          <w:lang w:val="en-US" w:eastAsia="zh-CN"/>
        </w:rPr>
        <w:t>15</w:t>
      </w:r>
      <w:r>
        <w:rPr>
          <w:rFonts w:ascii="宋体" w:hAnsi="宋体"/>
          <w:color w:val="auto"/>
          <w:sz w:val="24"/>
          <w:szCs w:val="24"/>
          <w:highlight w:val="none"/>
        </w:rPr>
        <w:t>日结束</w:t>
      </w:r>
      <w:r>
        <w:rPr>
          <w:rFonts w:ascii="宋体" w:hAnsi="宋体"/>
          <w:color w:val="auto"/>
          <w:sz w:val="24"/>
          <w:szCs w:val="24"/>
        </w:rPr>
        <w:t>，现将</w:t>
      </w:r>
      <w:r>
        <w:rPr>
          <w:rFonts w:hint="eastAsia" w:ascii="宋体" w:hAnsi="宋体"/>
          <w:color w:val="auto"/>
          <w:sz w:val="24"/>
          <w:szCs w:val="24"/>
        </w:rPr>
        <w:t>评价</w:t>
      </w:r>
      <w:r>
        <w:rPr>
          <w:rFonts w:ascii="宋体" w:hAnsi="宋体"/>
          <w:color w:val="auto"/>
          <w:sz w:val="24"/>
          <w:szCs w:val="24"/>
        </w:rPr>
        <w:t>情况报告如下</w:t>
      </w:r>
      <w:r>
        <w:rPr>
          <w:rFonts w:hint="eastAsia" w:ascii="宋体" w:hAnsi="宋体"/>
          <w:color w:val="auto"/>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项目概况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项目实施单位基本情况</w:t>
      </w:r>
    </w:p>
    <w:p>
      <w:pPr>
        <w:shd w:val="clear" w:color="auto" w:fill="auto"/>
        <w:spacing w:line="576" w:lineRule="exact"/>
        <w:ind w:left="0" w:leftChars="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金川县科学技术和知识产权局现有行政编制7名，领导职数4名（其中：局长1名，副局长2名，纪检组长1名）；股级职数2名；其他工作人员1名</w:t>
      </w:r>
      <w:r>
        <w:rPr>
          <w:rFonts w:hint="eastAsia" w:ascii="仿宋" w:hAnsi="仿宋" w:eastAsia="仿宋" w:cs="仿宋"/>
          <w:sz w:val="24"/>
          <w:szCs w:val="24"/>
          <w:lang w:eastAsia="zh-CN"/>
        </w:rPr>
        <w:t>，</w:t>
      </w:r>
      <w:r>
        <w:rPr>
          <w:rFonts w:hint="eastAsia" w:ascii="仿宋" w:hAnsi="仿宋" w:eastAsia="仿宋" w:cs="仿宋"/>
          <w:sz w:val="24"/>
          <w:szCs w:val="24"/>
        </w:rPr>
        <w:t>机关工勤人员编制1名。</w:t>
      </w:r>
      <w:r>
        <w:rPr>
          <w:rFonts w:hint="eastAsia" w:ascii="仿宋" w:hAnsi="仿宋" w:eastAsia="仿宋" w:cs="仿宋"/>
          <w:sz w:val="24"/>
          <w:szCs w:val="24"/>
          <w:lang w:val="en-US" w:eastAsia="zh-CN"/>
        </w:rPr>
        <w:t>内设机构：综合股，办公室。</w:t>
      </w:r>
    </w:p>
    <w:p>
      <w:pPr>
        <w:shd w:val="clear" w:color="auto" w:fill="auto"/>
        <w:spacing w:line="576" w:lineRule="exact"/>
        <w:ind w:left="0" w:leftChars="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主要职责：</w:t>
      </w:r>
      <w:r>
        <w:rPr>
          <w:rFonts w:hint="eastAsia" w:ascii="仿宋" w:hAnsi="仿宋" w:eastAsia="仿宋" w:cs="仿宋"/>
          <w:sz w:val="24"/>
          <w:szCs w:val="24"/>
        </w:rPr>
        <w:t>贯彻执行国家、省、州有关科技发展的方针政策和法律、法规；起草全县有关科技发展的地方性规章草案和政策措施，报县政府批准后组织实施和监督检查</w:t>
      </w:r>
      <w:r>
        <w:rPr>
          <w:rFonts w:hint="eastAsia" w:ascii="仿宋" w:hAnsi="仿宋" w:eastAsia="仿宋" w:cs="仿宋"/>
          <w:sz w:val="24"/>
          <w:szCs w:val="24"/>
          <w:lang w:val="en-US" w:eastAsia="zh-CN"/>
        </w:rPr>
        <w:t>....</w:t>
      </w:r>
      <w:r>
        <w:rPr>
          <w:rFonts w:hint="eastAsia" w:ascii="仿宋" w:hAnsi="仿宋" w:eastAsia="仿宋" w:cs="仿宋"/>
          <w:sz w:val="24"/>
          <w:szCs w:val="24"/>
        </w:rPr>
        <w:t>负责全县科学技术奖励、科技成果鉴定(评价)、科技成果推广转化、科技类民办非企业单位管理等工作。组织相关重大科技成果应用示范，推动企业自主创新能力建设</w:t>
      </w:r>
      <w:r>
        <w:rPr>
          <w:rFonts w:hint="eastAsia" w:ascii="仿宋" w:hAnsi="仿宋" w:eastAsia="仿宋" w:cs="仿宋"/>
          <w:sz w:val="24"/>
          <w:szCs w:val="24"/>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根据金川县财政局《关于下达2017年第一批省级科技计划资金预算的通知》（金财行[2017]34号）下达资金40万元，其中省级财政资金40万元。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项目资金主要用于：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省级财政资金40万元，用于金川县雪梨加工关键技术的集成与应用。项目由四川华杏农业科技开发有限公司和西华大学合作完成，其中西华大学负责雪梨精深加工技术集成及应用。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2017年第一批省级科技计划-科技成果转化引导项目（金川县雪梨加工关键技术的集成与应用）40万元，项目已基本完成，取得了相应的效益。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评分，该项目综合得分</w:t>
      </w:r>
      <w:r>
        <w:rPr>
          <w:rFonts w:hint="eastAsia" w:ascii="宋体" w:hAnsi="宋体"/>
          <w:sz w:val="24"/>
          <w:szCs w:val="24"/>
          <w:highlight w:val="none"/>
          <w:lang w:val="en-US" w:eastAsia="zh-CN"/>
        </w:rPr>
        <w:t>96</w:t>
      </w:r>
      <w:r>
        <w:rPr>
          <w:rFonts w:hint="eastAsia" w:ascii="宋体" w:hAnsi="宋体"/>
          <w:sz w:val="24"/>
          <w:szCs w:val="24"/>
          <w:lang w:val="en-US" w:eastAsia="zh-CN"/>
        </w:rPr>
        <w:t>分。具体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项目的必要性：因金川县处于大河之滨，有着特殊的地域优势，产出大量雪梨，但是低规格的雪梨销售得不到保障。通过实施本项目，有利于带动农牧民脱贫致富，促进金川雪梨产业的快速发展。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项目的可行性：雪梨产业一直是金川的传统产业，农民种植雪梨技术娴熟，且原材料也是供大于需，雪梨果树管理方便且成本低、效益高。该项目的建设更带动了县区域的经济发展、农业和生产业发展。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绩效目标设置情况：建设雪梨种植基地100亩并发挥辐射示范作用，建设加工能力500吨的雪梨加工生产线，预期实现年产值1000-2000万元，项目直接参与精准识别贫困人口21人，项目产业吸纳精准识别贫困人口就业7人。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项目资金到位情况：下达2017年第一批省级科技计划-科技成果转化引导项目（金川县雪梨加工关键技术的集成与应用）《阿州财教〔2017〕62号》文件，拨付资金40万元。已于2017年12月14日到位，资金到位率100%。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使用情况：《金川县雪梨加工关键技术的集成与应用》项目40万元已投入使用，其中购置设备费5万元、材料费16.38万元、测试化验加工费0.5万元、新技术新品种引进费6万元、差旅费3.24万元、会议费0.48万元、劳务费8.4万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项目资金管理情况：项目资金的管理和使用按照</w:t>
      </w:r>
      <w:r>
        <w:rPr>
          <w:rFonts w:hint="eastAsia" w:ascii="宋体" w:hAnsi="宋体"/>
          <w:color w:val="auto"/>
          <w:sz w:val="24"/>
          <w:szCs w:val="24"/>
          <w:lang w:val="en-US" w:eastAsia="zh-CN"/>
        </w:rPr>
        <w:t>《四川省科技计划项目管理暂行办法》和科技计划资金管理的相应办法的要求执行。</w:t>
      </w:r>
      <w:r>
        <w:rPr>
          <w:rFonts w:hint="eastAsia" w:ascii="宋体" w:hAnsi="宋体"/>
          <w:sz w:val="24"/>
          <w:szCs w:val="24"/>
          <w:lang w:val="en-US" w:eastAsia="zh-CN"/>
        </w:rPr>
        <w:t>全部资金由财政直接拨付到科学技术和知识产权局账户。项目资金做到了专款专用。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3、项目绩效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按照预定进度计划已完成目标任务。完成目标任务率为100%。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该项目取得经济效益：促进了金川县域的经济发展，增加了当地农牧民的经济收入，提高人民的生活品质。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生态效益：该项目建设保护了森林资源和野生资源，提高了当地林地资源利用率，消除了水土流失的隐患，对保护生态环境具有重要作用。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社会效益：调动的果农的生产积极性、吸纳了当地劳动力解决了部分就业问题，带动了当地的运输发展，培育了特色支柱产业从而推动了金川雪梨产业的健康发展。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我们选择抽取了</w:t>
      </w:r>
      <w:r>
        <w:rPr>
          <w:rFonts w:hint="eastAsia" w:ascii="宋体" w:hAnsi="宋体"/>
          <w:color w:val="auto"/>
          <w:sz w:val="24"/>
          <w:szCs w:val="24"/>
        </w:rPr>
        <w:t>庆宁乡华杏农业科技有限公司</w:t>
      </w:r>
      <w:r>
        <w:rPr>
          <w:rFonts w:hint="eastAsia" w:ascii="宋体" w:hAnsi="宋体"/>
          <w:color w:val="auto"/>
          <w:sz w:val="24"/>
          <w:szCs w:val="24"/>
          <w:lang w:eastAsia="zh-CN"/>
        </w:rPr>
        <w:t>，</w:t>
      </w:r>
      <w:r>
        <w:rPr>
          <w:rFonts w:hint="eastAsia" w:ascii="宋体" w:hAnsi="宋体"/>
          <w:color w:val="auto"/>
          <w:sz w:val="24"/>
          <w:szCs w:val="24"/>
          <w:lang w:val="en-US" w:eastAsia="zh-CN"/>
        </w:rPr>
        <w:t>金川县雪梨加工关键技术的集成与应用项目，</w:t>
      </w:r>
      <w:r>
        <w:rPr>
          <w:rFonts w:hint="eastAsia" w:ascii="宋体" w:hAnsi="宋体"/>
          <w:sz w:val="24"/>
          <w:szCs w:val="24"/>
          <w:highlight w:val="none"/>
          <w:lang w:val="en-US" w:eastAsia="zh-CN"/>
        </w:rPr>
        <w:t>对其进行调查，调查表明，项目均已实施。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存在主要问题</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相关措施建议</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b/>
          <w:bCs/>
          <w:color w:val="auto"/>
          <w:sz w:val="24"/>
          <w:szCs w:val="24"/>
          <w:lang w:val="en-US" w:eastAsia="zh-CN"/>
        </w:rPr>
      </w:pPr>
      <w:r>
        <w:rPr>
          <w:rFonts w:hint="eastAsia" w:ascii="宋体" w:hAnsi="宋体"/>
          <w:color w:val="auto"/>
          <w:sz w:val="24"/>
          <w:szCs w:val="24"/>
          <w:lang w:val="en-US" w:eastAsia="zh-CN"/>
        </w:rPr>
        <w:t>时刻关注国家宏观政策、加强技术开发、技术进步。</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b/>
          <w:bCs/>
          <w:color w:val="auto"/>
          <w:sz w:val="24"/>
          <w:szCs w:val="24"/>
          <w:lang w:val="en-US" w:eastAsia="zh-CN"/>
        </w:rPr>
        <w:t>本报告使用范围</w:t>
      </w:r>
      <w:r>
        <w:rPr>
          <w:rFonts w:hint="eastAsia" w:ascii="宋体" w:hAnsi="宋体"/>
          <w:b/>
          <w:bCs/>
          <w:color w:val="auto"/>
          <w:sz w:val="24"/>
          <w:szCs w:val="24"/>
          <w:lang w:val="en-US" w:eastAsia="zh-CN"/>
        </w:rPr>
        <w:br w:type="textWrapping"/>
      </w:r>
      <w:r>
        <w:rPr>
          <w:rFonts w:hint="eastAsia" w:ascii="宋体" w:hAnsi="宋体"/>
          <w:b/>
          <w:bCs/>
          <w:color w:val="auto"/>
          <w:sz w:val="24"/>
          <w:szCs w:val="24"/>
          <w:lang w:val="en-US" w:eastAsia="zh-CN"/>
        </w:rPr>
        <w:t xml:space="preserve">    </w:t>
      </w:r>
      <w:r>
        <w:rPr>
          <w:rFonts w:hint="eastAsia" w:ascii="宋体" w:hAnsi="宋体"/>
          <w:color w:val="auto"/>
          <w:sz w:val="24"/>
          <w:szCs w:val="24"/>
          <w:lang w:val="en-US" w:eastAsia="zh-CN"/>
        </w:rPr>
        <w:t>本报告是在金川县科学技术和知识产权局所提供的现有资料基础上检查做出的结论，仅供金川县财政局区了解金川县科学技术和知识产权局2017年第一批省级科技计划资金绩效评价情况时使用，不作为其他用途，如因使用不当所造成的后果，与本所和签字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附件一：</w:t>
      </w:r>
      <w:r>
        <w:rPr>
          <w:rFonts w:hint="eastAsia" w:ascii="宋体" w:hAnsi="宋体"/>
          <w:color w:val="auto"/>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spacing w:line="360" w:lineRule="auto"/>
        <w:rPr>
          <w:rFonts w:hint="eastAsia" w:ascii="仿宋" w:hAnsi="仿宋" w:eastAsia="仿宋" w:cs="仿宋"/>
          <w:color w:val="auto"/>
          <w:sz w:val="24"/>
        </w:rPr>
      </w:pPr>
      <w:r>
        <w:rPr>
          <w:rFonts w:hint="eastAsia" w:ascii="仿宋" w:hAnsi="仿宋" w:eastAsia="仿宋" w:cs="仿宋"/>
          <w:bCs/>
          <w:color w:val="auto"/>
          <w:sz w:val="24"/>
        </w:rPr>
        <w:t xml:space="preserve"> </w:t>
      </w:r>
      <w:r>
        <w:rPr>
          <w:rFonts w:hint="eastAsia" w:ascii="仿宋" w:hAnsi="仿宋" w:eastAsia="仿宋" w:cs="仿宋"/>
          <w:b w:val="0"/>
          <w:bCs/>
          <w:color w:val="auto"/>
          <w:sz w:val="24"/>
        </w:rPr>
        <w:t>中兴华会计师事务所</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b w:val="0"/>
          <w:bCs/>
          <w:color w:val="auto"/>
          <w:sz w:val="24"/>
        </w:rPr>
        <w:t>（特殊普通合伙</w:t>
      </w:r>
      <w:r>
        <w:rPr>
          <w:rFonts w:hint="eastAsia" w:ascii="仿宋" w:hAnsi="仿宋" w:eastAsia="仿宋" w:cs="仿宋"/>
          <w:b w:val="0"/>
          <w:bCs/>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color w:val="auto"/>
          <w:sz w:val="24"/>
          <w:szCs w:val="24"/>
          <w:lang w:val="en-US" w:eastAsia="zh-CN"/>
        </w:rPr>
      </w:pPr>
      <w:r>
        <w:rPr>
          <w:rFonts w:hint="eastAsia" w:ascii="仿宋" w:hAnsi="仿宋" w:eastAsia="仿宋" w:cs="仿宋"/>
          <w:color w:val="auto"/>
          <w:sz w:val="24"/>
        </w:rPr>
        <w:t xml:space="preserve">中国·四川·成都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报告日期：二0一</w:t>
      </w:r>
      <w:r>
        <w:rPr>
          <w:rFonts w:hint="eastAsia" w:ascii="仿宋" w:hAnsi="仿宋" w:eastAsia="仿宋" w:cs="仿宋"/>
          <w:color w:val="auto"/>
          <w:sz w:val="24"/>
          <w:lang w:eastAsia="zh-CN"/>
        </w:rPr>
        <w:t>八</w:t>
      </w:r>
      <w:r>
        <w:rPr>
          <w:rFonts w:hint="eastAsia" w:ascii="仿宋" w:hAnsi="仿宋" w:eastAsia="仿宋" w:cs="仿宋"/>
          <w:color w:val="auto"/>
          <w:sz w:val="24"/>
        </w:rPr>
        <w:t>年</w:t>
      </w:r>
      <w:r>
        <w:rPr>
          <w:rFonts w:hint="eastAsia" w:ascii="仿宋" w:hAnsi="仿宋" w:eastAsia="仿宋" w:cs="仿宋"/>
          <w:color w:val="auto"/>
          <w:sz w:val="24"/>
          <w:lang w:val="en-US" w:eastAsia="zh-CN"/>
        </w:rPr>
        <w:t>九</w:t>
      </w:r>
      <w:r>
        <w:rPr>
          <w:rFonts w:hint="eastAsia" w:ascii="仿宋" w:hAnsi="仿宋" w:eastAsia="仿宋" w:cs="仿宋"/>
          <w:color w:val="auto"/>
          <w:sz w:val="24"/>
        </w:rPr>
        <w:t>月</w:t>
      </w:r>
      <w:r>
        <w:rPr>
          <w:rFonts w:hint="eastAsia" w:ascii="仿宋" w:hAnsi="仿宋" w:eastAsia="仿宋" w:cs="仿宋"/>
          <w:color w:val="auto"/>
          <w:sz w:val="24"/>
          <w:lang w:val="en-US" w:eastAsia="zh-CN"/>
        </w:rPr>
        <w:t>十五日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1FB74"/>
    <w:multiLevelType w:val="singleLevel"/>
    <w:tmpl w:val="1F11FB74"/>
    <w:lvl w:ilvl="0" w:tentative="0">
      <w:start w:val="1"/>
      <w:numFmt w:val="chineseCounting"/>
      <w:suff w:val="nothing"/>
      <w:lvlText w:val="（%1）"/>
      <w:lvlJc w:val="left"/>
      <w:rPr>
        <w:rFonts w:hint="eastAsia"/>
      </w:rPr>
    </w:lvl>
  </w:abstractNum>
  <w:abstractNum w:abstractNumId="1">
    <w:nsid w:val="4115B164"/>
    <w:multiLevelType w:val="singleLevel"/>
    <w:tmpl w:val="4115B16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23D46"/>
    <w:rsid w:val="01E37A7D"/>
    <w:rsid w:val="031A3999"/>
    <w:rsid w:val="052B36C2"/>
    <w:rsid w:val="06D10598"/>
    <w:rsid w:val="094272B4"/>
    <w:rsid w:val="0AB50483"/>
    <w:rsid w:val="0B5F77F5"/>
    <w:rsid w:val="0CB253DE"/>
    <w:rsid w:val="0D0628B6"/>
    <w:rsid w:val="0D58510D"/>
    <w:rsid w:val="0D9A2FD3"/>
    <w:rsid w:val="0EB56BD9"/>
    <w:rsid w:val="10F710BF"/>
    <w:rsid w:val="11944CAD"/>
    <w:rsid w:val="128A0EBC"/>
    <w:rsid w:val="12F73558"/>
    <w:rsid w:val="159D1AF1"/>
    <w:rsid w:val="18D325DB"/>
    <w:rsid w:val="1A82591E"/>
    <w:rsid w:val="1C6322F0"/>
    <w:rsid w:val="1E074D0D"/>
    <w:rsid w:val="1F0A50CB"/>
    <w:rsid w:val="20B72A2D"/>
    <w:rsid w:val="231F61E2"/>
    <w:rsid w:val="23E942AD"/>
    <w:rsid w:val="283A4A5F"/>
    <w:rsid w:val="288708B1"/>
    <w:rsid w:val="2A8D509E"/>
    <w:rsid w:val="2BA82907"/>
    <w:rsid w:val="34EA4C26"/>
    <w:rsid w:val="36293B42"/>
    <w:rsid w:val="36F81653"/>
    <w:rsid w:val="3C2A22D4"/>
    <w:rsid w:val="3DB108B6"/>
    <w:rsid w:val="3EC43C6E"/>
    <w:rsid w:val="3F6939C3"/>
    <w:rsid w:val="410601B3"/>
    <w:rsid w:val="41E12E92"/>
    <w:rsid w:val="42D577B0"/>
    <w:rsid w:val="4C523BC0"/>
    <w:rsid w:val="4CCB307D"/>
    <w:rsid w:val="4DB95AF1"/>
    <w:rsid w:val="4F2A23E0"/>
    <w:rsid w:val="51D072D7"/>
    <w:rsid w:val="51F02ED6"/>
    <w:rsid w:val="532323C6"/>
    <w:rsid w:val="540B3EAB"/>
    <w:rsid w:val="56FE3473"/>
    <w:rsid w:val="58997233"/>
    <w:rsid w:val="58CA2B2F"/>
    <w:rsid w:val="59495D47"/>
    <w:rsid w:val="5A5F05D5"/>
    <w:rsid w:val="5D7D6A2F"/>
    <w:rsid w:val="5D9E2371"/>
    <w:rsid w:val="5E9B1791"/>
    <w:rsid w:val="5EE026F7"/>
    <w:rsid w:val="606B736F"/>
    <w:rsid w:val="6150132B"/>
    <w:rsid w:val="65341C7A"/>
    <w:rsid w:val="670E7B75"/>
    <w:rsid w:val="69971BFE"/>
    <w:rsid w:val="6AB26AF5"/>
    <w:rsid w:val="6AC30821"/>
    <w:rsid w:val="6BC363D3"/>
    <w:rsid w:val="6DF75DF9"/>
    <w:rsid w:val="6FAF2D2E"/>
    <w:rsid w:val="6FC12491"/>
    <w:rsid w:val="72CD5043"/>
    <w:rsid w:val="738F4450"/>
    <w:rsid w:val="74031A23"/>
    <w:rsid w:val="74CF000B"/>
    <w:rsid w:val="775326D0"/>
    <w:rsid w:val="790528BB"/>
    <w:rsid w:val="7B1677D9"/>
    <w:rsid w:val="7B5452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qFormat/>
    <w:uiPriority w:val="0"/>
    <w:rPr>
      <w:color w:val="323232"/>
      <w:u w:val="none"/>
    </w:rPr>
  </w:style>
  <w:style w:type="character" w:styleId="8">
    <w:name w:val="Hyperlink"/>
    <w:basedOn w:val="6"/>
    <w:uiPriority w:val="0"/>
    <w:rPr>
      <w:color w:val="323232"/>
      <w:u w:val="none"/>
    </w:rPr>
  </w:style>
  <w:style w:type="character" w:customStyle="1" w:styleId="10">
    <w:name w:val="bsharetext"/>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po</cp:lastModifiedBy>
  <dcterms:modified xsi:type="dcterms:W3CDTF">2018-10-23T08:21:25Z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