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2000" w:type="dxa"/>
        <w:jc w:val="center"/>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jc w:val="center"/>
        </w:trPr>
        <w:tc>
          <w:tcPr>
            <w:tcW w:w="12000" w:type="dxa"/>
            <w:shd w:val="clear" w:color="auto" w:fill="FFFFFF"/>
          </w:tcPr>
          <w:tbl>
            <w:tblPr>
              <w:tblStyle w:val="7"/>
              <w:tblW w:w="12000" w:type="dxa"/>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trPr>
              <w:tc>
                <w:tcPr>
                  <w:tcW w:w="12000" w:type="dxa"/>
                </w:tcPr>
                <w:tbl>
                  <w:tblPr>
                    <w:tblStyle w:val="7"/>
                    <w:tblW w:w="12000" w:type="dxa"/>
                    <w:tblCellSpacing w:w="0" w:type="dxa"/>
                    <w:tblInd w:w="0" w:type="dxa"/>
                    <w:tblLayout w:type="fixed"/>
                    <w:tblCellMar>
                      <w:top w:w="0" w:type="dxa"/>
                      <w:left w:w="0" w:type="dxa"/>
                      <w:bottom w:w="0" w:type="dxa"/>
                      <w:right w:w="0" w:type="dxa"/>
                    </w:tblCellMar>
                  </w:tblPr>
                  <w:tblGrid>
                    <w:gridCol w:w="10650"/>
                    <w:gridCol w:w="1350"/>
                  </w:tblGrid>
                  <w:tr>
                    <w:tblPrEx>
                      <w:tblLayout w:type="fixed"/>
                      <w:tblCellMar>
                        <w:top w:w="0" w:type="dxa"/>
                        <w:left w:w="0" w:type="dxa"/>
                        <w:bottom w:w="0" w:type="dxa"/>
                        <w:right w:w="0" w:type="dxa"/>
                      </w:tblCellMar>
                    </w:tblPrEx>
                    <w:trPr>
                      <w:tblCellSpacing w:w="0" w:type="dxa"/>
                    </w:trPr>
                    <w:tc>
                      <w:tcPr>
                        <w:tcW w:w="10650" w:type="dxa"/>
                        <w:tcMar>
                          <w:top w:w="0" w:type="dxa"/>
                          <w:left w:w="30" w:type="dxa"/>
                          <w:bottom w:w="30" w:type="dxa"/>
                          <w:right w:w="30" w:type="dxa"/>
                        </w:tcMar>
                      </w:tcPr>
                      <w:tbl>
                        <w:tblPr>
                          <w:tblStyle w:val="7"/>
                          <w:tblW w:w="10590" w:type="dxa"/>
                          <w:tblCellSpacing w:w="0" w:type="dxa"/>
                          <w:tblInd w:w="0" w:type="dxa"/>
                          <w:shd w:val="clear" w:color="auto" w:fill="FFFFFF"/>
                          <w:tblLayout w:type="fixed"/>
                          <w:tblCellMar>
                            <w:top w:w="0" w:type="dxa"/>
                            <w:left w:w="0" w:type="dxa"/>
                            <w:bottom w:w="0" w:type="dxa"/>
                            <w:right w:w="0" w:type="dxa"/>
                          </w:tblCellMar>
                        </w:tblPr>
                        <w:tblGrid>
                          <w:gridCol w:w="10590"/>
                        </w:tblGrid>
                        <w:tr>
                          <w:tblPrEx>
                            <w:shd w:val="clear" w:color="auto" w:fill="FFFFFF"/>
                            <w:tblLayout w:type="fixed"/>
                            <w:tblCellMar>
                              <w:top w:w="0" w:type="dxa"/>
                              <w:left w:w="0" w:type="dxa"/>
                              <w:bottom w:w="0" w:type="dxa"/>
                              <w:right w:w="0" w:type="dxa"/>
                            </w:tblCellMar>
                          </w:tblPrEx>
                          <w:trPr>
                            <w:tblCellSpacing w:w="0" w:type="dxa"/>
                          </w:trPr>
                          <w:tc>
                            <w:tcPr>
                              <w:tcW w:w="10590" w:type="dxa"/>
                              <w:shd w:val="clear" w:color="auto" w:fill="FFFFFF"/>
                            </w:tcPr>
                            <w:tbl>
                              <w:tblPr>
                                <w:tblStyle w:val="7"/>
                                <w:tblW w:w="8775" w:type="dxa"/>
                                <w:jc w:val="center"/>
                                <w:tblCellSpacing w:w="0" w:type="dxa"/>
                                <w:tblInd w:w="0" w:type="dxa"/>
                                <w:tblLayout w:type="fixed"/>
                                <w:tblCellMar>
                                  <w:top w:w="0" w:type="dxa"/>
                                  <w:left w:w="0" w:type="dxa"/>
                                  <w:bottom w:w="0" w:type="dxa"/>
                                  <w:right w:w="0" w:type="dxa"/>
                                </w:tblCellMar>
                              </w:tblPr>
                              <w:tblGrid>
                                <w:gridCol w:w="8775"/>
                              </w:tblGrid>
                              <w:tr>
                                <w:tblPrEx>
                                  <w:tblLayout w:type="fixed"/>
                                  <w:tblCellMar>
                                    <w:top w:w="0" w:type="dxa"/>
                                    <w:left w:w="0" w:type="dxa"/>
                                    <w:bottom w:w="0" w:type="dxa"/>
                                    <w:right w:w="0" w:type="dxa"/>
                                  </w:tblCellMar>
                                </w:tblPrEx>
                                <w:trPr>
                                  <w:tblCellSpacing w:w="0" w:type="dxa"/>
                                  <w:jc w:val="center"/>
                                </w:trPr>
                                <w:tc>
                                  <w:tcPr>
                                    <w:tcW w:w="8775" w:type="dxa"/>
                                    <w:tcMar>
                                      <w:top w:w="150" w:type="dxa"/>
                                      <w:left w:w="75" w:type="dxa"/>
                                      <w:bottom w:w="0" w:type="dxa"/>
                                      <w:right w:w="0" w:type="dxa"/>
                                    </w:tcMar>
                                  </w:tcPr>
                                  <w:p>
                                    <w:pPr>
                                      <w:pStyle w:val="2"/>
                                      <w:adjustRightInd w:val="0"/>
                                      <w:snapToGrid w:val="0"/>
                                      <w:spacing w:before="93" w:line="600" w:lineRule="exact"/>
                                      <w:ind w:left="1795" w:leftChars="855" w:firstLine="360" w:firstLineChars="100"/>
                                      <w:jc w:val="left"/>
                                      <w:rPr>
                                        <w:rFonts w:ascii="方正小标宋简体" w:hAnsi="宋体" w:eastAsia="方正小标宋简体" w:cs="宋体"/>
                                        <w:color w:val="0066CC"/>
                                        <w:sz w:val="36"/>
                                        <w:szCs w:val="36"/>
                                      </w:rPr>
                                    </w:pPr>
                                    <w:r>
                                      <w:rPr>
                                        <w:rFonts w:hint="eastAsia" w:ascii="方正小标宋简体" w:hAnsi="宋体" w:eastAsia="方正小标宋简体" w:cs="宋体"/>
                                        <w:color w:val="0066CC"/>
                                        <w:sz w:val="36"/>
                                        <w:szCs w:val="36"/>
                                      </w:rPr>
                                      <w:t>金川县人民政府办公室                           关于2019年部门预算编制说明</w:t>
                                    </w:r>
                                  </w:p>
                                  <w:p>
                                    <w:pPr>
                                      <w:pStyle w:val="2"/>
                                      <w:numPr>
                                        <w:ilvl w:val="0"/>
                                        <w:numId w:val="1"/>
                                      </w:numPr>
                                      <w:adjustRightInd w:val="0"/>
                                      <w:snapToGrid w:val="0"/>
                                      <w:spacing w:before="93" w:line="600" w:lineRule="exact"/>
                                      <w:jc w:val="left"/>
                                      <w:rPr>
                                        <w:rFonts w:ascii="黑体" w:hAnsi="宋体" w:eastAsia="黑体" w:cs="宋体"/>
                                        <w:color w:val="333333"/>
                                        <w:sz w:val="28"/>
                                        <w:szCs w:val="28"/>
                                      </w:rPr>
                                    </w:pPr>
                                    <w:r>
                                      <w:rPr>
                                        <w:rFonts w:hint="eastAsia" w:ascii="黑体" w:hAnsi="宋体" w:eastAsia="黑体" w:cs="宋体"/>
                                        <w:color w:val="333333"/>
                                        <w:sz w:val="28"/>
                                        <w:szCs w:val="28"/>
                                      </w:rPr>
                                      <w:t>基本职能及主要工作</w:t>
                                    </w:r>
                                  </w:p>
                                  <w:p>
                                    <w:pPr>
                                      <w:pStyle w:val="2"/>
                                      <w:adjustRightInd w:val="0"/>
                                      <w:snapToGrid w:val="0"/>
                                      <w:spacing w:before="93" w:line="600" w:lineRule="exact"/>
                                      <w:ind w:left="280"/>
                                      <w:jc w:val="left"/>
                                      <w:rPr>
                                        <w:bCs/>
                                        <w:color w:val="000000"/>
                                        <w:sz w:val="32"/>
                                        <w:szCs w:val="32"/>
                                      </w:rPr>
                                    </w:pPr>
                                    <w:r>
                                      <w:rPr>
                                        <w:rFonts w:hint="eastAsia" w:ascii="楷体_GB2312" w:hAnsi="宋体" w:eastAsia="楷体_GB2312" w:cs="宋体"/>
                                        <w:b/>
                                        <w:bCs/>
                                        <w:color w:val="333333"/>
                                        <w:sz w:val="28"/>
                                      </w:rPr>
                                      <w:t>　</w:t>
                                    </w:r>
                                    <w:r>
                                      <w:rPr>
                                        <w:rFonts w:hint="eastAsia"/>
                                        <w:bCs/>
                                        <w:color w:val="000000"/>
                                        <w:sz w:val="32"/>
                                        <w:szCs w:val="32"/>
                                      </w:rPr>
                                      <w:t>主要职能：</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（一）协助县政府领导同志组织起草或审核以县政府、县政府办公室名义发布的公文。办理州政府、州政府办公室及各部委局发送县政府的文电。指导全县行政机关公文处理工作。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（二）研究县政府部门和各乡镇人民政府请示县政府事项，提出审核意见，报县政府领导同志审批。</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（三）负责县政府会议准备工作，协助县政府领导组织实施会议决定事项。</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（四）根据县政府领导同志的指示，对县政府部门间争议问题提出处理意见和建议，报县政府领导同志决定。</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（五）督促检查县政府各部门和各乡镇人民政府对县政府决定事项及县政府领导同志指示的贯彻落实情况，及时向县政府领导同志报告。</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（六）负责县政府值班工作，指导乡镇人民政府和县政府部门值班工作，及时报告重要情况。</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（七）指导、监督全县政府信息公开工作和机关行政效能建设工作，指导、监督全县政府系统电子政务工作和政府网站建设。</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（八）组织办理涉及县政府工作的人大代表议案、批评、建议和政协委员提案、建议案工作。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（九）指导全县应急管理工作，协助县政府领导同志做好需由县政府组织处理的突发事件的应急处置工作。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（十）围绕县政府中心工作和县政府领导同志的指示，组织专题调查研究，及时反映情况，提出政策性建议。</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（十一）指导县政务服务中心建设，组织县直部门集中开展行政审批和公共服务。</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（十二）负责县政府人民防空和民防工作。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（十三）负责全县机关事业单位小汽车编制审批事项。</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（十四）负责外事侨务工作。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（十五）组织实施县政府法制工作。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（十六）监督和指导政府采购工作。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（十七）监督、指导县人民政府驻成都办事处工作。</w:t>
                                    </w:r>
                                  </w:p>
                                  <w:p>
                                    <w:pPr>
                                      <w:pStyle w:val="2"/>
                                      <w:adjustRightInd w:val="0"/>
                                      <w:snapToGrid w:val="0"/>
                                      <w:spacing w:before="93" w:line="600" w:lineRule="exact"/>
                                      <w:ind w:left="638" w:leftChars="304" w:firstLine="28" w:firstLineChars="9"/>
                                      <w:rPr>
                                        <w:bCs/>
                                        <w:color w:val="000000"/>
                                        <w:sz w:val="32"/>
                                        <w:szCs w:val="32"/>
                                      </w:rPr>
                                    </w:pPr>
                                    <w:r>
                                      <w:rPr>
                                        <w:rFonts w:hint="eastAsia"/>
                                        <w:bCs/>
                                        <w:color w:val="000000"/>
                                        <w:sz w:val="32"/>
                                        <w:szCs w:val="32"/>
                                      </w:rPr>
                                      <w:t>（十八）承办县政府和县政府领导交办的其他事项。（二）二、2019年重点工作完成情况。</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2019年我办围绕全县中心工作，不断拓宽思路，创新机制，强化措施，切实履行职责全面完成了年度工作任务。坚持立足全局，协调工作成效明显；坚持精益求精，辅政能力明显提升；坚持依法行政，政务环境持续优化；坚持厉行节约，努力降低行政成本；坚持改革创新，着力提高财政绩效。全面完成2019年各项工作，取得了实效。</w:t>
                                    </w:r>
                                  </w:p>
                                  <w:p>
                                    <w:pPr>
                                      <w:widowControl/>
                                      <w:spacing w:line="480" w:lineRule="atLeast"/>
                                      <w:ind w:firstLine="6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三、收支预算情况说明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按照综合预算的原则，政府办所有收入和支出均纳入部门预算管理。收入包括：一般公共预算拨款收入、上年结转；支出包括：一般公共服务支出、教育支出、社会保障和就业支出、医疗卫生与计划生育支出、住房保障支出。政府办2019年收支总预算1022.79万元,比2017年收支预算总数增加312.87万元，　主要是因为项目预算以往年度是作为保留预算，未下以文件达到部门预算。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（一）收入预算情况。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政府办2019年收入预算1022.79万元，一般公共预算拨款收入1022.79万元，占100%。</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（二）支出预算情况。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政府办2019年支出预算1022.79万元，其中：基本支出701.39万元，占68.58%；项目支出321.4万元，占31.42%。</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四、财政拨款收支预算情况说明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政府办2019年财政拨款收支总预算1022.79万元,比2018年财政拨款收支总预算增加312.87万元，主要是因为项目预算以往年度是作为保留预算，未下以文件达到部门预算。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收入包括：本年一般公共预算拨款收入1022.79万元。一般公共服务支出790.12万元、国防教育支出7万元、教育支出1万元、社会保障和就业支出118.02万元、医疗卫生与计划生育支出40.3万元、住房保障支出66.35万元。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五、一般公共预算当年拨款情况说明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（一）一般公共预算当年拨款规模变化情况。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政府办2019年一般公共预算当年拨款1022.79万元，比2018年财政拨款收支总预算增加312.87万元，主要是因为项目预算以往年度是作为保留预算，未下以文件达到部门预算。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xml:space="preserve">   </w:t>
                                    </w:r>
                                    <w:r>
                                      <w:rPr>
                                        <w:rFonts w:hint="eastAsia" w:ascii="楷体_GB2312" w:hAnsi="宋体" w:eastAsia="楷体_GB2312" w:cs="宋体"/>
                                        <w:b/>
                                        <w:bCs/>
                                        <w:color w:val="333333"/>
                                        <w:kern w:val="0"/>
                                        <w:sz w:val="28"/>
                                      </w:rPr>
                                      <w:t>（二）一般公共预算当年拨款结构情况。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一般公共服务支出790.12元，占77.25%；国防教育支出7万元，占0.69%、教育支出1万元，占0.09%；社会保障和就业支出118.02万元，占11.54%；医疗卫生与计划生育支出40.3万元，占3.94%；住房保障支出66.35万元，占6.49%。</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（三）一般公共预算当年拨款具体使用情况。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rPr>
                                      <w:t>1.一般公共服务（类）财政事务（款）行政运行（项）</w:t>
                                    </w:r>
                                    <w:r>
                                      <w:rPr>
                                        <w:rFonts w:hint="eastAsia" w:ascii="仿宋_GB2312" w:hAnsi="宋体" w:eastAsia="仿宋_GB2312" w:cs="宋体"/>
                                        <w:color w:val="333333"/>
                                        <w:kern w:val="0"/>
                                        <w:sz w:val="28"/>
                                        <w:szCs w:val="28"/>
                                      </w:rPr>
                                      <w:t>2019年预算数为790.12万元，主要用于：机关及参公管理事业单位正常运转的基本支出，包括基本工资、津贴补贴等人员经费以及办公费、印刷费、水电费等日常公用经费。</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rPr>
                                      <w:t>2.一般公共服务（类）国防支出（款）人民防空（项）</w:t>
                                    </w:r>
                                    <w:r>
                                      <w:rPr>
                                        <w:rFonts w:hint="eastAsia" w:ascii="仿宋_GB2312" w:hAnsi="宋体" w:eastAsia="仿宋_GB2312" w:cs="宋体"/>
                                        <w:color w:val="333333"/>
                                        <w:kern w:val="0"/>
                                        <w:sz w:val="28"/>
                                        <w:szCs w:val="28"/>
                                      </w:rPr>
                                      <w:t>2019年预算数为7万元，主要用于：人防宣传等日常工作经费。</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rPr>
                                      <w:t>3.教育（类）进修及培训（款）培训支出（项）</w:t>
                                    </w:r>
                                    <w:r>
                                      <w:rPr>
                                        <w:rFonts w:hint="eastAsia" w:ascii="仿宋_GB2312" w:hAnsi="宋体" w:eastAsia="仿宋_GB2312" w:cs="宋体"/>
                                        <w:color w:val="333333"/>
                                        <w:kern w:val="0"/>
                                        <w:sz w:val="28"/>
                                        <w:szCs w:val="28"/>
                                      </w:rPr>
                                      <w:t>2019年预算数为1万元，主要用于：在职人员参加外部培训等经费支出。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xml:space="preserve">    </w:t>
                                    </w:r>
                                    <w:r>
                                      <w:rPr>
                                        <w:rFonts w:hint="eastAsia" w:ascii="仿宋_GB2312" w:hAnsi="宋体" w:eastAsia="仿宋_GB2312" w:cs="宋体"/>
                                        <w:b/>
                                        <w:bCs/>
                                        <w:color w:val="333333"/>
                                        <w:kern w:val="0"/>
                                        <w:sz w:val="28"/>
                                      </w:rPr>
                                      <w:t>4.社会保障和就业（类）行政事业单位离退休（款）机关事业单位基本养老保险缴费支出（项）</w:t>
                                    </w:r>
                                    <w:r>
                                      <w:rPr>
                                        <w:rFonts w:hint="eastAsia" w:ascii="仿宋_GB2312" w:hAnsi="宋体" w:eastAsia="仿宋_GB2312" w:cs="宋体"/>
                                        <w:color w:val="333333"/>
                                        <w:kern w:val="0"/>
                                        <w:sz w:val="28"/>
                                        <w:szCs w:val="28"/>
                                      </w:rPr>
                                      <w:t>2019年预算数为84.3万元，主要用于：实施养老保险制度后，部门按规定由单位缴纳的基本养老保险费支出。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rPr>
                                      <w:t>5.社会保障和就业（类）行政事业单位离退休（款）机关事业单位职业年金缴费支出（项）</w:t>
                                    </w:r>
                                    <w:r>
                                      <w:rPr>
                                        <w:rFonts w:hint="eastAsia" w:ascii="仿宋_GB2312" w:hAnsi="宋体" w:eastAsia="仿宋_GB2312" w:cs="宋体"/>
                                        <w:color w:val="333333"/>
                                        <w:kern w:val="0"/>
                                        <w:sz w:val="28"/>
                                        <w:szCs w:val="28"/>
                                      </w:rPr>
                                      <w:t>2019年预算数为33.72万元，主要用于：实施养老保险制度后，部门按规定由单位缴纳的职业年金支出。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6</w:t>
                                    </w:r>
                                    <w:r>
                                      <w:rPr>
                                        <w:rFonts w:hint="eastAsia" w:ascii="仿宋_GB2312" w:hAnsi="宋体" w:eastAsia="仿宋_GB2312" w:cs="宋体"/>
                                        <w:b/>
                                        <w:bCs/>
                                        <w:color w:val="333333"/>
                                        <w:kern w:val="0"/>
                                        <w:sz w:val="28"/>
                                      </w:rPr>
                                      <w:t>.医疗卫生与计划生育（类）行政事业单位医疗（款）行政单位医疗（项）</w:t>
                                    </w:r>
                                    <w:r>
                                      <w:rPr>
                                        <w:rFonts w:hint="eastAsia" w:ascii="仿宋_GB2312" w:hAnsi="宋体" w:eastAsia="仿宋_GB2312" w:cs="宋体"/>
                                        <w:color w:val="333333"/>
                                        <w:kern w:val="0"/>
                                        <w:sz w:val="28"/>
                                        <w:szCs w:val="28"/>
                                      </w:rPr>
                                      <w:t>2019年预算数为29.73元，主要用于：厅机关及参公管理事业单位基本医疗保险缴费支出。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rPr>
                                      <w:t>7.医疗卫生与计划生育（类）行政事业单位医疗（款）公务员医疗补助（项）</w:t>
                                    </w:r>
                                    <w:r>
                                      <w:rPr>
                                        <w:rFonts w:hint="eastAsia" w:ascii="仿宋_GB2312" w:hAnsi="宋体" w:eastAsia="仿宋_GB2312" w:cs="宋体"/>
                                        <w:color w:val="333333"/>
                                        <w:kern w:val="0"/>
                                        <w:sz w:val="28"/>
                                        <w:szCs w:val="28"/>
                                      </w:rPr>
                                      <w:t>2019年预算数为10.57万元，主要用于：厅机关及参公管理事业单位集中缴纳公务员医疗补助支出。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8</w:t>
                                    </w:r>
                                    <w:r>
                                      <w:rPr>
                                        <w:rFonts w:hint="eastAsia" w:ascii="仿宋_GB2312" w:hAnsi="宋体" w:eastAsia="仿宋_GB2312" w:cs="宋体"/>
                                        <w:b/>
                                        <w:bCs/>
                                        <w:color w:val="333333"/>
                                        <w:kern w:val="0"/>
                                        <w:sz w:val="28"/>
                                      </w:rPr>
                                      <w:t>.住房保障（类）住房改革支出（款）住房公积金（项）</w:t>
                                    </w:r>
                                    <w:r>
                                      <w:rPr>
                                        <w:rFonts w:hint="eastAsia" w:ascii="仿宋_GB2312" w:hAnsi="宋体" w:eastAsia="仿宋_GB2312" w:cs="宋体"/>
                                        <w:color w:val="333333"/>
                                        <w:kern w:val="0"/>
                                        <w:sz w:val="28"/>
                                        <w:szCs w:val="28"/>
                                      </w:rPr>
                                      <w:t>2019年预算数为66.35万元，主要用于：部门按人力资源和社会保障部、财政部规定的基本工资和津贴补贴以及规定比例为职工缴纳的住房公积金支出。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六、一般公共预算基本支出情况说明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政府办2019年一般公共预算基本支出1022.79万元，其中：</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人员经费660.07万元，主要包括：基本工资、津贴补贴、奖金、社会保险缴费等支出。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公用经费362.72万元，主要包括：办公费、水费、电费、邮电费、印刷费、差旅费、维修（护）费、劳务费等支出。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七、“三公”经费财政拨款预算安排情况说明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政府办2019年“三公”经费财政拨款预算数188.8万元，其中：因公出国（境）经费0万元，公务接待费0.8万元，公务用车购置及运行维护费188万元。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（一）因公出国（境）经费与2018年预算无变化。</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根据省外侨办批准的2019年因公临时出国（境）安排，拟安排出国（境）0人。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（二）公务接待费较2018年预算持平。</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2019年公务接待费计划用于执行公务、考察调研、检查指导等公务活动开支的交通费、住宿费、用餐费等。</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（三）公务用车购置及运行维护费与2018年预算持平。</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单位现有公务用车15辆，其中：轿车2辆、越野车12辆、小型客车1辆。</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2019年未安排公务用车购置费。</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2019年安排公务用车运行维护费188万元，用于15辆公务用车燃油、过路（桥）、维修、保险等方面支出，主要保障县级领导工作调研，开会，脱贫攻坚、农林水、安全生产等全县工作开展。</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　八、政府性基金预算支出情况说明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政府办2019年没有使用政府性基金预算拨款安排的支出。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九、国有资本经营预算支出情况说明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政府办2019年没有使用国有资本经营预算拨款安排的支出。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十、其他重要事项的情况说明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（一）机关运行经费。</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2019年，金川县人民政府办公室、人防办、应急办、信息办、驻蓉办行政、参公管理事业、事业单位的机关运行经费财政拨款预算为362.72万元。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（二）政府采购情况。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2019年，政府办未安排政府采购预算。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（三）国有资产占有使用情况。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截至2018年底，政府办所属各预算单位共有车辆15辆，其中，省部级领导干部用车0辆、定向保障用车15辆、执法执勤用车0辆。单位价值200万元以上大型设备0台（套）。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2019年部门预算未安排购置车辆及单位价值200万元以上大型设备。</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（四）绩效目标设置情况。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绩效目标是预算编制的前提和基础，按照“费随事定”的原则，2019年</w:t>
                                    </w:r>
                                    <w:r>
                                      <w:rPr>
                                        <w:rFonts w:hint="eastAsia" w:ascii="仿宋_GB2312" w:hAnsi="宋体" w:eastAsia="仿宋_GB2312" w:cs="宋体"/>
                                        <w:color w:val="333333"/>
                                        <w:kern w:val="0"/>
                                        <w:sz w:val="28"/>
                                        <w:szCs w:val="28"/>
                                        <w:lang w:eastAsia="zh-CN"/>
                                      </w:rPr>
                                      <w:t>我办共预算</w:t>
                                    </w:r>
                                    <w:r>
                                      <w:rPr>
                                        <w:rFonts w:hint="eastAsia" w:ascii="仿宋_GB2312" w:hAnsi="宋体" w:eastAsia="仿宋_GB2312" w:cs="宋体"/>
                                        <w:color w:val="333333"/>
                                        <w:kern w:val="0"/>
                                        <w:sz w:val="28"/>
                                        <w:szCs w:val="28"/>
                                        <w:lang w:val="en-US" w:eastAsia="zh-CN"/>
                                      </w:rPr>
                                      <w:t>1022.79万元（其中一般公共预算701.39万元，运转类项目321.4万元），基本和</w:t>
                                    </w:r>
                                    <w:r>
                                      <w:rPr>
                                        <w:rFonts w:hint="eastAsia" w:ascii="仿宋_GB2312" w:hAnsi="宋体" w:eastAsia="仿宋_GB2312" w:cs="宋体"/>
                                        <w:color w:val="333333"/>
                                        <w:kern w:val="0"/>
                                        <w:sz w:val="28"/>
                                        <w:szCs w:val="28"/>
                                      </w:rPr>
                                      <w:t>项目</w:t>
                                    </w:r>
                                    <w:r>
                                      <w:rPr>
                                        <w:rFonts w:hint="eastAsia" w:ascii="仿宋_GB2312" w:hAnsi="宋体" w:eastAsia="仿宋_GB2312" w:cs="宋体"/>
                                        <w:color w:val="333333"/>
                                        <w:kern w:val="0"/>
                                        <w:sz w:val="28"/>
                                        <w:szCs w:val="28"/>
                                        <w:lang w:eastAsia="zh-CN"/>
                                      </w:rPr>
                                      <w:t>均</w:t>
                                    </w:r>
                                    <w:r>
                                      <w:rPr>
                                        <w:rFonts w:hint="eastAsia" w:ascii="仿宋_GB2312" w:hAnsi="宋体" w:eastAsia="仿宋_GB2312" w:cs="宋体"/>
                                        <w:color w:val="333333"/>
                                        <w:kern w:val="0"/>
                                        <w:sz w:val="28"/>
                                        <w:szCs w:val="28"/>
                                      </w:rPr>
                                      <w:t>按要求编制了绩效目标,从</w:t>
                                    </w:r>
                                    <w:r>
                                      <w:rPr>
                                        <w:rFonts w:hint="eastAsia" w:ascii="仿宋_GB2312" w:hAnsi="宋体" w:eastAsia="仿宋_GB2312" w:cs="宋体"/>
                                        <w:color w:val="333333"/>
                                        <w:kern w:val="0"/>
                                        <w:sz w:val="28"/>
                                        <w:szCs w:val="28"/>
                                        <w:lang w:eastAsia="zh-CN"/>
                                      </w:rPr>
                                      <w:t>基本和</w:t>
                                    </w:r>
                                    <w:r>
                                      <w:rPr>
                                        <w:rFonts w:hint="eastAsia" w:ascii="仿宋_GB2312" w:hAnsi="宋体" w:eastAsia="仿宋_GB2312" w:cs="宋体"/>
                                        <w:color w:val="333333"/>
                                        <w:kern w:val="0"/>
                                        <w:sz w:val="28"/>
                                        <w:szCs w:val="28"/>
                                      </w:rPr>
                                      <w:t>项目完成、效益、满意度等方面设置了绩效指标，综合反映项目预期完成的数量、成本、时效、质量，预期达到的社会效益、经济效益、生态效益、可持续影响以及服务对象满意度等情况。</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十一、名词解释</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1.一般公共预算拨款收入：指省级财政当年拨付的资金。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2.上年结转：指以前年度尚未完成，结转到本年仍按原规定用途继续使用的资金。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3.一般公共服务（类）</w:t>
                                    </w:r>
                                    <w:r>
                                      <w:rPr>
                                        <w:rFonts w:hint="eastAsia" w:ascii="仿宋_GB2312" w:hAnsi="宋体" w:eastAsia="仿宋_GB2312" w:cs="宋体"/>
                                        <w:color w:val="333333"/>
                                        <w:kern w:val="0"/>
                                        <w:sz w:val="28"/>
                                        <w:szCs w:val="28"/>
                                        <w:lang w:eastAsia="zh-CN"/>
                                      </w:rPr>
                                      <w:t>政府办公厅（室）及相关机构</w:t>
                                    </w:r>
                                    <w:r>
                                      <w:rPr>
                                        <w:rFonts w:hint="eastAsia" w:ascii="仿宋_GB2312" w:hAnsi="宋体" w:eastAsia="仿宋_GB2312" w:cs="宋体"/>
                                        <w:color w:val="333333"/>
                                        <w:kern w:val="0"/>
                                        <w:sz w:val="28"/>
                                        <w:szCs w:val="28"/>
                                      </w:rPr>
                                      <w:t>事务（款）行政运行（项）：</w:t>
                                    </w:r>
                                    <w:r>
                                      <w:rPr>
                                        <w:rFonts w:hint="eastAsia" w:ascii="仿宋_GB2312" w:hAnsi="宋体" w:eastAsia="仿宋_GB2312" w:cs="宋体"/>
                                        <w:color w:val="333333"/>
                                        <w:kern w:val="0"/>
                                        <w:sz w:val="28"/>
                                        <w:szCs w:val="28"/>
                                        <w:lang w:eastAsia="zh-CN"/>
                                      </w:rPr>
                                      <w:t>反映行政单位（包括实行公务员管理的事业单位）的基本支出</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4.一般公共服务（类）</w:t>
                                    </w:r>
                                    <w:r>
                                      <w:rPr>
                                        <w:rFonts w:hint="eastAsia" w:ascii="仿宋_GB2312" w:hAnsi="宋体" w:eastAsia="仿宋_GB2312" w:cs="宋体"/>
                                        <w:color w:val="333333"/>
                                        <w:kern w:val="0"/>
                                        <w:sz w:val="28"/>
                                        <w:szCs w:val="28"/>
                                        <w:lang w:eastAsia="zh-CN"/>
                                      </w:rPr>
                                      <w:t>政府办公厅（室）及相关机构</w:t>
                                    </w:r>
                                    <w:r>
                                      <w:rPr>
                                        <w:rFonts w:hint="eastAsia" w:ascii="仿宋_GB2312" w:hAnsi="宋体" w:eastAsia="仿宋_GB2312" w:cs="宋体"/>
                                        <w:color w:val="333333"/>
                                        <w:kern w:val="0"/>
                                        <w:sz w:val="28"/>
                                        <w:szCs w:val="28"/>
                                      </w:rPr>
                                      <w:t>事务一般行政管理事务（项）：</w:t>
                                    </w:r>
                                    <w:r>
                                      <w:rPr>
                                        <w:rFonts w:hint="eastAsia" w:ascii="仿宋_GB2312" w:hAnsi="宋体" w:eastAsia="仿宋_GB2312" w:cs="宋体"/>
                                        <w:color w:val="333333"/>
                                        <w:kern w:val="0"/>
                                        <w:sz w:val="28"/>
                                        <w:szCs w:val="28"/>
                                        <w:lang w:eastAsia="zh-CN"/>
                                      </w:rPr>
                                      <w:t>反映行政单位（包括实行公务员管理的事业单位）</w:t>
                                    </w:r>
                                    <w:r>
                                      <w:rPr>
                                        <w:rFonts w:hint="eastAsia" w:ascii="仿宋_GB2312" w:hAnsi="宋体" w:eastAsia="仿宋_GB2312" w:cs="宋体"/>
                                        <w:color w:val="333333"/>
                                        <w:kern w:val="0"/>
                                        <w:sz w:val="28"/>
                                        <w:szCs w:val="28"/>
                                      </w:rPr>
                                      <w:t>未单独设置项级科目的</w:t>
                                    </w:r>
                                    <w:r>
                                      <w:rPr>
                                        <w:rFonts w:hint="eastAsia" w:ascii="仿宋_GB2312" w:hAnsi="宋体" w:eastAsia="仿宋_GB2312" w:cs="宋体"/>
                                        <w:color w:val="333333"/>
                                        <w:kern w:val="0"/>
                                        <w:sz w:val="28"/>
                                        <w:szCs w:val="28"/>
                                        <w:lang w:eastAsia="zh-CN"/>
                                      </w:rPr>
                                      <w:t>其他</w:t>
                                    </w:r>
                                    <w:r>
                                      <w:rPr>
                                        <w:rFonts w:hint="eastAsia" w:ascii="仿宋_GB2312" w:hAnsi="宋体" w:eastAsia="仿宋_GB2312" w:cs="宋体"/>
                                        <w:color w:val="333333"/>
                                        <w:kern w:val="0"/>
                                        <w:sz w:val="28"/>
                                        <w:szCs w:val="28"/>
                                      </w:rPr>
                                      <w:t>项目支出。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5.一般公共服务（类）</w:t>
                                    </w:r>
                                    <w:r>
                                      <w:rPr>
                                        <w:rFonts w:hint="eastAsia" w:ascii="仿宋_GB2312" w:hAnsi="宋体" w:eastAsia="仿宋_GB2312" w:cs="宋体"/>
                                        <w:color w:val="333333"/>
                                        <w:kern w:val="0"/>
                                        <w:sz w:val="28"/>
                                        <w:szCs w:val="28"/>
                                        <w:lang w:eastAsia="zh-CN"/>
                                      </w:rPr>
                                      <w:t>国防支出</w:t>
                                    </w:r>
                                    <w:r>
                                      <w:rPr>
                                        <w:rFonts w:hint="eastAsia" w:ascii="仿宋_GB2312" w:hAnsi="宋体" w:eastAsia="仿宋_GB2312" w:cs="宋体"/>
                                        <w:color w:val="333333"/>
                                        <w:kern w:val="0"/>
                                        <w:sz w:val="28"/>
                                        <w:szCs w:val="28"/>
                                      </w:rPr>
                                      <w:t>（款）</w:t>
                                    </w:r>
                                    <w:r>
                                      <w:rPr>
                                        <w:rFonts w:hint="eastAsia" w:ascii="仿宋_GB2312" w:hAnsi="宋体" w:eastAsia="仿宋_GB2312" w:cs="宋体"/>
                                        <w:color w:val="333333"/>
                                        <w:kern w:val="0"/>
                                        <w:sz w:val="28"/>
                                        <w:szCs w:val="28"/>
                                        <w:lang w:eastAsia="zh-CN"/>
                                      </w:rPr>
                                      <w:t>人民防空</w:t>
                                    </w:r>
                                    <w:r>
                                      <w:rPr>
                                        <w:rFonts w:hint="eastAsia" w:ascii="仿宋_GB2312" w:hAnsi="宋体" w:eastAsia="仿宋_GB2312" w:cs="宋体"/>
                                        <w:color w:val="333333"/>
                                        <w:kern w:val="0"/>
                                        <w:sz w:val="28"/>
                                        <w:szCs w:val="28"/>
                                      </w:rPr>
                                      <w:t>（项）：</w:t>
                                    </w:r>
                                    <w:r>
                                      <w:rPr>
                                        <w:rFonts w:hint="eastAsia" w:ascii="仿宋_GB2312" w:hAnsi="宋体" w:eastAsia="仿宋_GB2312" w:cs="宋体"/>
                                        <w:color w:val="333333"/>
                                        <w:kern w:val="0"/>
                                        <w:sz w:val="28"/>
                                        <w:szCs w:val="28"/>
                                        <w:lang w:eastAsia="zh-CN"/>
                                      </w:rPr>
                                      <w:t>反映用于人民防空工程建设、宣传等方面</w:t>
                                    </w:r>
                                    <w:r>
                                      <w:rPr>
                                        <w:rFonts w:hint="eastAsia" w:ascii="仿宋_GB2312" w:hAnsi="宋体" w:eastAsia="仿宋_GB2312" w:cs="宋体"/>
                                        <w:color w:val="333333"/>
                                        <w:kern w:val="0"/>
                                        <w:sz w:val="28"/>
                                        <w:szCs w:val="28"/>
                                      </w:rPr>
                                      <w:t>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6</w:t>
                                    </w:r>
                                    <w:r>
                                      <w:rPr>
                                        <w:rFonts w:hint="eastAsia" w:ascii="仿宋_GB2312" w:hAnsi="宋体" w:eastAsia="仿宋_GB2312" w:cs="宋体"/>
                                        <w:color w:val="333333"/>
                                        <w:kern w:val="0"/>
                                        <w:sz w:val="28"/>
                                        <w:szCs w:val="28"/>
                                      </w:rPr>
                                      <w:t>.教育（类）进修及培训（款）培训支出（项）：指为配合财政业务开展，用于部门内部在职人员参加相关财政财务工作外部培训的经费支出。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7</w:t>
                                    </w:r>
                                    <w:r>
                                      <w:rPr>
                                        <w:rFonts w:hint="eastAsia" w:ascii="仿宋_GB2312" w:hAnsi="宋体" w:eastAsia="仿宋_GB2312" w:cs="宋体"/>
                                        <w:color w:val="333333"/>
                                        <w:kern w:val="0"/>
                                        <w:sz w:val="28"/>
                                        <w:szCs w:val="28"/>
                                      </w:rPr>
                                      <w:t>.社会保障和就业（类）行政事业单位离退休（款）事业单位离退休（项）：指财政科学研究所的离退休人员的支出。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8</w:t>
                                    </w:r>
                                    <w:r>
                                      <w:rPr>
                                        <w:rFonts w:hint="eastAsia" w:ascii="仿宋_GB2312" w:hAnsi="宋体" w:eastAsia="仿宋_GB2312" w:cs="宋体"/>
                                        <w:color w:val="333333"/>
                                        <w:kern w:val="0"/>
                                        <w:sz w:val="28"/>
                                        <w:szCs w:val="28"/>
                                      </w:rPr>
                                      <w:t>.社会保障和就业（类）行政事业单位离退休（款）未归口管理的行政单位离退休（项）：指厅机关离退休人员的支出。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lang w:val="en-US" w:eastAsia="zh-CN"/>
                                      </w:rPr>
                                      <w:t xml:space="preserve">  </w:t>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9</w:t>
                                    </w:r>
                                    <w:r>
                                      <w:rPr>
                                        <w:rFonts w:hint="eastAsia" w:ascii="仿宋_GB2312" w:hAnsi="宋体" w:eastAsia="仿宋_GB2312" w:cs="宋体"/>
                                        <w:color w:val="333333"/>
                                        <w:kern w:val="0"/>
                                        <w:sz w:val="28"/>
                                        <w:szCs w:val="28"/>
                                      </w:rPr>
                                      <w:t>.社会保障和就业（类）行政事业单位离退休（款）机关事业单位基本养老保险缴费支出（项）：指部门实施养老保险制度由单位缴纳的养老保险费的支出。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10</w:t>
                                    </w:r>
                                    <w:r>
                                      <w:rPr>
                                        <w:rFonts w:hint="eastAsia" w:ascii="仿宋_GB2312" w:hAnsi="宋体" w:eastAsia="仿宋_GB2312" w:cs="宋体"/>
                                        <w:color w:val="333333"/>
                                        <w:kern w:val="0"/>
                                        <w:sz w:val="28"/>
                                        <w:szCs w:val="28"/>
                                      </w:rPr>
                                      <w:t>.社会保障和就业（类）行政事业单位离退休（款）机关事业单位职业年金缴费支出（项）：指部门实施养老保险制度由单位缴纳的职业年金的支出。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11</w:t>
                                    </w:r>
                                    <w:r>
                                      <w:rPr>
                                        <w:rFonts w:hint="eastAsia" w:ascii="仿宋_GB2312" w:hAnsi="宋体" w:eastAsia="仿宋_GB2312" w:cs="宋体"/>
                                        <w:color w:val="333333"/>
                                        <w:kern w:val="0"/>
                                        <w:sz w:val="28"/>
                                        <w:szCs w:val="28"/>
                                      </w:rPr>
                                      <w:t>.社会保障和就业（类）其他社会保障和就业（款）其他社会保障和就业支出（项）：指除上述项目外，其他用于行政事业单位离退休方面的支出。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12</w:t>
                                    </w:r>
                                    <w:r>
                                      <w:rPr>
                                        <w:rFonts w:hint="eastAsia" w:ascii="仿宋_GB2312" w:hAnsi="宋体" w:eastAsia="仿宋_GB2312" w:cs="宋体"/>
                                        <w:color w:val="333333"/>
                                        <w:kern w:val="0"/>
                                        <w:sz w:val="28"/>
                                        <w:szCs w:val="28"/>
                                      </w:rPr>
                                      <w:t>.医疗卫生与计划生育（类）行政事业单位医疗（款）行政单位医疗（项）：指厅机关及参公管理事业单位用于缴纳单位基本医疗保险支出。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w:t>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13</w:t>
                                    </w:r>
                                    <w:r>
                                      <w:rPr>
                                        <w:rFonts w:hint="eastAsia" w:ascii="仿宋_GB2312" w:hAnsi="宋体" w:eastAsia="仿宋_GB2312" w:cs="宋体"/>
                                        <w:color w:val="333333"/>
                                        <w:kern w:val="0"/>
                                        <w:sz w:val="28"/>
                                        <w:szCs w:val="28"/>
                                      </w:rPr>
                                      <w:t>.医疗卫生与计划生育（类）行政事业单位医疗（款）事业单位医疗（项）：指事业单位用于缴纳单位基本医疗保险支出。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14</w:t>
                                    </w:r>
                                    <w:r>
                                      <w:rPr>
                                        <w:rFonts w:hint="eastAsia" w:ascii="仿宋_GB2312" w:hAnsi="宋体" w:eastAsia="仿宋_GB2312" w:cs="宋体"/>
                                        <w:color w:val="333333"/>
                                        <w:kern w:val="0"/>
                                        <w:sz w:val="28"/>
                                        <w:szCs w:val="28"/>
                                      </w:rPr>
                                      <w:t>.医疗卫生与计划生育（类）行政事业单位医疗（款）公务员医疗补助（项）：指厅机关及参公管理事业单位用于集中缴纳公务员医疗补助支出。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15</w:t>
                                    </w:r>
                                    <w:r>
                                      <w:rPr>
                                        <w:rFonts w:hint="eastAsia" w:ascii="仿宋_GB2312" w:hAnsi="宋体" w:eastAsia="仿宋_GB2312" w:cs="宋体"/>
                                        <w:color w:val="333333"/>
                                        <w:kern w:val="0"/>
                                        <w:sz w:val="28"/>
                                        <w:szCs w:val="28"/>
                                      </w:rPr>
                                      <w:t>.住房保障（类）住房改革支出（款）住房公积金（项）：指按照《住房公积金管理条例》的规定，由单位及其在职职工缴存的长期住房储金。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16</w:t>
                                    </w:r>
                                    <w:r>
                                      <w:rPr>
                                        <w:rFonts w:hint="eastAsia" w:ascii="仿宋_GB2312" w:hAnsi="宋体" w:eastAsia="仿宋_GB2312" w:cs="宋体"/>
                                        <w:color w:val="333333"/>
                                        <w:kern w:val="0"/>
                                        <w:sz w:val="28"/>
                                        <w:szCs w:val="28"/>
                                      </w:rPr>
                                      <w:t>.住房保障（类）住房改革支出（款）购房补贴（项）：指按房改政策规定的标准，向符合条件职工发放的用于购买住房的补贴。</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17</w:t>
                                    </w:r>
                                    <w:r>
                                      <w:rPr>
                                        <w:rFonts w:hint="eastAsia" w:ascii="仿宋_GB2312" w:hAnsi="宋体" w:eastAsia="仿宋_GB2312" w:cs="宋体"/>
                                        <w:color w:val="333333"/>
                                        <w:kern w:val="0"/>
                                        <w:sz w:val="28"/>
                                        <w:szCs w:val="28"/>
                                      </w:rPr>
                                      <w:t>.基本支出：指为保证机构正常运转，完成日常工作任务而发生的人员支出和公用支出。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18</w:t>
                                    </w:r>
                                    <w:r>
                                      <w:rPr>
                                        <w:rFonts w:hint="eastAsia" w:ascii="仿宋_GB2312" w:hAnsi="宋体" w:eastAsia="仿宋_GB2312" w:cs="宋体"/>
                                        <w:color w:val="333333"/>
                                        <w:kern w:val="0"/>
                                        <w:sz w:val="28"/>
                                        <w:szCs w:val="28"/>
                                      </w:rPr>
                                      <w:t>.项目支出：指在基本支出之外为完成特定行政任务和事业发展目标所发生的支出。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19</w:t>
                                    </w:r>
                                    <w:r>
                                      <w:rPr>
                                        <w:rFonts w:hint="eastAsia" w:ascii="仿宋_GB2312" w:hAnsi="宋体" w:eastAsia="仿宋_GB2312" w:cs="宋体"/>
                                        <w:color w:val="333333"/>
                                        <w:kern w:val="0"/>
                                        <w:sz w:val="28"/>
                                        <w:szCs w:val="28"/>
                                      </w:rPr>
                                      <w:t>.“三公”经费：纳入政府办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20</w:t>
                                    </w:r>
                                    <w:r>
                                      <w:rPr>
                                        <w:rFonts w:hint="eastAsia" w:ascii="仿宋_GB2312" w:hAnsi="宋体" w:eastAsia="仿宋_GB2312" w:cs="宋体"/>
                                        <w:color w:val="333333"/>
                                        <w:kern w:val="0"/>
                                        <w:sz w:val="28"/>
                                        <w:szCs w:val="28"/>
                                      </w:rPr>
                                      <w:t>.机关运行经费：为保障行政单位（包含参照公务员法管理的事业单位）运行用于购买货物和服务的各项资金。包括办公及办公费、水费、电费、印刷费、邮电费、差旅费、会议费等费用开支。</w:t>
                                    </w:r>
                                    <w:r>
                                      <w:rPr>
                                        <w:rFonts w:hint="eastAsia" w:ascii="仿宋_GB2312" w:hAnsi="宋体" w:eastAsia="仿宋_GB2312" w:cs="宋体"/>
                                        <w:color w:val="333333"/>
                                        <w:kern w:val="0"/>
                                        <w:sz w:val="28"/>
                                        <w:szCs w:val="28"/>
                                      </w:rPr>
                                      <w:br w:type="textWrapping"/>
                                    </w:r>
                                    <w:bookmarkStart w:id="0" w:name="_GoBack"/>
                                    <w:bookmarkEnd w:id="0"/>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p>
                                </w:tc>
                              </w:tr>
                            </w:tbl>
                            <w:p>
                              <w:pPr>
                                <w:widowControl/>
                                <w:spacing w:after="240"/>
                                <w:jc w:val="center"/>
                                <w:rPr>
                                  <w:rFonts w:ascii="宋体" w:hAnsi="宋体" w:eastAsia="宋体" w:cs="宋体"/>
                                  <w:kern w:val="0"/>
                                  <w:szCs w:val="21"/>
                                </w:rPr>
                              </w:pPr>
                            </w:p>
                          </w:tc>
                        </w:tr>
                        <w:tr>
                          <w:tblPrEx>
                            <w:tblLayout w:type="fixed"/>
                            <w:tblCellMar>
                              <w:top w:w="0" w:type="dxa"/>
                              <w:left w:w="0" w:type="dxa"/>
                              <w:bottom w:w="0" w:type="dxa"/>
                              <w:right w:w="0" w:type="dxa"/>
                            </w:tblCellMar>
                          </w:tblPrEx>
                          <w:trPr>
                            <w:tblCellSpacing w:w="0" w:type="dxa"/>
                          </w:trPr>
                          <w:tc>
                            <w:tcPr>
                              <w:tcW w:w="10590" w:type="dxa"/>
                              <w:shd w:val="clear" w:color="auto" w:fill="FFFFFF"/>
                            </w:tcPr>
                            <w:p>
                              <w:pPr>
                                <w:widowControl/>
                                <w:spacing w:after="240"/>
                                <w:jc w:val="center"/>
                                <w:rPr>
                                  <w:rFonts w:ascii="宋体" w:hAnsi="宋体" w:eastAsia="宋体" w:cs="宋体"/>
                                  <w:kern w:val="0"/>
                                  <w:szCs w:val="21"/>
                                </w:rPr>
                              </w:pPr>
                            </w:p>
                          </w:tc>
                        </w:tr>
                      </w:tbl>
                      <w:p>
                        <w:pPr>
                          <w:widowControl/>
                          <w:jc w:val="left"/>
                          <w:rPr>
                            <w:rFonts w:ascii="宋体" w:hAnsi="宋体" w:eastAsia="宋体" w:cs="宋体"/>
                            <w:kern w:val="0"/>
                            <w:szCs w:val="21"/>
                          </w:rPr>
                        </w:pPr>
                      </w:p>
                    </w:tc>
                    <w:tc>
                      <w:tcPr>
                        <w:tcW w:w="1350" w:type="dxa"/>
                        <w:vAlign w:val="center"/>
                      </w:tcPr>
                      <w:p>
                        <w:pPr>
                          <w:widowControl/>
                          <w:jc w:val="left"/>
                          <w:rPr>
                            <w:rFonts w:ascii="宋体" w:hAnsi="宋体" w:eastAsia="宋体" w:cs="宋体"/>
                            <w:kern w:val="0"/>
                            <w:szCs w:val="21"/>
                          </w:rPr>
                        </w:pPr>
                        <w:r>
                          <w:rPr>
                            <w:rFonts w:ascii="宋体" w:hAnsi="宋体" w:eastAsia="宋体" w:cs="宋体"/>
                            <w:kern w:val="0"/>
                            <w:szCs w:val="21"/>
                          </w:rPr>
                          <w:t> </w:t>
                        </w:r>
                      </w:p>
                    </w:tc>
                  </w:tr>
                  <w:tr>
                    <w:tblPrEx>
                      <w:tblLayout w:type="fixed"/>
                      <w:tblCellMar>
                        <w:top w:w="0" w:type="dxa"/>
                        <w:left w:w="0" w:type="dxa"/>
                        <w:bottom w:w="0" w:type="dxa"/>
                        <w:right w:w="0" w:type="dxa"/>
                      </w:tblCellMar>
                    </w:tblPrEx>
                    <w:trPr>
                      <w:trHeight w:val="450" w:hRule="atLeast"/>
                      <w:tblCellSpacing w:w="0" w:type="dxa"/>
                    </w:trPr>
                    <w:tc>
                      <w:tcPr>
                        <w:tcW w:w="12000" w:type="dxa"/>
                        <w:gridSpan w:val="2"/>
                        <w:tcMar>
                          <w:top w:w="0" w:type="dxa"/>
                          <w:left w:w="0" w:type="dxa"/>
                          <w:bottom w:w="0" w:type="dxa"/>
                          <w:right w:w="1950" w:type="dxa"/>
                        </w:tcMar>
                        <w:vAlign w:val="center"/>
                      </w:tcPr>
                      <w:tbl>
                        <w:tblPr>
                          <w:tblStyle w:val="7"/>
                          <w:tblW w:w="10050" w:type="dxa"/>
                          <w:jc w:val="right"/>
                          <w:tblCellSpacing w:w="0" w:type="dxa"/>
                          <w:tblInd w:w="0" w:type="dxa"/>
                          <w:tblLayout w:type="fixed"/>
                          <w:tblCellMar>
                            <w:top w:w="0" w:type="dxa"/>
                            <w:left w:w="0" w:type="dxa"/>
                            <w:bottom w:w="0" w:type="dxa"/>
                            <w:right w:w="0" w:type="dxa"/>
                          </w:tblCellMar>
                        </w:tblPr>
                        <w:tblGrid>
                          <w:gridCol w:w="10050"/>
                        </w:tblGrid>
                        <w:tr>
                          <w:tblPrEx>
                            <w:tblLayout w:type="fixed"/>
                            <w:tblCellMar>
                              <w:top w:w="0" w:type="dxa"/>
                              <w:left w:w="0" w:type="dxa"/>
                              <w:bottom w:w="0" w:type="dxa"/>
                              <w:right w:w="0" w:type="dxa"/>
                            </w:tblCellMar>
                          </w:tblPrEx>
                          <w:trPr>
                            <w:tblCellSpacing w:w="0" w:type="dxa"/>
                            <w:jc w:val="right"/>
                          </w:trPr>
                          <w:tc>
                            <w:tcPr>
                              <w:tcW w:w="10050" w:type="dxa"/>
                              <w:vAlign w:val="center"/>
                            </w:tcPr>
                            <w:p>
                              <w:pPr>
                                <w:widowControl/>
                                <w:jc w:val="right"/>
                                <w:rPr>
                                  <w:rFonts w:ascii="宋体" w:hAnsi="宋体" w:eastAsia="宋体" w:cs="宋体"/>
                                  <w:kern w:val="0"/>
                                  <w:szCs w:val="21"/>
                                </w:rPr>
                              </w:pPr>
                            </w:p>
                          </w:tc>
                        </w:tr>
                      </w:tbl>
                      <w:p>
                        <w:pPr>
                          <w:widowControl/>
                          <w:jc w:val="right"/>
                          <w:rPr>
                            <w:rFonts w:ascii="宋体" w:hAnsi="宋体" w:eastAsia="宋体" w:cs="宋体"/>
                            <w:kern w:val="0"/>
                            <w:szCs w:val="21"/>
                          </w:rPr>
                        </w:pPr>
                      </w:p>
                    </w:tc>
                  </w:tr>
                </w:tbl>
                <w:p>
                  <w:pPr>
                    <w:widowControl/>
                    <w:jc w:val="left"/>
                    <w:rPr>
                      <w:rFonts w:ascii="宋体" w:hAnsi="宋体" w:eastAsia="宋体" w:cs="宋体"/>
                      <w:kern w:val="0"/>
                      <w:szCs w:val="21"/>
                    </w:rPr>
                  </w:pPr>
                </w:p>
              </w:tc>
            </w:tr>
          </w:tbl>
          <w:p>
            <w:pPr>
              <w:widowControl/>
              <w:jc w:val="left"/>
              <w:rPr>
                <w:rFonts w:ascii="宋体" w:hAnsi="宋体" w:eastAsia="宋体" w:cs="宋体"/>
                <w:kern w:val="0"/>
                <w:szCs w:val="21"/>
              </w:rPr>
            </w:pPr>
          </w:p>
        </w:tc>
      </w:tr>
      <w:tr>
        <w:tblPrEx>
          <w:tblLayout w:type="fixed"/>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rPr>
                <w:rFonts w:ascii="宋体" w:hAnsi="宋体" w:eastAsia="宋体" w:cs="宋体"/>
                <w:kern w:val="0"/>
                <w:sz w:val="8"/>
                <w:szCs w:val="21"/>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B0067"/>
    <w:multiLevelType w:val="singleLevel"/>
    <w:tmpl w:val="FF7B0067"/>
    <w:lvl w:ilvl="0" w:tentative="0">
      <w:start w:val="1"/>
      <w:numFmt w:val="chineseCounting"/>
      <w:suff w:val="nothing"/>
      <w:lvlText w:val="%1、"/>
      <w:lvlJc w:val="left"/>
      <w:pPr>
        <w:ind w:left="2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CC"/>
    <w:rsid w:val="003E3D2B"/>
    <w:rsid w:val="0079144A"/>
    <w:rsid w:val="008F2920"/>
    <w:rsid w:val="00A62A9B"/>
    <w:rsid w:val="00B00427"/>
    <w:rsid w:val="00D04CCC"/>
    <w:rsid w:val="00D079A1"/>
    <w:rsid w:val="00D2422E"/>
    <w:rsid w:val="07EE7CFF"/>
    <w:rsid w:val="09DD4C03"/>
    <w:rsid w:val="1DF72D50"/>
    <w:rsid w:val="29BE31F3"/>
    <w:rsid w:val="3A550DAF"/>
    <w:rsid w:val="43F834C7"/>
    <w:rsid w:val="440C4574"/>
    <w:rsid w:val="48F80021"/>
    <w:rsid w:val="5458483E"/>
    <w:rsid w:val="59D16C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kern w:val="0"/>
      <w:sz w:val="30"/>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8">
    <w:name w:val="pagetext0031"/>
    <w:basedOn w:val="5"/>
    <w:qFormat/>
    <w:uiPriority w:val="0"/>
    <w:rPr>
      <w:rFonts w:hint="eastAsia" w:ascii="宋体" w:hAnsi="宋体" w:eastAsia="宋体"/>
      <w:color w:val="555555"/>
      <w:sz w:val="21"/>
      <w:szCs w:val="21"/>
    </w:rPr>
  </w:style>
  <w:style w:type="character" w:customStyle="1" w:styleId="9">
    <w:name w:val="页眉 Char"/>
    <w:basedOn w:val="5"/>
    <w:link w:val="4"/>
    <w:semiHidden/>
    <w:qFormat/>
    <w:uiPriority w:val="99"/>
    <w:rPr>
      <w:rFonts w:asciiTheme="minorHAnsi" w:hAnsiTheme="minorHAnsi" w:eastAsiaTheme="minorEastAsia" w:cstheme="minorBidi"/>
      <w:kern w:val="2"/>
      <w:sz w:val="18"/>
      <w:szCs w:val="18"/>
    </w:rPr>
  </w:style>
  <w:style w:type="character" w:customStyle="1" w:styleId="10">
    <w:name w:val="页脚 Char"/>
    <w:basedOn w:val="5"/>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11</Pages>
  <Words>835</Words>
  <Characters>4761</Characters>
  <Lines>39</Lines>
  <Paragraphs>11</Paragraphs>
  <TotalTime>19</TotalTime>
  <ScaleCrop>false</ScaleCrop>
  <LinksUpToDate>false</LinksUpToDate>
  <CharactersWithSpaces>5585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2019-01-04T03:39:00Z</dcterms:created>
  <dc:creator>Lenovo User</dc:creator>
  <cp:lastModifiedBy>dell</cp:lastModifiedBy>
  <cp:lastPrinted>2019-01-18T07:29:14Z</cp:lastPrinted>
  <dcterms:modified xsi:type="dcterms:W3CDTF">2019-01-18T07:33:38Z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