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6"/>
        <w:tblW w:w="12000" w:type="dxa"/>
        <w:jc w:val="center"/>
        <w:tblCellSpacing w:w="0" w:type="dxa"/>
        <w:tblInd w:w="0" w:type="dxa"/>
        <w:tblLayout w:type="fixed"/>
        <w:tblCellMar>
          <w:top w:w="0" w:type="dxa"/>
          <w:left w:w="0" w:type="dxa"/>
          <w:bottom w:w="0" w:type="dxa"/>
          <w:right w:w="0" w:type="dxa"/>
        </w:tblCellMar>
      </w:tblPr>
      <w:tblGrid>
        <w:gridCol w:w="12000"/>
      </w:tblGrid>
      <w:tr>
        <w:tblPrEx>
          <w:tblLayout w:type="fixed"/>
          <w:tblCellMar>
            <w:top w:w="0" w:type="dxa"/>
            <w:left w:w="0" w:type="dxa"/>
            <w:bottom w:w="0" w:type="dxa"/>
            <w:right w:w="0" w:type="dxa"/>
          </w:tblCellMar>
        </w:tblPrEx>
        <w:trPr>
          <w:tblCellSpacing w:w="0" w:type="dxa"/>
          <w:jc w:val="center"/>
        </w:trPr>
        <w:tc>
          <w:tcPr>
            <w:tcW w:w="12000" w:type="dxa"/>
            <w:shd w:val="clear" w:color="auto" w:fill="FFFFFF"/>
          </w:tcPr>
          <w:tbl>
            <w:tblPr>
              <w:tblStyle w:val="6"/>
              <w:tblW w:w="12000" w:type="dxa"/>
              <w:tblCellSpacing w:w="0" w:type="dxa"/>
              <w:tblInd w:w="0" w:type="dxa"/>
              <w:tblLayout w:type="fixed"/>
              <w:tblCellMar>
                <w:top w:w="0" w:type="dxa"/>
                <w:left w:w="0" w:type="dxa"/>
                <w:bottom w:w="0" w:type="dxa"/>
                <w:right w:w="0" w:type="dxa"/>
              </w:tblCellMar>
            </w:tblPr>
            <w:tblGrid>
              <w:gridCol w:w="12000"/>
            </w:tblGrid>
            <w:tr>
              <w:tblPrEx>
                <w:tblLayout w:type="fixed"/>
                <w:tblCellMar>
                  <w:top w:w="0" w:type="dxa"/>
                  <w:left w:w="0" w:type="dxa"/>
                  <w:bottom w:w="0" w:type="dxa"/>
                  <w:right w:w="0" w:type="dxa"/>
                </w:tblCellMar>
              </w:tblPrEx>
              <w:trPr>
                <w:tblCellSpacing w:w="0" w:type="dxa"/>
              </w:trPr>
              <w:tc>
                <w:tcPr>
                  <w:tcW w:w="12000" w:type="dxa"/>
                </w:tcPr>
                <w:tbl>
                  <w:tblPr>
                    <w:tblStyle w:val="6"/>
                    <w:tblW w:w="12000" w:type="dxa"/>
                    <w:tblCellSpacing w:w="0" w:type="dxa"/>
                    <w:tblInd w:w="0" w:type="dxa"/>
                    <w:tblLayout w:type="fixed"/>
                    <w:tblCellMar>
                      <w:top w:w="0" w:type="dxa"/>
                      <w:left w:w="0" w:type="dxa"/>
                      <w:bottom w:w="0" w:type="dxa"/>
                      <w:right w:w="0" w:type="dxa"/>
                    </w:tblCellMar>
                  </w:tblPr>
                  <w:tblGrid>
                    <w:gridCol w:w="10650"/>
                    <w:gridCol w:w="1350"/>
                  </w:tblGrid>
                  <w:tr>
                    <w:tblPrEx>
                      <w:tblLayout w:type="fixed"/>
                      <w:tblCellMar>
                        <w:top w:w="0" w:type="dxa"/>
                        <w:left w:w="0" w:type="dxa"/>
                        <w:bottom w:w="0" w:type="dxa"/>
                        <w:right w:w="0" w:type="dxa"/>
                      </w:tblCellMar>
                    </w:tblPrEx>
                    <w:trPr>
                      <w:tblCellSpacing w:w="0" w:type="dxa"/>
                    </w:trPr>
                    <w:tc>
                      <w:tcPr>
                        <w:tcW w:w="10650" w:type="dxa"/>
                        <w:tcMar>
                          <w:top w:w="0" w:type="dxa"/>
                          <w:left w:w="30" w:type="dxa"/>
                          <w:bottom w:w="30" w:type="dxa"/>
                          <w:right w:w="30" w:type="dxa"/>
                        </w:tcMar>
                      </w:tcPr>
                      <w:tbl>
                        <w:tblPr>
                          <w:tblStyle w:val="6"/>
                          <w:tblW w:w="10590" w:type="dxa"/>
                          <w:tblCellSpacing w:w="0" w:type="dxa"/>
                          <w:tblInd w:w="0" w:type="dxa"/>
                          <w:shd w:val="clear" w:color="auto" w:fill="FFFFFF"/>
                          <w:tblLayout w:type="fixed"/>
                          <w:tblCellMar>
                            <w:top w:w="0" w:type="dxa"/>
                            <w:left w:w="0" w:type="dxa"/>
                            <w:bottom w:w="0" w:type="dxa"/>
                            <w:right w:w="0" w:type="dxa"/>
                          </w:tblCellMar>
                        </w:tblPr>
                        <w:tblGrid>
                          <w:gridCol w:w="10590"/>
                        </w:tblGrid>
                        <w:tr>
                          <w:tblPrEx>
                            <w:shd w:val="clear" w:color="auto" w:fill="FFFFFF"/>
                            <w:tblLayout w:type="fixed"/>
                            <w:tblCellMar>
                              <w:top w:w="0" w:type="dxa"/>
                              <w:left w:w="0" w:type="dxa"/>
                              <w:bottom w:w="0" w:type="dxa"/>
                              <w:right w:w="0" w:type="dxa"/>
                            </w:tblCellMar>
                          </w:tblPrEx>
                          <w:trPr>
                            <w:tblCellSpacing w:w="0" w:type="dxa"/>
                          </w:trPr>
                          <w:tc>
                            <w:tcPr>
                              <w:tcW w:w="10590" w:type="dxa"/>
                              <w:shd w:val="clear" w:color="auto" w:fill="FFFFFF"/>
                            </w:tcPr>
                            <w:tbl>
                              <w:tblPr>
                                <w:tblStyle w:val="6"/>
                                <w:tblW w:w="8775" w:type="dxa"/>
                                <w:jc w:val="center"/>
                                <w:tblCellSpacing w:w="0" w:type="dxa"/>
                                <w:tblInd w:w="0" w:type="dxa"/>
                                <w:tblLayout w:type="fixed"/>
                                <w:tblCellMar>
                                  <w:top w:w="0" w:type="dxa"/>
                                  <w:left w:w="0" w:type="dxa"/>
                                  <w:bottom w:w="0" w:type="dxa"/>
                                  <w:right w:w="0" w:type="dxa"/>
                                </w:tblCellMar>
                              </w:tblPr>
                              <w:tblGrid>
                                <w:gridCol w:w="8775"/>
                              </w:tblGrid>
                              <w:tr>
                                <w:tblPrEx>
                                  <w:tblLayout w:type="fixed"/>
                                  <w:tblCellMar>
                                    <w:top w:w="0" w:type="dxa"/>
                                    <w:left w:w="0" w:type="dxa"/>
                                    <w:bottom w:w="0" w:type="dxa"/>
                                    <w:right w:w="0" w:type="dxa"/>
                                  </w:tblCellMar>
                                </w:tblPrEx>
                                <w:trPr>
                                  <w:tblCellSpacing w:w="0" w:type="dxa"/>
                                  <w:jc w:val="center"/>
                                </w:trPr>
                                <w:tc>
                                  <w:tcPr>
                                    <w:tcW w:w="8775" w:type="dxa"/>
                                    <w:tcMar>
                                      <w:top w:w="150" w:type="dxa"/>
                                      <w:left w:w="75" w:type="dxa"/>
                                      <w:bottom w:w="0" w:type="dxa"/>
                                      <w:right w:w="0" w:type="dxa"/>
                                    </w:tcMar>
                                  </w:tcPr>
                                  <w:p>
                                    <w:pPr>
                                      <w:widowControl/>
                                      <w:spacing w:line="560" w:lineRule="exact"/>
                                      <w:ind w:firstLine="720" w:firstLineChars="200"/>
                                      <w:jc w:val="left"/>
                                      <w:outlineLvl w:val="0"/>
                                      <w:rPr>
                                        <w:rFonts w:ascii="楷体_GB2312" w:hAnsi="宋体" w:eastAsia="楷体_GB2312" w:cs="宋体"/>
                                        <w:b/>
                                        <w:kern w:val="0"/>
                                        <w:szCs w:val="32"/>
                                      </w:rPr>
                                    </w:pPr>
                                    <w:r>
                                      <w:rPr>
                                        <w:rFonts w:hint="eastAsia" w:ascii="方正小标宋简体" w:hAnsi="宋体" w:eastAsia="方正小标宋简体" w:cs="宋体"/>
                                        <w:color w:val="333333"/>
                                        <w:kern w:val="0"/>
                                        <w:sz w:val="36"/>
                                        <w:szCs w:val="36"/>
                                      </w:rPr>
                                      <w:t>　</w:t>
                                    </w:r>
                                    <w:r>
                                      <w:rPr>
                                        <w:rFonts w:hint="eastAsia" w:ascii="方正小标宋简体" w:hAnsi="宋体" w:eastAsia="方正小标宋简体" w:cs="宋体"/>
                                        <w:color w:val="0066CC"/>
                                        <w:kern w:val="0"/>
                                        <w:sz w:val="36"/>
                                        <w:szCs w:val="36"/>
                                        <w:lang w:eastAsia="zh-CN"/>
                                      </w:rPr>
                                      <w:t>金川县林业局</w:t>
                                    </w:r>
                                    <w:r>
                                      <w:rPr>
                                        <w:rFonts w:hint="eastAsia" w:ascii="方正小标宋简体" w:hAnsi="宋体" w:eastAsia="方正小标宋简体" w:cs="宋体"/>
                                        <w:color w:val="0066CC"/>
                                        <w:kern w:val="0"/>
                                        <w:sz w:val="36"/>
                                        <w:szCs w:val="36"/>
                                      </w:rPr>
                                      <w:t>2019年部门预算编制说明</w:t>
                                    </w:r>
                                    <w:r>
                                      <w:rPr>
                                        <w:rFonts w:hint="eastAsia" w:ascii="方正小标宋简体" w:hAnsi="宋体" w:eastAsia="方正小标宋简体" w:cs="宋体"/>
                                        <w:color w:val="0066CC"/>
                                        <w:kern w:val="0"/>
                                        <w:sz w:val="36"/>
                                        <w:szCs w:val="36"/>
                                      </w:rPr>
                                      <w:br w:type="textWrapping"/>
                                    </w:r>
                                    <w:r>
                                      <w:rPr>
                                        <w:rFonts w:hint="eastAsia" w:ascii="黑体" w:hAnsi="宋体" w:eastAsia="黑体" w:cs="宋体"/>
                                        <w:color w:val="333333"/>
                                        <w:kern w:val="0"/>
                                        <w:sz w:val="28"/>
                                        <w:szCs w:val="28"/>
                                      </w:rPr>
                                      <w:t>　　</w:t>
                                    </w:r>
                                    <w:r>
                                      <w:rPr>
                                        <w:rFonts w:hint="eastAsia" w:ascii="黑体" w:hAnsi="宋体" w:eastAsia="黑体" w:cs="宋体"/>
                                        <w:color w:val="333333"/>
                                        <w:kern w:val="0"/>
                                        <w:sz w:val="28"/>
                                        <w:szCs w:val="28"/>
                                      </w:rPr>
                                      <w:br w:type="textWrapping"/>
                                    </w:r>
                                    <w:r>
                                      <w:rPr>
                                        <w:rFonts w:hint="eastAsia" w:ascii="黑体" w:hAnsi="宋体" w:eastAsia="黑体" w:cs="宋体"/>
                                        <w:color w:val="333333"/>
                                        <w:kern w:val="0"/>
                                        <w:sz w:val="28"/>
                                        <w:szCs w:val="28"/>
                                      </w:rPr>
                                      <w:t>　　一、基本职能及主</w:t>
                                    </w:r>
                                    <w:bookmarkStart w:id="0" w:name="_GoBack"/>
                                    <w:bookmarkEnd w:id="0"/>
                                    <w:r>
                                      <w:rPr>
                                        <w:rFonts w:hint="eastAsia" w:ascii="黑体" w:hAnsi="宋体" w:eastAsia="黑体" w:cs="宋体"/>
                                        <w:color w:val="333333"/>
                                        <w:kern w:val="0"/>
                                        <w:sz w:val="28"/>
                                        <w:szCs w:val="28"/>
                                      </w:rPr>
                                      <w:t>要工作</w:t>
                                    </w:r>
                                    <w:r>
                                      <w:rPr>
                                        <w:rFonts w:hint="eastAsia" w:ascii="黑体" w:hAnsi="宋体" w:eastAsia="黑体" w:cs="宋体"/>
                                        <w:color w:val="333333"/>
                                        <w:kern w:val="0"/>
                                        <w:sz w:val="28"/>
                                        <w:szCs w:val="28"/>
                                      </w:rPr>
                                      <w:br w:type="textWrapping"/>
                                    </w:r>
                                    <w:r>
                                      <w:rPr>
                                        <w:rFonts w:hint="eastAsia" w:ascii="楷体_GB2312" w:hAnsi="宋体" w:eastAsia="楷体_GB2312" w:cs="宋体"/>
                                        <w:b/>
                                        <w:bCs/>
                                        <w:color w:val="333333"/>
                                        <w:kern w:val="0"/>
                                        <w:sz w:val="28"/>
                                      </w:rPr>
                                      <w:t>　　</w:t>
                                    </w:r>
                                    <w:r>
                                      <w:rPr>
                                        <w:rFonts w:hint="eastAsia" w:ascii="楷体_GB2312" w:hAnsi="宋体" w:eastAsia="楷体_GB2312" w:cs="宋体"/>
                                        <w:b/>
                                        <w:kern w:val="0"/>
                                        <w:szCs w:val="32"/>
                                      </w:rPr>
                                      <w:t>（一）部门主要职责</w:t>
                                    </w:r>
                                  </w:p>
                                  <w:p>
                                    <w:pPr>
                                      <w:spacing w:line="560" w:lineRule="exact"/>
                                      <w:ind w:firstLine="275" w:firstLineChars="131"/>
                                      <w:rPr>
                                        <w:rFonts w:ascii="仿宋_GB2312" w:hAnsi="宋体" w:eastAsia="仿宋_GB2312" w:cs="宋体"/>
                                        <w:kern w:val="0"/>
                                        <w:szCs w:val="32"/>
                                      </w:rPr>
                                    </w:pPr>
                                    <w:r>
                                      <w:rPr>
                                        <w:rFonts w:ascii="仿宋_GB2312" w:hAnsi="宋体" w:eastAsia="仿宋_GB2312" w:cs="宋体"/>
                                        <w:kern w:val="0"/>
                                        <w:szCs w:val="32"/>
                                      </w:rPr>
                                      <w:t xml:space="preserve"> </w:t>
                                    </w:r>
                                    <w:r>
                                      <w:rPr>
                                        <w:rFonts w:hint="eastAsia" w:ascii="仿宋_GB2312" w:hAnsi="宋体" w:eastAsia="仿宋_GB2312" w:cs="宋体"/>
                                        <w:kern w:val="0"/>
                                        <w:szCs w:val="32"/>
                                      </w:rPr>
                                      <w:t>根据</w:t>
                                    </w:r>
                                    <w:r>
                                      <w:rPr>
                                        <w:rFonts w:ascii="仿宋_GB2312" w:hAnsi="宋体" w:eastAsia="仿宋_GB2312" w:cs="宋体"/>
                                        <w:kern w:val="0"/>
                                        <w:szCs w:val="32"/>
                                        <w:u w:val="single"/>
                                      </w:rPr>
                                      <w:t xml:space="preserve"> </w:t>
                                    </w:r>
                                    <w:r>
                                      <w:rPr>
                                        <w:rFonts w:hint="eastAsia" w:ascii="仿宋_GB2312" w:hAnsi="宋体" w:eastAsia="仿宋_GB2312" w:cs="宋体"/>
                                        <w:kern w:val="0"/>
                                        <w:szCs w:val="32"/>
                                        <w:u w:val="single"/>
                                      </w:rPr>
                                      <w:t>金川府发</w:t>
                                    </w:r>
                                    <w:r>
                                      <w:rPr>
                                        <w:rFonts w:hint="eastAsia" w:ascii="微软雅黑" w:hAnsi="微软雅黑" w:eastAsia="微软雅黑" w:cs="微软雅黑"/>
                                        <w:kern w:val="0"/>
                                        <w:szCs w:val="32"/>
                                        <w:u w:val="single"/>
                                      </w:rPr>
                                      <w:t>﹝</w:t>
                                    </w:r>
                                    <w:r>
                                      <w:rPr>
                                        <w:rFonts w:ascii="微软雅黑" w:hAnsi="微软雅黑" w:eastAsia="微软雅黑" w:cs="微软雅黑"/>
                                        <w:kern w:val="0"/>
                                        <w:szCs w:val="32"/>
                                        <w:u w:val="single"/>
                                      </w:rPr>
                                      <w:t>2015</w:t>
                                    </w:r>
                                    <w:r>
                                      <w:rPr>
                                        <w:rFonts w:hint="eastAsia" w:ascii="微软雅黑" w:hAnsi="微软雅黑" w:eastAsia="微软雅黑" w:cs="微软雅黑"/>
                                        <w:kern w:val="0"/>
                                        <w:szCs w:val="32"/>
                                        <w:u w:val="single"/>
                                      </w:rPr>
                                      <w:t>﹞</w:t>
                                    </w:r>
                                    <w:r>
                                      <w:rPr>
                                        <w:rFonts w:ascii="微软雅黑" w:hAnsi="微软雅黑" w:eastAsia="微软雅黑" w:cs="微软雅黑"/>
                                        <w:kern w:val="0"/>
                                        <w:szCs w:val="32"/>
                                        <w:u w:val="single"/>
                                      </w:rPr>
                                      <w:t>7</w:t>
                                    </w:r>
                                    <w:r>
                                      <w:rPr>
                                        <w:rFonts w:hint="eastAsia" w:ascii="微软雅黑" w:hAnsi="微软雅黑" w:eastAsia="微软雅黑" w:cs="微软雅黑"/>
                                        <w:kern w:val="0"/>
                                        <w:szCs w:val="32"/>
                                        <w:u w:val="single"/>
                                      </w:rPr>
                                      <w:t>号</w:t>
                                    </w:r>
                                    <w:r>
                                      <w:rPr>
                                        <w:rFonts w:hint="eastAsia" w:ascii="仿宋_GB2312" w:hAnsi="宋体" w:eastAsia="仿宋_GB2312" w:cs="宋体"/>
                                        <w:kern w:val="0"/>
                                        <w:szCs w:val="32"/>
                                      </w:rPr>
                                      <w:t>文件规定，主要职责是：</w:t>
                                    </w:r>
                                  </w:p>
                                  <w:p>
                                    <w:pPr>
                                      <w:spacing w:line="560" w:lineRule="exact"/>
                                      <w:ind w:firstLine="420" w:firstLineChars="200"/>
                                      <w:rPr>
                                        <w:rFonts w:ascii="仿宋_GB2312" w:hAnsi="宋体" w:eastAsia="仿宋_GB2312" w:cs="宋体"/>
                                        <w:kern w:val="0"/>
                                        <w:szCs w:val="32"/>
                                      </w:rPr>
                                    </w:pPr>
                                    <w:r>
                                      <w:rPr>
                                        <w:rFonts w:ascii="仿宋_GB2312" w:hAnsi="宋体" w:eastAsia="仿宋_GB2312" w:cs="宋体"/>
                                        <w:kern w:val="0"/>
                                        <w:szCs w:val="32"/>
                                      </w:rPr>
                                      <w:t>1</w:t>
                                    </w:r>
                                    <w:r>
                                      <w:rPr>
                                        <w:rFonts w:hint="eastAsia" w:ascii="仿宋_GB2312" w:hAnsi="宋体" w:eastAsia="仿宋_GB2312" w:cs="宋体"/>
                                        <w:kern w:val="0"/>
                                        <w:szCs w:val="32"/>
                                      </w:rPr>
                                      <w:t>、监督对生态环境有影响的资源开发活动，重要生态环境建设和生态破坏恢复工作；监督检查各类自然保护区以及风景名胜区、森林公园的环境保护工作；监督检查生物多样性保护、野生动植物保护、湿地环境保护、土地荒漠化防治等工作，向县政府提出新建各类国家级、省级、州级、县级自然保护区的审查建议；监督管理政府授权的综合类型或者特殊类型的自然保护区。</w:t>
                                    </w:r>
                                  </w:p>
                                  <w:p>
                                    <w:pPr>
                                      <w:spacing w:line="560" w:lineRule="exact"/>
                                      <w:ind w:firstLine="420" w:firstLineChars="200"/>
                                      <w:rPr>
                                        <w:rFonts w:ascii="仿宋_GB2312" w:hAnsi="宋体" w:eastAsia="仿宋_GB2312" w:cs="宋体"/>
                                        <w:kern w:val="0"/>
                                        <w:szCs w:val="32"/>
                                      </w:rPr>
                                    </w:pPr>
                                    <w:r>
                                      <w:rPr>
                                        <w:rFonts w:hint="eastAsia" w:ascii="仿宋_GB2312" w:hAnsi="宋体" w:eastAsia="仿宋_GB2312" w:cs="宋体"/>
                                        <w:kern w:val="0"/>
                                        <w:szCs w:val="32"/>
                                      </w:rPr>
                                      <w:t>承担森林资源保护发展监督管理的责任。贯彻执行国家、省、州森林采伐限额和林地保护利用规划，组织编制全县森林采伐限额，经县政府批准后，监督执行。监督检查林木凭证采伐、运输。组织全县森林资源调查、动态监测和统计。组织、指导林地、林权管理，组织实施林权登记、发证工作，拟订林地保护利用规划并指导实施，依法承担林地征用、占用的初审工作，管理重点国有森林资源。</w:t>
                                    </w:r>
                                  </w:p>
                                  <w:p>
                                    <w:pPr>
                                      <w:widowControl/>
                                      <w:spacing w:line="560" w:lineRule="exact"/>
                                      <w:ind w:firstLine="548" w:firstLineChars="196"/>
                                      <w:jc w:val="left"/>
                                      <w:outlineLvl w:val="0"/>
                                      <w:rPr>
                                        <w:rFonts w:ascii="楷体_GB2312" w:hAnsi="宋体" w:eastAsia="楷体_GB2312" w:cs="宋体"/>
                                        <w:b/>
                                        <w:kern w:val="0"/>
                                        <w:szCs w:val="32"/>
                                      </w:rPr>
                                    </w:pPr>
                                    <w:r>
                                      <w:rPr>
                                        <w:rFonts w:hint="eastAsia" w:ascii="仿宋_GB2312" w:hAnsi="宋体" w:eastAsia="仿宋_GB2312" w:cs="宋体"/>
                                        <w:color w:val="333333"/>
                                        <w:kern w:val="0"/>
                                        <w:sz w:val="28"/>
                                        <w:szCs w:val="28"/>
                                      </w:rPr>
                                      <w:t>　　</w:t>
                                    </w:r>
                                    <w:r>
                                      <w:rPr>
                                        <w:rFonts w:hint="eastAsia" w:ascii="楷体_GB2312" w:hAnsi="宋体" w:eastAsia="楷体_GB2312" w:cs="宋体"/>
                                        <w:b/>
                                        <w:kern w:val="0"/>
                                        <w:szCs w:val="32"/>
                                      </w:rPr>
                                      <w:t>（二）主要工作任务</w:t>
                                    </w:r>
                                  </w:p>
                                  <w:p>
                                    <w:pPr>
                                      <w:spacing w:line="560" w:lineRule="exact"/>
                                      <w:ind w:firstLine="420" w:firstLineChars="200"/>
                                      <w:rPr>
                                        <w:rFonts w:ascii="仿宋_GB2312" w:hAnsi="宋体" w:eastAsia="仿宋_GB2312" w:cs="宋体"/>
                                        <w:szCs w:val="32"/>
                                      </w:rPr>
                                    </w:pPr>
                                    <w:r>
                                      <w:rPr>
                                        <w:rFonts w:ascii="仿宋_GB2312" w:hAnsi="宋体" w:eastAsia="仿宋_GB2312" w:cs="宋体"/>
                                        <w:kern w:val="0"/>
                                        <w:szCs w:val="32"/>
                                      </w:rPr>
                                      <w:t>2019</w:t>
                                    </w:r>
                                    <w:r>
                                      <w:rPr>
                                        <w:rFonts w:hint="eastAsia" w:ascii="仿宋_GB2312" w:hAnsi="宋体" w:eastAsia="仿宋_GB2312" w:cs="宋体"/>
                                        <w:kern w:val="0"/>
                                        <w:szCs w:val="32"/>
                                      </w:rPr>
                                      <w:t>年主要工作任务是：</w:t>
                                    </w:r>
                                  </w:p>
                                  <w:p>
                                    <w:pPr>
                                      <w:widowControl/>
                                      <w:spacing w:line="560" w:lineRule="exact"/>
                                      <w:ind w:firstLine="420" w:firstLineChars="200"/>
                                      <w:rPr>
                                        <w:rFonts w:ascii="仿宋_GB2312" w:hAnsi="宋体" w:eastAsia="仿宋_GB2312" w:cs="宋体"/>
                                        <w:kern w:val="0"/>
                                        <w:szCs w:val="32"/>
                                      </w:rPr>
                                    </w:pPr>
                                    <w:r>
                                      <w:rPr>
                                        <w:rFonts w:ascii="仿宋_GB2312" w:hAnsi="宋体" w:eastAsia="仿宋_GB2312" w:cs="宋体"/>
                                        <w:kern w:val="0"/>
                                        <w:szCs w:val="32"/>
                                      </w:rPr>
                                      <w:t>1</w:t>
                                    </w:r>
                                    <w:r>
                                      <w:rPr>
                                        <w:rFonts w:hint="eastAsia" w:ascii="仿宋_GB2312" w:hAnsi="宋体" w:eastAsia="仿宋_GB2312" w:cs="宋体"/>
                                        <w:kern w:val="0"/>
                                        <w:szCs w:val="32"/>
                                      </w:rPr>
                                      <w:t>、负责指导、协调全县的林业产业发展；</w:t>
                                    </w:r>
                                  </w:p>
                                  <w:p>
                                    <w:pPr>
                                      <w:widowControl/>
                                      <w:spacing w:line="560" w:lineRule="exact"/>
                                      <w:ind w:firstLine="420" w:firstLineChars="200"/>
                                      <w:rPr>
                                        <w:rFonts w:ascii="仿宋_GB2312" w:hAnsi="宋体" w:eastAsia="仿宋_GB2312" w:cs="宋体"/>
                                        <w:kern w:val="0"/>
                                        <w:szCs w:val="32"/>
                                      </w:rPr>
                                    </w:pPr>
                                    <w:r>
                                      <w:rPr>
                                        <w:rFonts w:ascii="仿宋_GB2312" w:hAnsi="宋体" w:eastAsia="仿宋_GB2312" w:cs="宋体"/>
                                        <w:kern w:val="0"/>
                                        <w:szCs w:val="32"/>
                                      </w:rPr>
                                      <w:t>2</w:t>
                                    </w:r>
                                    <w:r>
                                      <w:rPr>
                                        <w:rFonts w:hint="eastAsia" w:ascii="仿宋_GB2312" w:hAnsi="宋体" w:eastAsia="仿宋_GB2312" w:cs="宋体"/>
                                        <w:kern w:val="0"/>
                                        <w:szCs w:val="32"/>
                                      </w:rPr>
                                      <w:t>、承担全县森林防火工作；</w:t>
                                    </w:r>
                                  </w:p>
                                  <w:p>
                                    <w:pPr>
                                      <w:widowControl/>
                                      <w:spacing w:line="560" w:lineRule="exact"/>
                                      <w:ind w:firstLine="420" w:firstLineChars="200"/>
                                      <w:rPr>
                                        <w:rFonts w:ascii="仿宋_GB2312" w:hAnsi="宋体" w:eastAsia="仿宋_GB2312" w:cs="宋体"/>
                                        <w:kern w:val="0"/>
                                        <w:szCs w:val="32"/>
                                      </w:rPr>
                                    </w:pPr>
                                    <w:r>
                                      <w:rPr>
                                        <w:rFonts w:ascii="仿宋_GB2312" w:hAnsi="宋体" w:eastAsia="仿宋_GB2312" w:cs="宋体"/>
                                        <w:kern w:val="0"/>
                                        <w:szCs w:val="32"/>
                                      </w:rPr>
                                      <w:t>3</w:t>
                                    </w:r>
                                    <w:r>
                                      <w:rPr>
                                        <w:rFonts w:hint="eastAsia" w:ascii="仿宋_GB2312" w:hAnsi="宋体" w:eastAsia="仿宋_GB2312" w:cs="宋体"/>
                                        <w:kern w:val="0"/>
                                        <w:szCs w:val="32"/>
                                      </w:rPr>
                                      <w:t>、负责全县林业及生态建设的科技、宣传、教育和外事工作；</w:t>
                                    </w:r>
                                  </w:p>
                                  <w:p>
                                    <w:pPr>
                                      <w:widowControl/>
                                      <w:spacing w:line="560" w:lineRule="exact"/>
                                      <w:ind w:firstLine="420" w:firstLineChars="200"/>
                                      <w:rPr>
                                        <w:rFonts w:ascii="仿宋_GB2312" w:hAnsi="宋体" w:eastAsia="仿宋_GB2312" w:cs="宋体"/>
                                        <w:kern w:val="0"/>
                                        <w:szCs w:val="32"/>
                                      </w:rPr>
                                    </w:pPr>
                                    <w:r>
                                      <w:rPr>
                                        <w:rFonts w:ascii="仿宋_GB2312" w:hAnsi="宋体" w:eastAsia="仿宋_GB2312" w:cs="宋体"/>
                                        <w:kern w:val="0"/>
                                        <w:szCs w:val="32"/>
                                      </w:rPr>
                                      <w:t>4</w:t>
                                    </w:r>
                                    <w:r>
                                      <w:rPr>
                                        <w:rFonts w:hint="eastAsia" w:ascii="仿宋_GB2312" w:hAnsi="宋体" w:eastAsia="仿宋_GB2312" w:cs="宋体"/>
                                        <w:kern w:val="0"/>
                                        <w:szCs w:val="32"/>
                                      </w:rPr>
                                      <w:t>、组织、协调、指导林果业发展工作。指导全县林果业种苗培育、管理工作；负责各类商品林。</w:t>
                                    </w:r>
                                  </w:p>
                                  <w:p>
                                    <w:pPr>
                                      <w:widowControl/>
                                      <w:spacing w:line="560" w:lineRule="exact"/>
                                      <w:ind w:firstLine="420" w:firstLineChars="200"/>
                                      <w:rPr>
                                        <w:rFonts w:ascii="仿宋_GB2312" w:hAnsi="宋体" w:eastAsia="仿宋_GB2312" w:cs="宋体"/>
                                        <w:kern w:val="0"/>
                                        <w:szCs w:val="32"/>
                                      </w:rPr>
                                    </w:pPr>
                                    <w:r>
                                      <w:rPr>
                                        <w:rFonts w:ascii="仿宋_GB2312" w:hAnsi="宋体" w:eastAsia="仿宋_GB2312" w:cs="宋体"/>
                                        <w:kern w:val="0"/>
                                        <w:szCs w:val="32"/>
                                      </w:rPr>
                                      <w:t>5</w:t>
                                    </w:r>
                                    <w:r>
                                      <w:rPr>
                                        <w:rFonts w:hint="eastAsia" w:ascii="仿宋_GB2312" w:hAnsi="宋体" w:eastAsia="仿宋_GB2312" w:cs="宋体"/>
                                        <w:kern w:val="0"/>
                                        <w:szCs w:val="32"/>
                                      </w:rPr>
                                      <w:t>、承担林业行政执法监管的责任；</w:t>
                                    </w:r>
                                  </w:p>
                                  <w:p>
                                    <w:pPr>
                                      <w:widowControl/>
                                      <w:spacing w:line="560" w:lineRule="exact"/>
                                      <w:ind w:firstLine="420" w:firstLineChars="200"/>
                                      <w:rPr>
                                        <w:rFonts w:ascii="仿宋_GB2312" w:hAnsi="宋体" w:eastAsia="仿宋_GB2312" w:cs="宋体"/>
                                        <w:kern w:val="0"/>
                                        <w:szCs w:val="32"/>
                                      </w:rPr>
                                    </w:pPr>
                                    <w:r>
                                      <w:rPr>
                                        <w:rFonts w:ascii="仿宋_GB2312" w:hAnsi="宋体" w:eastAsia="仿宋_GB2312" w:cs="宋体"/>
                                        <w:kern w:val="0"/>
                                        <w:szCs w:val="32"/>
                                      </w:rPr>
                                      <w:t>6</w:t>
                                    </w:r>
                                    <w:r>
                                      <w:rPr>
                                        <w:rFonts w:hint="eastAsia" w:ascii="仿宋_GB2312" w:hAnsi="宋体" w:eastAsia="仿宋_GB2312" w:cs="宋体"/>
                                        <w:kern w:val="0"/>
                                        <w:szCs w:val="32"/>
                                      </w:rPr>
                                      <w:t>、指导全县森林公安工作，监督管理森林公安队伍，指导全县林业重大违法案件的查处；</w:t>
                                    </w:r>
                                  </w:p>
                                  <w:p>
                                    <w:pPr>
                                      <w:widowControl/>
                                      <w:spacing w:line="560" w:lineRule="exact"/>
                                      <w:ind w:firstLine="420" w:firstLineChars="200"/>
                                      <w:rPr>
                                        <w:rFonts w:ascii="仿宋_GB2312" w:hAnsi="宋体" w:eastAsia="仿宋_GB2312" w:cs="宋体"/>
                                        <w:kern w:val="0"/>
                                        <w:szCs w:val="32"/>
                                      </w:rPr>
                                    </w:pPr>
                                    <w:r>
                                      <w:rPr>
                                        <w:rFonts w:ascii="仿宋_GB2312" w:hAnsi="宋体" w:eastAsia="仿宋_GB2312" w:cs="宋体"/>
                                        <w:kern w:val="0"/>
                                        <w:szCs w:val="32"/>
                                      </w:rPr>
                                      <w:t>7</w:t>
                                    </w:r>
                                    <w:r>
                                      <w:rPr>
                                        <w:rFonts w:hint="eastAsia" w:ascii="仿宋_GB2312" w:hAnsi="宋体" w:eastAsia="仿宋_GB2312" w:cs="宋体"/>
                                        <w:kern w:val="0"/>
                                        <w:szCs w:val="32"/>
                                      </w:rPr>
                                      <w:t>、组织、协调、指导和监督全县湿地保护工作；</w:t>
                                    </w:r>
                                  </w:p>
                                  <w:p>
                                    <w:pPr>
                                      <w:widowControl/>
                                      <w:spacing w:line="560" w:lineRule="exact"/>
                                      <w:ind w:firstLine="420" w:firstLineChars="200"/>
                                      <w:rPr>
                                        <w:rFonts w:ascii="仿宋_GB2312" w:hAnsi="宋体" w:eastAsia="仿宋_GB2312" w:cs="宋体"/>
                                        <w:kern w:val="0"/>
                                        <w:szCs w:val="32"/>
                                      </w:rPr>
                                    </w:pPr>
                                    <w:r>
                                      <w:rPr>
                                        <w:rFonts w:ascii="仿宋_GB2312" w:hAnsi="宋体" w:eastAsia="仿宋_GB2312" w:cs="宋体"/>
                                        <w:kern w:val="0"/>
                                        <w:szCs w:val="32"/>
                                      </w:rPr>
                                      <w:t>8</w:t>
                                    </w:r>
                                    <w:r>
                                      <w:rPr>
                                        <w:rFonts w:hint="eastAsia" w:ascii="仿宋_GB2312" w:hAnsi="宋体" w:eastAsia="仿宋_GB2312" w:cs="宋体"/>
                                        <w:kern w:val="0"/>
                                        <w:szCs w:val="32"/>
                                      </w:rPr>
                                      <w:t>、组织、指导监督全民义务植树、造林绿化工作。</w:t>
                                    </w:r>
                                  </w:p>
                                  <w:p>
                                    <w:pPr>
                                      <w:widowControl/>
                                      <w:spacing w:line="560" w:lineRule="exact"/>
                                      <w:ind w:left="210" w:leftChars="100" w:firstLine="560" w:firstLineChars="200"/>
                                      <w:jc w:val="left"/>
                                      <w:rPr>
                                        <w:rFonts w:ascii="仿宋_GB2312" w:hAnsi="宋体" w:eastAsia="仿宋_GB2312" w:cs="宋体"/>
                                        <w:kern w:val="0"/>
                                        <w:szCs w:val="32"/>
                                      </w:rPr>
                                    </w:pP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黑体" w:hAnsi="宋体" w:eastAsia="黑体" w:cs="宋体"/>
                                        <w:color w:val="333333"/>
                                        <w:kern w:val="0"/>
                                        <w:sz w:val="28"/>
                                        <w:szCs w:val="28"/>
                                      </w:rPr>
                                      <w:t>　二、部门预算单位构成</w:t>
                                    </w:r>
                                    <w:r>
                                      <w:rPr>
                                        <w:rFonts w:hint="eastAsia" w:ascii="黑体" w:hAnsi="宋体" w:eastAsia="黑体" w:cs="宋体"/>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仿宋_GB2312" w:hAnsi="宋体" w:eastAsia="仿宋_GB2312" w:cs="宋体"/>
                                        <w:kern w:val="0"/>
                                        <w:szCs w:val="32"/>
                                      </w:rPr>
                                      <w:t>本部门预算单位</w:t>
                                    </w:r>
                                    <w:r>
                                      <w:rPr>
                                        <w:rFonts w:ascii="仿宋_GB2312" w:hAnsi="宋体" w:eastAsia="仿宋_GB2312" w:cs="宋体"/>
                                        <w:kern w:val="0"/>
                                        <w:szCs w:val="32"/>
                                        <w:u w:val="single"/>
                                      </w:rPr>
                                      <w:t xml:space="preserve"> 1 </w:t>
                                    </w:r>
                                    <w:r>
                                      <w:rPr>
                                        <w:rFonts w:hint="eastAsia" w:ascii="仿宋_GB2312" w:hAnsi="宋体" w:eastAsia="仿宋_GB2312" w:cs="宋体"/>
                                        <w:kern w:val="0"/>
                                        <w:szCs w:val="32"/>
                                      </w:rPr>
                                      <w:t>个，，其中内设机构</w:t>
                                    </w:r>
                                    <w:r>
                                      <w:rPr>
                                        <w:rFonts w:ascii="仿宋_GB2312" w:hAnsi="宋体" w:eastAsia="仿宋_GB2312" w:cs="宋体"/>
                                        <w:kern w:val="0"/>
                                        <w:szCs w:val="32"/>
                                        <w:u w:val="single"/>
                                      </w:rPr>
                                      <w:t xml:space="preserve"> 3 </w:t>
                                    </w:r>
                                    <w:r>
                                      <w:rPr>
                                        <w:rFonts w:hint="eastAsia" w:ascii="仿宋_GB2312" w:hAnsi="宋体" w:eastAsia="仿宋_GB2312" w:cs="宋体"/>
                                        <w:kern w:val="0"/>
                                        <w:szCs w:val="32"/>
                                      </w:rPr>
                                      <w:t>个。</w:t>
                                    </w:r>
                                  </w:p>
                                  <w:p>
                                    <w:pPr>
                                      <w:widowControl/>
                                      <w:spacing w:line="480" w:lineRule="atLeast"/>
                                      <w:ind w:firstLine="60"/>
                                      <w:rPr>
                                        <w:rFonts w:ascii="仿宋_GB2312" w:hAnsi="宋体" w:eastAsia="仿宋_GB2312" w:cs="宋体"/>
                                        <w:color w:val="333333"/>
                                        <w:kern w:val="0"/>
                                        <w:sz w:val="28"/>
                                        <w:szCs w:val="28"/>
                                      </w:rPr>
                                    </w:pPr>
                                    <w:r>
                                      <w:rPr>
                                        <w:rFonts w:hint="eastAsia" w:ascii="仿宋_GB2312" w:hAnsi="宋体" w:eastAsia="仿宋_GB2312" w:cs="宋体"/>
                                        <w:color w:val="333333"/>
                                        <w:kern w:val="0"/>
                                        <w:sz w:val="28"/>
                                        <w:szCs w:val="28"/>
                                      </w:rPr>
                                      <w:t>　　</w:t>
                                    </w:r>
                                    <w:r>
                                      <w:rPr>
                                        <w:rFonts w:hint="eastAsia" w:ascii="黑体" w:hAnsi="宋体" w:eastAsia="黑体" w:cs="宋体"/>
                                        <w:color w:val="333333"/>
                                        <w:kern w:val="0"/>
                                        <w:sz w:val="28"/>
                                        <w:szCs w:val="28"/>
                                      </w:rPr>
                                      <w:t>三、收支预算情况说明</w:t>
                                    </w:r>
                                    <w:r>
                                      <w:rPr>
                                        <w:rFonts w:hint="eastAsia" w:ascii="黑体" w:hAnsi="宋体" w:eastAsia="黑体" w:cs="宋体"/>
                                        <w:color w:val="333333"/>
                                        <w:kern w:val="0"/>
                                        <w:sz w:val="28"/>
                                        <w:szCs w:val="28"/>
                                      </w:rPr>
                                      <w:br w:type="textWrapping"/>
                                    </w:r>
                                    <w:r>
                                      <w:rPr>
                                        <w:rFonts w:hint="eastAsia" w:ascii="仿宋_GB2312" w:hAnsi="宋体" w:eastAsia="仿宋_GB2312" w:cs="宋体"/>
                                        <w:color w:val="333333"/>
                                        <w:kern w:val="0"/>
                                        <w:sz w:val="28"/>
                                        <w:szCs w:val="28"/>
                                      </w:rPr>
                                      <w:t>　　按照综合预算的原则，林业局所有收入和支出均纳入部门预算管理。收入包括：一般公共预算拨款收入；支出包括：一般公共服务支出、社会保障和就业支出、医疗卫生与计划生育支出、住房保障支出。林业局2019年收支总预算</w:t>
                                    </w:r>
                                    <w:r>
                                      <w:rPr>
                                        <w:rFonts w:ascii="仿宋_GB2312" w:eastAsia="仿宋_GB2312"/>
                                        <w:szCs w:val="32"/>
                                      </w:rPr>
                                      <w:t>5651713</w:t>
                                    </w:r>
                                    <w:r>
                                      <w:rPr>
                                        <w:rFonts w:hint="eastAsia" w:ascii="仿宋_GB2312" w:hAnsi="宋体" w:eastAsia="仿宋_GB2312" w:cs="宋体"/>
                                        <w:color w:val="333333"/>
                                        <w:kern w:val="0"/>
                                        <w:sz w:val="28"/>
                                        <w:szCs w:val="28"/>
                                      </w:rPr>
                                      <w:t>元。</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楷体_GB2312" w:hAnsi="宋体" w:eastAsia="楷体_GB2312" w:cs="宋体"/>
                                        <w:b/>
                                        <w:bCs/>
                                        <w:color w:val="333333"/>
                                        <w:kern w:val="0"/>
                                        <w:sz w:val="28"/>
                                      </w:rPr>
                                      <w:t>（一）收入预算情况。</w:t>
                                    </w:r>
                                    <w:r>
                                      <w:rPr>
                                        <w:rFonts w:hint="eastAsia" w:ascii="楷体_GB2312" w:hAnsi="宋体" w:eastAsia="楷体_GB2312" w:cs="宋体"/>
                                        <w:b/>
                                        <w:bCs/>
                                        <w:color w:val="333333"/>
                                        <w:kern w:val="0"/>
                                        <w:sz w:val="28"/>
                                        <w:szCs w:val="28"/>
                                      </w:rPr>
                                      <w:br w:type="textWrapping"/>
                                    </w:r>
                                    <w:r>
                                      <w:rPr>
                                        <w:rFonts w:hint="eastAsia" w:ascii="仿宋_GB2312" w:hAnsi="宋体" w:eastAsia="仿宋_GB2312" w:cs="宋体"/>
                                        <w:color w:val="333333"/>
                                        <w:kern w:val="0"/>
                                        <w:sz w:val="28"/>
                                        <w:szCs w:val="28"/>
                                      </w:rPr>
                                      <w:t>　　林业局2019年收入预算</w:t>
                                    </w:r>
                                    <w:r>
                                      <w:rPr>
                                        <w:rFonts w:ascii="仿宋_GB2312" w:eastAsia="仿宋_GB2312"/>
                                        <w:szCs w:val="32"/>
                                      </w:rPr>
                                      <w:t>5651713</w:t>
                                    </w:r>
                                    <w:r>
                                      <w:rPr>
                                        <w:rFonts w:hint="eastAsia" w:ascii="仿宋_GB2312" w:hAnsi="宋体" w:eastAsia="仿宋_GB2312" w:cs="宋体"/>
                                        <w:color w:val="333333"/>
                                        <w:kern w:val="0"/>
                                        <w:sz w:val="28"/>
                                        <w:szCs w:val="28"/>
                                      </w:rPr>
                                      <w:t>元，占100%。</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楷体_GB2312" w:hAnsi="宋体" w:eastAsia="楷体_GB2312" w:cs="宋体"/>
                                        <w:b/>
                                        <w:bCs/>
                                        <w:color w:val="333333"/>
                                        <w:kern w:val="0"/>
                                        <w:sz w:val="28"/>
                                      </w:rPr>
                                      <w:t>（二）支出预算情况。</w:t>
                                    </w:r>
                                    <w:r>
                                      <w:rPr>
                                        <w:rFonts w:hint="eastAsia" w:ascii="楷体_GB2312" w:hAnsi="宋体" w:eastAsia="楷体_GB2312" w:cs="宋体"/>
                                        <w:b/>
                                        <w:bCs/>
                                        <w:color w:val="333333"/>
                                        <w:kern w:val="0"/>
                                        <w:sz w:val="28"/>
                                        <w:szCs w:val="28"/>
                                      </w:rPr>
                                      <w:br w:type="textWrapping"/>
                                    </w:r>
                                    <w:r>
                                      <w:rPr>
                                        <w:rFonts w:hint="eastAsia" w:ascii="仿宋_GB2312" w:hAnsi="宋体" w:eastAsia="仿宋_GB2312" w:cs="宋体"/>
                                        <w:color w:val="333333"/>
                                        <w:kern w:val="0"/>
                                        <w:sz w:val="28"/>
                                        <w:szCs w:val="28"/>
                                      </w:rPr>
                                      <w:t>　　林业局2019年支出预算</w:t>
                                    </w:r>
                                    <w:r>
                                      <w:rPr>
                                        <w:rFonts w:ascii="仿宋_GB2312" w:eastAsia="仿宋_GB2312"/>
                                        <w:szCs w:val="32"/>
                                      </w:rPr>
                                      <w:t>5651713</w:t>
                                    </w:r>
                                    <w:r>
                                      <w:rPr>
                                        <w:rFonts w:hint="eastAsia" w:ascii="仿宋_GB2312" w:hAnsi="宋体" w:eastAsia="仿宋_GB2312" w:cs="宋体"/>
                                        <w:color w:val="333333"/>
                                        <w:kern w:val="0"/>
                                        <w:sz w:val="28"/>
                                        <w:szCs w:val="28"/>
                                      </w:rPr>
                                      <w:t>元，其中：基本支出</w:t>
                                    </w:r>
                                    <w:r>
                                      <w:rPr>
                                        <w:rFonts w:ascii="仿宋_GB2312" w:eastAsia="仿宋_GB2312"/>
                                        <w:szCs w:val="32"/>
                                      </w:rPr>
                                      <w:t>5651713</w:t>
                                    </w:r>
                                    <w:r>
                                      <w:rPr>
                                        <w:rFonts w:hint="eastAsia" w:ascii="仿宋_GB2312" w:hAnsi="宋体" w:eastAsia="仿宋_GB2312" w:cs="宋体"/>
                                        <w:color w:val="333333"/>
                                        <w:kern w:val="0"/>
                                        <w:sz w:val="28"/>
                                        <w:szCs w:val="28"/>
                                      </w:rPr>
                                      <w:t>元，占39.44%；占100%。</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黑体" w:hAnsi="宋体" w:eastAsia="黑体" w:cs="宋体"/>
                                        <w:color w:val="333333"/>
                                        <w:kern w:val="0"/>
                                        <w:sz w:val="28"/>
                                        <w:szCs w:val="28"/>
                                      </w:rPr>
                                      <w:t>四、财政拨款收支预算情况说明</w:t>
                                    </w:r>
                                    <w:r>
                                      <w:rPr>
                                        <w:rFonts w:hint="eastAsia" w:ascii="黑体" w:hAnsi="宋体" w:eastAsia="黑体" w:cs="宋体"/>
                                        <w:color w:val="333333"/>
                                        <w:kern w:val="0"/>
                                        <w:sz w:val="28"/>
                                        <w:szCs w:val="28"/>
                                      </w:rPr>
                                      <w:br w:type="textWrapping"/>
                                    </w:r>
                                    <w:r>
                                      <w:rPr>
                                        <w:rFonts w:hint="eastAsia" w:ascii="仿宋_GB2312" w:hAnsi="宋体" w:eastAsia="仿宋_GB2312" w:cs="宋体"/>
                                        <w:color w:val="333333"/>
                                        <w:kern w:val="0"/>
                                        <w:sz w:val="28"/>
                                        <w:szCs w:val="28"/>
                                      </w:rPr>
                                      <w:t>　　林业局2019年财政拨款收支总预算</w:t>
                                    </w:r>
                                    <w:r>
                                      <w:rPr>
                                        <w:rFonts w:ascii="仿宋_GB2312" w:eastAsia="仿宋_GB2312"/>
                                        <w:szCs w:val="32"/>
                                      </w:rPr>
                                      <w:t>5651713</w:t>
                                    </w:r>
                                    <w:r>
                                      <w:rPr>
                                        <w:rFonts w:hint="eastAsia" w:ascii="仿宋_GB2312" w:hAnsi="宋体" w:eastAsia="仿宋_GB2312" w:cs="宋体"/>
                                        <w:color w:val="333333"/>
                                        <w:kern w:val="0"/>
                                        <w:sz w:val="28"/>
                                        <w:szCs w:val="28"/>
                                      </w:rPr>
                                      <w:t>元。</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收入包括：本年一般公共预算拨款收入</w:t>
                                    </w:r>
                                    <w:r>
                                      <w:rPr>
                                        <w:rFonts w:ascii="仿宋_GB2312" w:eastAsia="仿宋_GB2312"/>
                                        <w:szCs w:val="32"/>
                                      </w:rPr>
                                      <w:t>5651713</w:t>
                                    </w:r>
                                    <w:r>
                                      <w:rPr>
                                        <w:rFonts w:hint="eastAsia" w:ascii="仿宋_GB2312" w:hAnsi="宋体" w:eastAsia="仿宋_GB2312" w:cs="宋体"/>
                                        <w:color w:val="333333"/>
                                        <w:kern w:val="0"/>
                                        <w:sz w:val="28"/>
                                        <w:szCs w:val="28"/>
                                      </w:rPr>
                                      <w:t>元；支出包括：</w:t>
                                    </w:r>
                                    <w:r>
                                      <w:rPr>
                                        <w:rFonts w:hint="eastAsia" w:ascii="仿宋_GB2312" w:eastAsia="仿宋_GB2312"/>
                                        <w:szCs w:val="32"/>
                                      </w:rPr>
                                      <w:t>工资福利支出</w:t>
                                    </w:r>
                                    <w:r>
                                      <w:rPr>
                                        <w:rFonts w:ascii="仿宋_GB2312" w:eastAsia="仿宋_GB2312"/>
                                        <w:szCs w:val="32"/>
                                      </w:rPr>
                                      <w:t>5421453</w:t>
                                    </w:r>
                                    <w:r>
                                      <w:rPr>
                                        <w:rFonts w:hint="eastAsia" w:ascii="仿宋_GB2312" w:eastAsia="仿宋_GB2312"/>
                                        <w:szCs w:val="32"/>
                                      </w:rPr>
                                      <w:t>元，商品和服务支出</w:t>
                                    </w:r>
                                    <w:r>
                                      <w:rPr>
                                        <w:rFonts w:ascii="仿宋_GB2312" w:eastAsia="仿宋_GB2312"/>
                                        <w:szCs w:val="32"/>
                                      </w:rPr>
                                      <w:t>160720</w:t>
                                    </w:r>
                                    <w:r>
                                      <w:rPr>
                                        <w:rFonts w:hint="eastAsia" w:ascii="仿宋_GB2312" w:eastAsia="仿宋_GB2312"/>
                                        <w:szCs w:val="32"/>
                                      </w:rPr>
                                      <w:t>元，对个人和家庭补助支出</w:t>
                                    </w:r>
                                    <w:r>
                                      <w:rPr>
                                        <w:rFonts w:ascii="仿宋_GB2312" w:eastAsia="仿宋_GB2312"/>
                                        <w:szCs w:val="32"/>
                                      </w:rPr>
                                      <w:t>69540</w:t>
                                    </w:r>
                                    <w:r>
                                      <w:rPr>
                                        <w:rFonts w:hint="eastAsia" w:ascii="仿宋_GB2312" w:eastAsia="仿宋_GB2312"/>
                                        <w:szCs w:val="32"/>
                                      </w:rPr>
                                      <w:t>元</w:t>
                                    </w:r>
                                  </w:p>
                                  <w:p>
                                    <w:pPr>
                                      <w:widowControl/>
                                      <w:spacing w:line="480" w:lineRule="atLeast"/>
                                      <w:ind w:firstLine="60"/>
                                      <w:rPr>
                                        <w:rFonts w:ascii="仿宋_GB2312" w:hAnsi="宋体" w:eastAsia="仿宋_GB2312" w:cs="宋体"/>
                                        <w:color w:val="333333"/>
                                        <w:kern w:val="0"/>
                                        <w:sz w:val="28"/>
                                        <w:szCs w:val="28"/>
                                      </w:rPr>
                                    </w:pPr>
                                    <w:r>
                                      <w:rPr>
                                        <w:rFonts w:hint="eastAsia" w:ascii="仿宋_GB2312" w:hAnsi="宋体" w:eastAsia="仿宋_GB2312" w:cs="宋体"/>
                                        <w:color w:val="333333"/>
                                        <w:kern w:val="0"/>
                                        <w:sz w:val="28"/>
                                        <w:szCs w:val="28"/>
                                      </w:rPr>
                                      <w:t>　　</w:t>
                                    </w:r>
                                    <w:r>
                                      <w:rPr>
                                        <w:rFonts w:hint="eastAsia" w:ascii="黑体" w:hAnsi="宋体" w:eastAsia="黑体" w:cs="宋体"/>
                                        <w:color w:val="333333"/>
                                        <w:kern w:val="0"/>
                                        <w:sz w:val="28"/>
                                        <w:szCs w:val="28"/>
                                      </w:rPr>
                                      <w:t>五、一般公共预算当年拨款情况说明</w:t>
                                    </w:r>
                                    <w:r>
                                      <w:rPr>
                                        <w:rFonts w:hint="eastAsia" w:ascii="黑体" w:hAnsi="宋体" w:eastAsia="黑体" w:cs="宋体"/>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楷体_GB2312" w:hAnsi="宋体" w:eastAsia="楷体_GB2312" w:cs="宋体"/>
                                        <w:b/>
                                        <w:bCs/>
                                        <w:color w:val="333333"/>
                                        <w:kern w:val="0"/>
                                        <w:sz w:val="28"/>
                                      </w:rPr>
                                      <w:t>（一）一般公共预算当年拨款规模变化情况。</w:t>
                                    </w:r>
                                    <w:r>
                                      <w:rPr>
                                        <w:rFonts w:hint="eastAsia" w:ascii="楷体_GB2312" w:hAnsi="宋体" w:eastAsia="楷体_GB2312" w:cs="宋体"/>
                                        <w:b/>
                                        <w:bCs/>
                                        <w:color w:val="333333"/>
                                        <w:kern w:val="0"/>
                                        <w:sz w:val="28"/>
                                        <w:szCs w:val="28"/>
                                      </w:rPr>
                                      <w:br w:type="textWrapping"/>
                                    </w:r>
                                    <w:r>
                                      <w:rPr>
                                        <w:rFonts w:hint="eastAsia" w:ascii="仿宋_GB2312" w:hAnsi="宋体" w:eastAsia="仿宋_GB2312" w:cs="宋体"/>
                                        <w:color w:val="333333"/>
                                        <w:kern w:val="0"/>
                                        <w:sz w:val="28"/>
                                        <w:szCs w:val="28"/>
                                      </w:rPr>
                                      <w:t>　　林业局2019年一般公共预算当年拨款</w:t>
                                    </w:r>
                                    <w:r>
                                      <w:rPr>
                                        <w:rFonts w:ascii="仿宋_GB2312" w:eastAsia="仿宋_GB2312"/>
                                        <w:szCs w:val="32"/>
                                      </w:rPr>
                                      <w:t>5651713</w:t>
                                    </w:r>
                                    <w:r>
                                      <w:rPr>
                                        <w:rFonts w:hint="eastAsia" w:ascii="仿宋_GB2312" w:eastAsia="仿宋_GB2312"/>
                                        <w:szCs w:val="32"/>
                                      </w:rPr>
                                      <w:t>元</w:t>
                                    </w:r>
                                    <w:r>
                                      <w:rPr>
                                        <w:rFonts w:hint="eastAsia" w:ascii="仿宋_GB2312" w:hAnsi="宋体" w:eastAsia="仿宋_GB2312" w:cs="宋体"/>
                                        <w:color w:val="333333"/>
                                        <w:kern w:val="0"/>
                                        <w:sz w:val="28"/>
                                        <w:szCs w:val="28"/>
                                      </w:rPr>
                                      <w:t>。</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楷体_GB2312" w:hAnsi="宋体" w:eastAsia="楷体_GB2312" w:cs="宋体"/>
                                        <w:b/>
                                        <w:bCs/>
                                        <w:color w:val="333333"/>
                                        <w:kern w:val="0"/>
                                        <w:sz w:val="28"/>
                                      </w:rPr>
                                      <w:t>（二）一般公共预算当年拨款结构情况。</w:t>
                                    </w:r>
                                    <w:r>
                                      <w:rPr>
                                        <w:rFonts w:hint="eastAsia" w:ascii="楷体_GB2312" w:hAnsi="宋体" w:eastAsia="楷体_GB2312" w:cs="宋体"/>
                                        <w:b/>
                                        <w:bCs/>
                                        <w:color w:val="333333"/>
                                        <w:kern w:val="0"/>
                                        <w:sz w:val="28"/>
                                        <w:szCs w:val="28"/>
                                      </w:rPr>
                                      <w:br w:type="textWrapping"/>
                                    </w:r>
                                    <w:r>
                                      <w:rPr>
                                        <w:rFonts w:hint="eastAsia" w:ascii="仿宋_GB2312" w:hAnsi="宋体" w:eastAsia="仿宋_GB2312" w:cs="宋体"/>
                                        <w:color w:val="333333"/>
                                        <w:kern w:val="0"/>
                                        <w:sz w:val="28"/>
                                        <w:szCs w:val="28"/>
                                      </w:rPr>
                                      <w:t>　　一般公共服务支出</w:t>
                                    </w:r>
                                    <w:r>
                                      <w:rPr>
                                        <w:rFonts w:ascii="仿宋_GB2312" w:eastAsia="仿宋_GB2312"/>
                                        <w:szCs w:val="32"/>
                                      </w:rPr>
                                      <w:t>5651713</w:t>
                                    </w:r>
                                    <w:r>
                                      <w:rPr>
                                        <w:rFonts w:hint="eastAsia" w:ascii="仿宋_GB2312" w:eastAsia="仿宋_GB2312"/>
                                        <w:szCs w:val="32"/>
                                      </w:rPr>
                                      <w:t>元</w:t>
                                    </w:r>
                                    <w:r>
                                      <w:rPr>
                                        <w:rFonts w:hint="eastAsia" w:ascii="仿宋_GB2312" w:hAnsi="宋体" w:eastAsia="仿宋_GB2312" w:cs="宋体"/>
                                        <w:color w:val="333333"/>
                                        <w:kern w:val="0"/>
                                        <w:sz w:val="28"/>
                                        <w:szCs w:val="28"/>
                                      </w:rPr>
                                      <w:t>，占100%；</w:t>
                                    </w:r>
                                    <w:r>
                                      <w:rPr>
                                        <w:rFonts w:hint="eastAsia" w:ascii="仿宋_GB2312" w:eastAsia="仿宋_GB2312"/>
                                        <w:szCs w:val="32"/>
                                      </w:rPr>
                                      <w:t>工资福利支出</w:t>
                                    </w:r>
                                    <w:r>
                                      <w:rPr>
                                        <w:rFonts w:ascii="仿宋_GB2312" w:eastAsia="仿宋_GB2312"/>
                                        <w:szCs w:val="32"/>
                                      </w:rPr>
                                      <w:t>5421453</w:t>
                                    </w:r>
                                    <w:r>
                                      <w:rPr>
                                        <w:rFonts w:hint="eastAsia" w:ascii="仿宋_GB2312" w:eastAsia="仿宋_GB2312"/>
                                        <w:szCs w:val="32"/>
                                      </w:rPr>
                                      <w:t>元，商品和服务支出</w:t>
                                    </w:r>
                                    <w:r>
                                      <w:rPr>
                                        <w:rFonts w:ascii="仿宋_GB2312" w:eastAsia="仿宋_GB2312"/>
                                        <w:szCs w:val="32"/>
                                      </w:rPr>
                                      <w:t>160720</w:t>
                                    </w:r>
                                    <w:r>
                                      <w:rPr>
                                        <w:rFonts w:hint="eastAsia" w:ascii="仿宋_GB2312" w:eastAsia="仿宋_GB2312"/>
                                        <w:szCs w:val="32"/>
                                      </w:rPr>
                                      <w:t>元，对个人和家庭补助支出</w:t>
                                    </w:r>
                                    <w:r>
                                      <w:rPr>
                                        <w:rFonts w:ascii="仿宋_GB2312" w:eastAsia="仿宋_GB2312"/>
                                        <w:szCs w:val="32"/>
                                      </w:rPr>
                                      <w:t>69540</w:t>
                                    </w:r>
                                    <w:r>
                                      <w:rPr>
                                        <w:rFonts w:hint="eastAsia" w:ascii="仿宋_GB2312" w:eastAsia="仿宋_GB2312"/>
                                        <w:szCs w:val="32"/>
                                      </w:rPr>
                                      <w:t>元.</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楷体_GB2312" w:hAnsi="宋体" w:eastAsia="楷体_GB2312" w:cs="宋体"/>
                                        <w:b/>
                                        <w:bCs/>
                                        <w:color w:val="333333"/>
                                        <w:kern w:val="0"/>
                                        <w:sz w:val="28"/>
                                      </w:rPr>
                                      <w:t>（三）一般公共预算当年拨款具体使用情况。</w:t>
                                    </w:r>
                                    <w:r>
                                      <w:rPr>
                                        <w:rFonts w:hint="eastAsia" w:ascii="楷体_GB2312" w:hAnsi="宋体" w:eastAsia="楷体_GB2312" w:cs="宋体"/>
                                        <w:b/>
                                        <w:bCs/>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仿宋_GB2312" w:hAnsi="宋体" w:eastAsia="仿宋_GB2312" w:cs="宋体"/>
                                        <w:b/>
                                        <w:bCs/>
                                        <w:color w:val="333333"/>
                                        <w:kern w:val="0"/>
                                        <w:sz w:val="28"/>
                                      </w:rPr>
                                      <w:t>1.一般公共服务（213）财政事务（02）行政运行（01）</w:t>
                                    </w:r>
                                    <w:r>
                                      <w:rPr>
                                        <w:rFonts w:hint="eastAsia" w:ascii="仿宋_GB2312" w:hAnsi="宋体" w:eastAsia="仿宋_GB2312" w:cs="宋体"/>
                                        <w:color w:val="333333"/>
                                        <w:kern w:val="0"/>
                                        <w:sz w:val="28"/>
                                        <w:szCs w:val="28"/>
                                      </w:rPr>
                                      <w:t>2019年预算数为3795010元，主要用于：局机关及参公管理事业单位正常运转的基本支出，包括基本工资、津贴补贴等人员经费以及办公费、印刷费、水电费等日常公用经费。　　　　</w:t>
                                    </w:r>
                                  </w:p>
                                  <w:p>
                                    <w:pPr>
                                      <w:widowControl/>
                                      <w:spacing w:line="480" w:lineRule="atLeast"/>
                                      <w:ind w:firstLine="621" w:firstLineChars="221"/>
                                      <w:rPr>
                                        <w:rFonts w:ascii="仿宋_GB2312" w:hAnsi="宋体" w:eastAsia="仿宋_GB2312" w:cs="宋体"/>
                                        <w:color w:val="333333"/>
                                        <w:kern w:val="0"/>
                                        <w:sz w:val="28"/>
                                        <w:szCs w:val="28"/>
                                      </w:rPr>
                                    </w:pPr>
                                    <w:r>
                                      <w:rPr>
                                        <w:rFonts w:hint="eastAsia" w:ascii="仿宋_GB2312" w:hAnsi="宋体" w:eastAsia="仿宋_GB2312" w:cs="宋体"/>
                                        <w:b/>
                                        <w:bCs/>
                                        <w:color w:val="333333"/>
                                        <w:kern w:val="0"/>
                                        <w:sz w:val="28"/>
                                      </w:rPr>
                                      <w:t>2.社会保障和就业（208）行政事业单位离退休（05）机关事业单位基本养老保险缴费支出（05）</w:t>
                                    </w:r>
                                    <w:r>
                                      <w:rPr>
                                        <w:rFonts w:hint="eastAsia" w:ascii="仿宋_GB2312" w:hAnsi="宋体" w:eastAsia="仿宋_GB2312" w:cs="宋体"/>
                                        <w:color w:val="333333"/>
                                        <w:kern w:val="0"/>
                                        <w:sz w:val="28"/>
                                        <w:szCs w:val="28"/>
                                      </w:rPr>
                                      <w:t>2019年预算数为697503元，主要用于：实施养老保险制度后，部门按规定由单位缴纳的基本养老保险费支出。</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仿宋_GB2312" w:hAnsi="宋体" w:eastAsia="仿宋_GB2312" w:cs="宋体"/>
                                        <w:b/>
                                        <w:bCs/>
                                        <w:color w:val="333333"/>
                                        <w:kern w:val="0"/>
                                        <w:sz w:val="28"/>
                                      </w:rPr>
                                      <w:t>3.社会保障和就业（208）行政事业单位离退休（05）机关事业单位职业年金缴费支出（06）</w:t>
                                    </w:r>
                                    <w:r>
                                      <w:rPr>
                                        <w:rFonts w:hint="eastAsia" w:ascii="仿宋_GB2312" w:hAnsi="宋体" w:eastAsia="仿宋_GB2312" w:cs="宋体"/>
                                        <w:color w:val="333333"/>
                                        <w:kern w:val="0"/>
                                        <w:sz w:val="28"/>
                                        <w:szCs w:val="28"/>
                                      </w:rPr>
                                      <w:t>2018年预算数为279001元，主要用于：实施养老保险制度后，部门按规定由单位缴纳的职业年金支出。</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仿宋_GB2312" w:hAnsi="宋体" w:eastAsia="仿宋_GB2312" w:cs="宋体"/>
                                        <w:b/>
                                        <w:bCs/>
                                        <w:color w:val="333333"/>
                                        <w:kern w:val="0"/>
                                        <w:sz w:val="28"/>
                                      </w:rPr>
                                      <w:t>4.医疗卫生与计划生育（210）行政事业单位医疗（11）行政单位医疗（01）</w:t>
                                    </w:r>
                                    <w:r>
                                      <w:rPr>
                                        <w:rFonts w:hint="eastAsia" w:ascii="仿宋_GB2312" w:hAnsi="宋体" w:eastAsia="仿宋_GB2312" w:cs="宋体"/>
                                        <w:color w:val="333333"/>
                                        <w:kern w:val="0"/>
                                        <w:sz w:val="28"/>
                                        <w:szCs w:val="28"/>
                                      </w:rPr>
                                      <w:t>2019年预算数为246286元，主要用于：局机关及参公管理事业单位基本医疗保险缴费支出。</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仿宋_GB2312" w:hAnsi="宋体" w:eastAsia="仿宋_GB2312" w:cs="宋体"/>
                                        <w:b/>
                                        <w:bCs/>
                                        <w:color w:val="333333"/>
                                        <w:kern w:val="0"/>
                                        <w:sz w:val="28"/>
                                      </w:rPr>
                                      <w:t>5.医疗卫生与计划生育（210）行政事业单位医疗（11）公务员医疗补助（03）</w:t>
                                    </w:r>
                                    <w:r>
                                      <w:rPr>
                                        <w:rFonts w:hint="eastAsia" w:ascii="仿宋_GB2312" w:hAnsi="宋体" w:eastAsia="仿宋_GB2312" w:cs="宋体"/>
                                        <w:color w:val="333333"/>
                                        <w:kern w:val="0"/>
                                        <w:sz w:val="28"/>
                                        <w:szCs w:val="28"/>
                                      </w:rPr>
                                      <w:t>2019年预算数为113100元，主要用于：局机关及参公管理事业单位集中缴纳公务员医疗补助支出。</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仿宋_GB2312" w:hAnsi="宋体" w:eastAsia="仿宋_GB2312" w:cs="宋体"/>
                                        <w:b/>
                                        <w:bCs/>
                                        <w:color w:val="333333"/>
                                        <w:kern w:val="0"/>
                                        <w:sz w:val="28"/>
                                      </w:rPr>
                                      <w:t>6.住房保障（221）住房改革支出（02）住房公积金（01）</w:t>
                                    </w:r>
                                    <w:r>
                                      <w:rPr>
                                        <w:rFonts w:hint="eastAsia" w:ascii="仿宋_GB2312" w:hAnsi="宋体" w:eastAsia="仿宋_GB2312" w:cs="宋体"/>
                                        <w:color w:val="333333"/>
                                        <w:kern w:val="0"/>
                                        <w:sz w:val="28"/>
                                        <w:szCs w:val="28"/>
                                      </w:rPr>
                                      <w:t>2019年预算数为520813元，主要用于：部门按人力资源和社会保障部、财政部规定的基本工资和津贴补贴以及规定比例为职工缴纳的住房公积金支出。</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黑体" w:hAnsi="宋体" w:eastAsia="黑体" w:cs="宋体"/>
                                        <w:color w:val="333333"/>
                                        <w:kern w:val="0"/>
                                        <w:sz w:val="28"/>
                                        <w:szCs w:val="28"/>
                                      </w:rPr>
                                      <w:t>六、一般公共预算基本支出情况说明</w:t>
                                    </w:r>
                                    <w:r>
                                      <w:rPr>
                                        <w:rFonts w:hint="eastAsia" w:ascii="黑体" w:hAnsi="宋体" w:eastAsia="黑体" w:cs="宋体"/>
                                        <w:color w:val="333333"/>
                                        <w:kern w:val="0"/>
                                        <w:sz w:val="28"/>
                                        <w:szCs w:val="28"/>
                                      </w:rPr>
                                      <w:br w:type="textWrapping"/>
                                    </w:r>
                                    <w:r>
                                      <w:rPr>
                                        <w:rFonts w:hint="eastAsia" w:ascii="仿宋_GB2312" w:hAnsi="宋体" w:eastAsia="仿宋_GB2312" w:cs="宋体"/>
                                        <w:color w:val="333333"/>
                                        <w:kern w:val="0"/>
                                        <w:sz w:val="28"/>
                                        <w:szCs w:val="28"/>
                                      </w:rPr>
                                      <w:t>　　财政厅2019年一般公共预算基本支出</w:t>
                                    </w:r>
                                    <w:r>
                                      <w:rPr>
                                        <w:rFonts w:ascii="仿宋_GB2312" w:eastAsia="仿宋_GB2312"/>
                                        <w:szCs w:val="32"/>
                                      </w:rPr>
                                      <w:t>5421453</w:t>
                                    </w:r>
                                    <w:r>
                                      <w:rPr>
                                        <w:rFonts w:hint="eastAsia" w:ascii="仿宋_GB2312" w:hAnsi="宋体" w:eastAsia="仿宋_GB2312" w:cs="宋体"/>
                                        <w:color w:val="333333"/>
                                        <w:kern w:val="0"/>
                                        <w:sz w:val="28"/>
                                        <w:szCs w:val="28"/>
                                      </w:rPr>
                                      <w:t>元，主要包括：基本工资、津贴补贴、奖金、社会保险缴费等支出。</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公用经费</w:t>
                                    </w:r>
                                    <w:r>
                                      <w:rPr>
                                        <w:rFonts w:ascii="仿宋_GB2312" w:eastAsia="仿宋_GB2312"/>
                                        <w:szCs w:val="32"/>
                                      </w:rPr>
                                      <w:t>160720</w:t>
                                    </w:r>
                                    <w:r>
                                      <w:rPr>
                                        <w:rFonts w:hint="eastAsia" w:ascii="仿宋_GB2312" w:hAnsi="宋体" w:eastAsia="仿宋_GB2312" w:cs="宋体"/>
                                        <w:color w:val="333333"/>
                                        <w:kern w:val="0"/>
                                        <w:sz w:val="28"/>
                                        <w:szCs w:val="28"/>
                                      </w:rPr>
                                      <w:t>元，主要包括：办公费、水费、电费、邮电费、印刷费、差旅费、维修（护）费、劳务费等支出。</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黑体" w:hAnsi="宋体" w:eastAsia="黑体" w:cs="宋体"/>
                                        <w:color w:val="333333"/>
                                        <w:kern w:val="0"/>
                                        <w:sz w:val="28"/>
                                        <w:szCs w:val="28"/>
                                      </w:rPr>
                                      <w:t>七、“三公”经费财政拨款预算安排情况说明</w:t>
                                    </w:r>
                                    <w:r>
                                      <w:rPr>
                                        <w:rFonts w:hint="eastAsia" w:ascii="黑体" w:hAnsi="宋体" w:eastAsia="黑体" w:cs="宋体"/>
                                        <w:color w:val="333333"/>
                                        <w:kern w:val="0"/>
                                        <w:sz w:val="28"/>
                                        <w:szCs w:val="28"/>
                                      </w:rPr>
                                      <w:br w:type="textWrapping"/>
                                    </w:r>
                                    <w:r>
                                      <w:rPr>
                                        <w:rFonts w:hint="eastAsia" w:ascii="仿宋_GB2312" w:hAnsi="宋体" w:eastAsia="仿宋_GB2312" w:cs="宋体"/>
                                        <w:color w:val="333333"/>
                                        <w:kern w:val="0"/>
                                        <w:sz w:val="28"/>
                                        <w:szCs w:val="28"/>
                                      </w:rPr>
                                      <w:t>　　林业局2019年“三公”经费财政拨款预算数23200元，其中：公务接待费3200元，公务用车购置及运行维护费20000元。</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楷体_GB2312" w:hAnsi="宋体" w:eastAsia="楷体_GB2312" w:cs="宋体"/>
                                        <w:b/>
                                        <w:bCs/>
                                        <w:color w:val="333333"/>
                                        <w:kern w:val="0"/>
                                        <w:sz w:val="28"/>
                                      </w:rPr>
                                      <w:t>（一）公务接待费</w:t>
                                    </w:r>
                                    <w:r>
                                      <w:rPr>
                                        <w:rFonts w:hint="eastAsia" w:ascii="楷体_GB2312" w:hAnsi="宋体" w:eastAsia="楷体_GB2312" w:cs="宋体"/>
                                        <w:b/>
                                        <w:bCs/>
                                        <w:color w:val="333333"/>
                                        <w:kern w:val="0"/>
                                        <w:sz w:val="28"/>
                                        <w:szCs w:val="28"/>
                                      </w:rPr>
                                      <w:br w:type="textWrapping"/>
                                    </w:r>
                                    <w:r>
                                      <w:rPr>
                                        <w:rFonts w:hint="eastAsia" w:ascii="仿宋_GB2312" w:hAnsi="宋体" w:eastAsia="仿宋_GB2312" w:cs="宋体"/>
                                        <w:color w:val="333333"/>
                                        <w:kern w:val="0"/>
                                        <w:sz w:val="28"/>
                                        <w:szCs w:val="28"/>
                                      </w:rPr>
                                      <w:t>　　2019年公务接待费计划用于执行公务、考察调研、检查指导等公务活动开支的交通费、住宿费、用餐费等。</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楷体_GB2312" w:hAnsi="宋体" w:eastAsia="楷体_GB2312" w:cs="宋体"/>
                                        <w:b/>
                                        <w:bCs/>
                                        <w:color w:val="333333"/>
                                        <w:kern w:val="0"/>
                                        <w:sz w:val="28"/>
                                      </w:rPr>
                                      <w:t>（三）公务用车购置及运行维护费与2017年预算持平。</w:t>
                                    </w:r>
                                    <w:r>
                                      <w:rPr>
                                        <w:rFonts w:hint="eastAsia" w:ascii="楷体_GB2312" w:hAnsi="宋体" w:eastAsia="楷体_GB2312" w:cs="宋体"/>
                                        <w:b/>
                                        <w:bCs/>
                                        <w:color w:val="333333"/>
                                        <w:kern w:val="0"/>
                                        <w:sz w:val="28"/>
                                        <w:szCs w:val="28"/>
                                      </w:rPr>
                                      <w:br w:type="textWrapping"/>
                                    </w:r>
                                    <w:r>
                                      <w:rPr>
                                        <w:rFonts w:hint="eastAsia" w:ascii="仿宋_GB2312" w:hAnsi="宋体" w:eastAsia="仿宋_GB2312" w:cs="宋体"/>
                                        <w:color w:val="333333"/>
                                        <w:kern w:val="0"/>
                                        <w:sz w:val="28"/>
                                        <w:szCs w:val="28"/>
                                      </w:rPr>
                                      <w:t>　　单位现有公务用车9辆，其中：越野车2辆，特种车辆6辆。</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2018年未安排公务用车购置费。</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2018年安排公务用车运行维护费20000元，用于24辆公务用车燃油、过路（桥）、维修、保险等方面支出。</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黑体" w:hAnsi="宋体" w:eastAsia="黑体" w:cs="宋体"/>
                                        <w:color w:val="333333"/>
                                        <w:kern w:val="0"/>
                                        <w:sz w:val="28"/>
                                        <w:szCs w:val="28"/>
                                      </w:rPr>
                                      <w:t>　八、政府性基金预算支出情况说明</w:t>
                                    </w:r>
                                    <w:r>
                                      <w:rPr>
                                        <w:rFonts w:hint="eastAsia" w:ascii="黑体" w:hAnsi="宋体" w:eastAsia="黑体" w:cs="宋体"/>
                                        <w:color w:val="333333"/>
                                        <w:kern w:val="0"/>
                                        <w:sz w:val="28"/>
                                        <w:szCs w:val="28"/>
                                      </w:rPr>
                                      <w:br w:type="textWrapping"/>
                                    </w:r>
                                    <w:r>
                                      <w:rPr>
                                        <w:rFonts w:hint="eastAsia" w:ascii="仿宋_GB2312" w:hAnsi="宋体" w:eastAsia="仿宋_GB2312" w:cs="宋体"/>
                                        <w:color w:val="333333"/>
                                        <w:kern w:val="0"/>
                                        <w:sz w:val="28"/>
                                        <w:szCs w:val="28"/>
                                      </w:rPr>
                                      <w:t>　　2018年没有使用政府性基金预算拨款安排的支出。</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黑体" w:hAnsi="宋体" w:eastAsia="黑体" w:cs="宋体"/>
                                        <w:color w:val="333333"/>
                                        <w:kern w:val="0"/>
                                        <w:sz w:val="28"/>
                                        <w:szCs w:val="28"/>
                                      </w:rPr>
                                      <w:t>九、国有资本经营预算支出情况说明</w:t>
                                    </w:r>
                                    <w:r>
                                      <w:rPr>
                                        <w:rFonts w:hint="eastAsia" w:ascii="黑体" w:hAnsi="宋体" w:eastAsia="黑体" w:cs="宋体"/>
                                        <w:color w:val="333333"/>
                                        <w:kern w:val="0"/>
                                        <w:sz w:val="28"/>
                                        <w:szCs w:val="28"/>
                                      </w:rPr>
                                      <w:br w:type="textWrapping"/>
                                    </w:r>
                                    <w:r>
                                      <w:rPr>
                                        <w:rFonts w:hint="eastAsia" w:ascii="仿宋_GB2312" w:hAnsi="宋体" w:eastAsia="仿宋_GB2312" w:cs="宋体"/>
                                        <w:color w:val="333333"/>
                                        <w:kern w:val="0"/>
                                        <w:sz w:val="28"/>
                                        <w:szCs w:val="28"/>
                                      </w:rPr>
                                      <w:t>　　2018年没有使用国有资本经营预算拨款安排的支出。</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黑体" w:hAnsi="宋体" w:eastAsia="黑体" w:cs="宋体"/>
                                        <w:color w:val="333333"/>
                                        <w:kern w:val="0"/>
                                        <w:sz w:val="28"/>
                                        <w:szCs w:val="28"/>
                                      </w:rPr>
                                      <w:t>十、其他重要事项的情况说明</w:t>
                                    </w:r>
                                    <w:r>
                                      <w:rPr>
                                        <w:rFonts w:hint="eastAsia" w:ascii="黑体" w:hAnsi="宋体" w:eastAsia="黑体" w:cs="宋体"/>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楷体_GB2312" w:hAnsi="宋体" w:eastAsia="楷体_GB2312" w:cs="宋体"/>
                                        <w:b/>
                                        <w:bCs/>
                                        <w:color w:val="333333"/>
                                        <w:kern w:val="0"/>
                                        <w:sz w:val="28"/>
                                      </w:rPr>
                                      <w:t>（一）机关运行经费。</w:t>
                                    </w:r>
                                    <w:r>
                                      <w:rPr>
                                        <w:rFonts w:hint="eastAsia" w:ascii="楷体_GB2312" w:hAnsi="宋体" w:eastAsia="楷体_GB2312" w:cs="宋体"/>
                                        <w:b/>
                                        <w:bCs/>
                                        <w:color w:val="333333"/>
                                        <w:kern w:val="0"/>
                                        <w:sz w:val="28"/>
                                        <w:szCs w:val="28"/>
                                      </w:rPr>
                                      <w:br w:type="textWrapping"/>
                                    </w:r>
                                    <w:r>
                                      <w:rPr>
                                        <w:rFonts w:hint="eastAsia" w:ascii="仿宋_GB2312" w:hAnsi="宋体" w:eastAsia="仿宋_GB2312" w:cs="宋体"/>
                                        <w:color w:val="333333"/>
                                        <w:kern w:val="0"/>
                                        <w:sz w:val="28"/>
                                        <w:szCs w:val="28"/>
                                      </w:rPr>
                                      <w:t>　　2018年，林业局机关运行经费财政拨款预算为</w:t>
                                    </w:r>
                                    <w:r>
                                      <w:rPr>
                                        <w:rFonts w:ascii="仿宋_GB2312" w:eastAsia="仿宋_GB2312"/>
                                        <w:szCs w:val="32"/>
                                      </w:rPr>
                                      <w:t>5651713</w:t>
                                    </w:r>
                                    <w:r>
                                      <w:rPr>
                                        <w:rFonts w:hint="eastAsia" w:ascii="仿宋_GB2312" w:hAnsi="宋体" w:eastAsia="仿宋_GB2312" w:cs="宋体"/>
                                        <w:color w:val="333333"/>
                                        <w:kern w:val="0"/>
                                        <w:sz w:val="28"/>
                                        <w:szCs w:val="28"/>
                                      </w:rPr>
                                      <w:t>元。</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楷体_GB2312" w:hAnsi="宋体" w:eastAsia="楷体_GB2312" w:cs="宋体"/>
                                        <w:b/>
                                        <w:bCs/>
                                        <w:color w:val="333333"/>
                                        <w:kern w:val="0"/>
                                        <w:sz w:val="28"/>
                                      </w:rPr>
                                      <w:t>（二）政府采购情况。</w:t>
                                    </w:r>
                                    <w:r>
                                      <w:rPr>
                                        <w:rFonts w:hint="eastAsia" w:ascii="楷体_GB2312" w:hAnsi="宋体" w:eastAsia="楷体_GB2312" w:cs="宋体"/>
                                        <w:b/>
                                        <w:bCs/>
                                        <w:color w:val="333333"/>
                                        <w:kern w:val="0"/>
                                        <w:sz w:val="28"/>
                                        <w:szCs w:val="28"/>
                                      </w:rPr>
                                      <w:br w:type="textWrapping"/>
                                    </w:r>
                                    <w:r>
                                      <w:rPr>
                                        <w:rFonts w:hint="eastAsia" w:ascii="仿宋_GB2312" w:hAnsi="宋体" w:eastAsia="仿宋_GB2312" w:cs="宋体"/>
                                        <w:color w:val="333333"/>
                                        <w:kern w:val="0"/>
                                        <w:sz w:val="28"/>
                                        <w:szCs w:val="28"/>
                                      </w:rPr>
                                      <w:t>　　无　　</w:t>
                                    </w:r>
                                  </w:p>
                                  <w:p>
                                    <w:pPr>
                                      <w:widowControl/>
                                      <w:spacing w:line="480" w:lineRule="atLeast"/>
                                      <w:ind w:firstLine="621" w:firstLineChars="221"/>
                                      <w:rPr>
                                        <w:rFonts w:ascii="仿宋_GB2312" w:hAnsi="宋体" w:eastAsia="仿宋_GB2312" w:cs="宋体"/>
                                        <w:color w:val="333333"/>
                                        <w:kern w:val="0"/>
                                        <w:sz w:val="28"/>
                                        <w:szCs w:val="28"/>
                                      </w:rPr>
                                    </w:pPr>
                                    <w:r>
                                      <w:rPr>
                                        <w:rFonts w:hint="eastAsia" w:ascii="楷体_GB2312" w:hAnsi="宋体" w:eastAsia="楷体_GB2312" w:cs="宋体"/>
                                        <w:b/>
                                        <w:bCs/>
                                        <w:color w:val="333333"/>
                                        <w:kern w:val="0"/>
                                        <w:sz w:val="28"/>
                                      </w:rPr>
                                      <w:t>（三）国有资产占有使用情况。</w:t>
                                    </w:r>
                                    <w:r>
                                      <w:rPr>
                                        <w:rFonts w:hint="eastAsia" w:ascii="楷体_GB2312" w:hAnsi="宋体" w:eastAsia="楷体_GB2312" w:cs="宋体"/>
                                        <w:b/>
                                        <w:bCs/>
                                        <w:color w:val="333333"/>
                                        <w:kern w:val="0"/>
                                        <w:sz w:val="28"/>
                                        <w:szCs w:val="28"/>
                                      </w:rPr>
                                      <w:br w:type="textWrapping"/>
                                    </w:r>
                                    <w:r>
                                      <w:rPr>
                                        <w:rFonts w:hint="eastAsia" w:ascii="仿宋_GB2312" w:hAnsi="宋体" w:eastAsia="仿宋_GB2312" w:cs="宋体"/>
                                        <w:color w:val="333333"/>
                                        <w:kern w:val="0"/>
                                        <w:sz w:val="28"/>
                                        <w:szCs w:val="28"/>
                                      </w:rPr>
                                      <w:t>　　截至2018年底，林业局共有车辆9辆，其中，省部级领导干部用车0辆、定向保障用车3辆、执法执勤用车6辆。单位价值200万元以上大型设备0台（套）。</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2019年部门预算未安排购置车辆及单位价值200万元以上大型设备。</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楷体_GB2312" w:hAnsi="宋体" w:eastAsia="楷体_GB2312" w:cs="宋体"/>
                                        <w:b/>
                                        <w:bCs/>
                                        <w:color w:val="333333"/>
                                        <w:kern w:val="0"/>
                                        <w:sz w:val="28"/>
                                      </w:rPr>
                                      <w:t>（四）绩效目标设置情况。</w:t>
                                    </w:r>
                                    <w:r>
                                      <w:rPr>
                                        <w:rFonts w:hint="eastAsia" w:ascii="楷体_GB2312" w:hAnsi="宋体" w:eastAsia="楷体_GB2312" w:cs="宋体"/>
                                        <w:b/>
                                        <w:bCs/>
                                        <w:color w:val="333333"/>
                                        <w:kern w:val="0"/>
                                        <w:sz w:val="28"/>
                                        <w:szCs w:val="28"/>
                                      </w:rPr>
                                      <w:br w:type="textWrapping"/>
                                    </w:r>
                                    <w:r>
                                      <w:rPr>
                                        <w:rFonts w:hint="eastAsia" w:ascii="仿宋_GB2312" w:hAnsi="宋体" w:eastAsia="仿宋_GB2312" w:cs="宋体"/>
                                        <w:color w:val="333333"/>
                                        <w:kern w:val="0"/>
                                        <w:sz w:val="28"/>
                                        <w:szCs w:val="28"/>
                                      </w:rPr>
                                      <w:t>　　绩效目标是预算编制的前提和基础，按照“费随事定”的原则，2019年林业局按要求编制了</w:t>
                                    </w:r>
                                    <w:r>
                                      <w:rPr>
                                        <w:rFonts w:hint="eastAsia" w:ascii="仿宋_GB2312" w:hAnsi="宋体" w:eastAsia="仿宋_GB2312" w:cs="宋体"/>
                                        <w:color w:val="333333"/>
                                        <w:kern w:val="0"/>
                                        <w:sz w:val="28"/>
                                        <w:szCs w:val="28"/>
                                        <w:lang w:eastAsia="zh-CN"/>
                                      </w:rPr>
                                      <w:t>整体支出</w:t>
                                    </w:r>
                                    <w:r>
                                      <w:rPr>
                                        <w:rFonts w:hint="eastAsia" w:ascii="仿宋_GB2312" w:hAnsi="宋体" w:eastAsia="仿宋_GB2312" w:cs="宋体"/>
                                        <w:color w:val="333333"/>
                                        <w:kern w:val="0"/>
                                        <w:sz w:val="28"/>
                                        <w:szCs w:val="28"/>
                                      </w:rPr>
                                      <w:t>绩效目标</w:t>
                                    </w:r>
                                    <w:r>
                                      <w:rPr>
                                        <w:rFonts w:hint="eastAsia" w:ascii="仿宋_GB2312" w:hAnsi="宋体" w:eastAsia="仿宋_GB2312" w:cs="宋体"/>
                                        <w:color w:val="333333"/>
                                        <w:kern w:val="0"/>
                                        <w:sz w:val="28"/>
                                        <w:szCs w:val="28"/>
                                        <w:lang w:val="en-US" w:eastAsia="zh-CN"/>
                                      </w:rPr>
                                      <w:t>571.97万</w:t>
                                    </w:r>
                                    <w:r>
                                      <w:rPr>
                                        <w:rFonts w:hint="eastAsia" w:ascii="仿宋_GB2312" w:hAnsi="宋体" w:eastAsia="仿宋_GB2312" w:cs="宋体"/>
                                        <w:color w:val="333333"/>
                                        <w:kern w:val="0"/>
                                        <w:sz w:val="28"/>
                                        <w:szCs w:val="28"/>
                                      </w:rPr>
                                      <w:t>,从项目完成、项目效益、满意度等方面设置了绩效指标，综合反映项目预期完成的数量、成本、时效、质量，预期达到的社会效益、经济效益、生态效益、可持续影响以及服务对象满意度等情况。</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黑体" w:hAnsi="宋体" w:eastAsia="黑体" w:cs="宋体"/>
                                        <w:color w:val="333333"/>
                                        <w:kern w:val="0"/>
                                        <w:sz w:val="28"/>
                                        <w:szCs w:val="28"/>
                                      </w:rPr>
                                      <w:t>十一、名词解释</w:t>
                                    </w:r>
                                    <w:r>
                                      <w:rPr>
                                        <w:rFonts w:hint="eastAsia" w:ascii="黑体" w:hAnsi="宋体" w:eastAsia="黑体" w:cs="宋体"/>
                                        <w:color w:val="333333"/>
                                        <w:kern w:val="0"/>
                                        <w:sz w:val="28"/>
                                        <w:szCs w:val="28"/>
                                      </w:rPr>
                                      <w:br w:type="textWrapping"/>
                                    </w:r>
                                    <w:r>
                                      <w:rPr>
                                        <w:rFonts w:hint="eastAsia" w:ascii="仿宋_GB2312" w:hAnsi="宋体" w:eastAsia="仿宋_GB2312" w:cs="宋体"/>
                                        <w:color w:val="333333"/>
                                        <w:kern w:val="0"/>
                                        <w:sz w:val="28"/>
                                        <w:szCs w:val="28"/>
                                      </w:rPr>
                                      <w:t>　　1.一般公共预算拨款收入：指省级财政当年拨付的资金。</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2.上年结转：指以前年度尚未完成，结转到本年仍按原规定用途继续使用的资金。</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3.一般公共服务（类）财政事务（款）行政运行（项）：指厅机关及参公管理事业单位用于保障机构正常运行、开展日常工作的基本支出。</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4.一般公共服务（类）财政事务（款）一般行政管理事务（项）：指厅机关及参公管理事业单位开展财政综合业务、预决算编审等未单独设置项级科目的专门性财政管理工作的项目支出。</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5.一般公共服务（类）财政事务（款）机关服务（项）：指后勤服务中心、信息中心为本部门各单位正常运行提供服务的支出。</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6.一般公共服务（类）财政事务（款）信息化建设（项）：指财政厅用于财政信息化建设等方面的项目支出。</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7.一般公共服务（类）财政事务（款）事业运行（项）：指四川省财政厅后勤中心、四川省财政科学研究所、四川省财政信息中心、四川省政府和资本合作中心、四川省财政厅政府债券发行管理中心、四川省注册会计师事务中心、四川省资产评估事务中心用于保障机构正常运行、开展日常工作的基本支出。</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8.一般公共服务（类）财政事务（款）其他财政事务支出（项）：指财政厅除上述项目外，开展其他财政事务方面专门性工作任务的项目支出，如全省会计专业技术资格考试考务费等。</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9.教育（类）进修及培训（款）培训支出（项）：指为配合财政业务开展，用于部门内部在职人员参加相关财政财务工作外部培训的经费支出。</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10.社会保障和就业（类）行政事业单位离退休（款）事业单位离退休（项）：指财政科学研究所的离退休人员的支出。</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11.社会保障和就业（类）行政事业单位离退休（款）未归口管理的行政单位离退休（项）：指厅机关离退休人员的支出。</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12.社会保障和就业（类）行政事业单位离退休（款）机关事业单位基本养老保险缴费支出（项）：指部门实施养老保险制度由单位缴纳的养老保险费的支出。</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13.社会保障和就业（类）行政事业单位离退休（款）机关事业单位职业年金缴费支出（项）：指部门实施养老保险制度由单位缴纳的职业年金的支出。</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14.社会保障和就业（类）其他社会保障和就业（款）其他社会保障和就业支出（项）：指除上述项目外，其他用于行政事业单位离退休方面的支出。</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15.医疗卫生与计划生育（类）行政事业单位医疗（款）行政单位医疗（项）：指厅机关及参公管理事业单位用于缴纳单位基本医疗保险支出。</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16.医疗卫生与计划生育（类）行政事业单位医疗（款）事业单位医疗（项）：指事业单位用于缴纳单位基本医疗保险支出。</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17.医疗卫生与计划生育（类）行政事业单位医疗（款）公务员医疗补助（项）：指厅机关及参公管理事业单位用于集中缴纳公务员医疗补助支出。</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18.住房保障（类）住房改革支出（款）住房公积金（项）：指按照《住房公积金管理条例》的规定，由单位及其在职职工缴存的长期住房储金。</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19.住房保障（类）住房改革支出（款）购房补贴（项）：指按房改政策规定的标准，向符合条件职工发放的用于购买住房的补贴。</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20.基本支出：指为保证机构正常运转，完成日常工作任务而发生的人员支出和公用支出。</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21.项目支出：指在基本支出之外为完成特定行政任务和事业发展目标所发生的支出。</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22.“三公”经费：纳入财政厅预决算管理的“三公”经费，是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23.机关运行经费：为保障行政单位（包含参照公务员法管理的事业单位）运行用于购买货物和服务的各项资金。包括办公及办公费、水费、电费、印刷费、邮电费、差旅费、会议费等费用开支。</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附件：表1.部门收支总表</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表1-1.部门收入总表</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表1-2.部门支出总表</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表2.财政拨款收支预算总表</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表2-1.财政拨款支出预算表（政府经济分类科目）</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表3.一般公共预算支出预算表</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表3-1.一般公共预算基本支出预算表</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表3-2.一般公共预算项目支出预算表</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表3-3.一般公共预算“三公”经费支出预算表</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表4.政府性基金支出预算表</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表4-1.政府性基金预算“三公”经费支出预算表</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表5.国有资本经营预算支出预算表</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表6.2018年省级部门预算项目绩效目标</w:t>
                                    </w:r>
                                  </w:p>
                                </w:tc>
                              </w:tr>
                            </w:tbl>
                            <w:p>
                              <w:pPr>
                                <w:widowControl/>
                                <w:spacing w:after="240"/>
                                <w:jc w:val="center"/>
                                <w:rPr>
                                  <w:rFonts w:ascii="宋体" w:hAnsi="宋体" w:eastAsia="宋体" w:cs="宋体"/>
                                  <w:kern w:val="0"/>
                                  <w:szCs w:val="21"/>
                                </w:rPr>
                              </w:pPr>
                            </w:p>
                          </w:tc>
                        </w:tr>
                        <w:tr>
                          <w:tblPrEx>
                            <w:tblLayout w:type="fixed"/>
                            <w:tblCellMar>
                              <w:top w:w="0" w:type="dxa"/>
                              <w:left w:w="0" w:type="dxa"/>
                              <w:bottom w:w="0" w:type="dxa"/>
                              <w:right w:w="0" w:type="dxa"/>
                            </w:tblCellMar>
                          </w:tblPrEx>
                          <w:trPr>
                            <w:tblCellSpacing w:w="0" w:type="dxa"/>
                          </w:trPr>
                          <w:tc>
                            <w:tcPr>
                              <w:tcW w:w="10590" w:type="dxa"/>
                              <w:shd w:val="clear" w:color="auto" w:fill="FFFFFF"/>
                            </w:tcPr>
                            <w:tbl>
                              <w:tblPr>
                                <w:tblStyle w:val="6"/>
                                <w:tblW w:w="8685" w:type="dxa"/>
                                <w:jc w:val="center"/>
                                <w:tblCellSpacing w:w="0" w:type="dxa"/>
                                <w:tblInd w:w="0" w:type="dxa"/>
                                <w:tblLayout w:type="fixed"/>
                                <w:tblCellMar>
                                  <w:top w:w="0" w:type="dxa"/>
                                  <w:left w:w="0" w:type="dxa"/>
                                  <w:bottom w:w="0" w:type="dxa"/>
                                  <w:right w:w="0" w:type="dxa"/>
                                </w:tblCellMar>
                              </w:tblPr>
                              <w:tblGrid>
                                <w:gridCol w:w="1200"/>
                                <w:gridCol w:w="7485"/>
                              </w:tblGrid>
                              <w:tr>
                                <w:tblPrEx>
                                  <w:tblLayout w:type="fixed"/>
                                  <w:tblCellMar>
                                    <w:top w:w="0" w:type="dxa"/>
                                    <w:left w:w="0" w:type="dxa"/>
                                    <w:bottom w:w="0" w:type="dxa"/>
                                    <w:right w:w="0" w:type="dxa"/>
                                  </w:tblCellMar>
                                </w:tblPrEx>
                                <w:trPr>
                                  <w:tblCellSpacing w:w="0" w:type="dxa"/>
                                  <w:jc w:val="center"/>
                                </w:trPr>
                                <w:tc>
                                  <w:tcPr>
                                    <w:tcW w:w="1200" w:type="dxa"/>
                                  </w:tcPr>
                                  <w:p>
                                    <w:pPr>
                                      <w:widowControl/>
                                      <w:spacing w:line="390" w:lineRule="atLeast"/>
                                      <w:ind w:firstLine="60"/>
                                      <w:jc w:val="right"/>
                                      <w:rPr>
                                        <w:rFonts w:ascii="宋体" w:hAnsi="宋体" w:eastAsia="宋体" w:cs="宋体"/>
                                        <w:color w:val="333333"/>
                                        <w:kern w:val="0"/>
                                        <w:szCs w:val="21"/>
                                      </w:rPr>
                                    </w:pPr>
                                    <w:r>
                                      <w:rPr>
                                        <w:rFonts w:hint="eastAsia" w:ascii="宋体" w:hAnsi="宋体" w:eastAsia="宋体" w:cs="宋体"/>
                                        <w:color w:val="333333"/>
                                        <w:kern w:val="0"/>
                                        <w:szCs w:val="21"/>
                                      </w:rPr>
                                      <w:t>相关附件：</w:t>
                                    </w:r>
                                  </w:p>
                                </w:tc>
                                <w:tc>
                                  <w:tcPr>
                                    <w:tcW w:w="7485" w:type="dxa"/>
                                    <w:vAlign w:val="center"/>
                                  </w:tcPr>
                                  <w:tbl>
                                    <w:tblPr>
                                      <w:tblStyle w:val="6"/>
                                      <w:tblW w:w="7485" w:type="dxa"/>
                                      <w:tblCellSpacing w:w="0" w:type="dxa"/>
                                      <w:tblInd w:w="0" w:type="dxa"/>
                                      <w:tblLayout w:type="fixed"/>
                                      <w:tblCellMar>
                                        <w:top w:w="0" w:type="dxa"/>
                                        <w:left w:w="0" w:type="dxa"/>
                                        <w:bottom w:w="0" w:type="dxa"/>
                                        <w:right w:w="0" w:type="dxa"/>
                                      </w:tblCellMar>
                                    </w:tblPr>
                                    <w:tblGrid>
                                      <w:gridCol w:w="7485"/>
                                    </w:tblGrid>
                                    <w:tr>
                                      <w:tblPrEx>
                                        <w:tblLayout w:type="fixed"/>
                                        <w:tblCellMar>
                                          <w:top w:w="0" w:type="dxa"/>
                                          <w:left w:w="0" w:type="dxa"/>
                                          <w:bottom w:w="0" w:type="dxa"/>
                                          <w:right w:w="0" w:type="dxa"/>
                                        </w:tblCellMar>
                                      </w:tblPrEx>
                                      <w:trPr>
                                        <w:tblCellSpacing w:w="0" w:type="dxa"/>
                                      </w:trPr>
                                      <w:tc>
                                        <w:tcPr>
                                          <w:tcW w:w="7485" w:type="dxa"/>
                                          <w:vAlign w:val="center"/>
                                        </w:tcPr>
                                        <w:p>
                                          <w:pPr>
                                            <w:widowControl/>
                                            <w:jc w:val="left"/>
                                            <w:rPr>
                                              <w:rFonts w:ascii="宋体" w:hAnsi="宋体" w:eastAsia="宋体" w:cs="宋体"/>
                                              <w:kern w:val="0"/>
                                              <w:szCs w:val="21"/>
                                            </w:rPr>
                                          </w:pPr>
                                          <w:r>
                                            <w:rPr>
                                              <w:rFonts w:ascii="宋体" w:hAnsi="宋体" w:eastAsia="宋体" w:cs="宋体"/>
                                              <w:color w:val="0000FF"/>
                                              <w:kern w:val="0"/>
                                            </w:rPr>
                                            <w:t xml:space="preserve">财政厅.xls </w:t>
                                          </w:r>
                                        </w:p>
                                      </w:tc>
                                    </w:tr>
                                  </w:tbl>
                                  <w:p>
                                    <w:pPr>
                                      <w:widowControl/>
                                      <w:spacing w:line="390" w:lineRule="atLeast"/>
                                      <w:ind w:firstLine="60"/>
                                      <w:jc w:val="left"/>
                                      <w:rPr>
                                        <w:rFonts w:ascii="宋体" w:hAnsi="宋体" w:eastAsia="宋体" w:cs="宋体"/>
                                        <w:color w:val="333333"/>
                                        <w:kern w:val="0"/>
                                        <w:szCs w:val="21"/>
                                      </w:rPr>
                                    </w:pPr>
                                  </w:p>
                                </w:tc>
                              </w:tr>
                            </w:tbl>
                            <w:p>
                              <w:pPr>
                                <w:widowControl/>
                                <w:spacing w:after="240"/>
                                <w:jc w:val="center"/>
                                <w:rPr>
                                  <w:rFonts w:ascii="宋体" w:hAnsi="宋体" w:eastAsia="宋体" w:cs="宋体"/>
                                  <w:kern w:val="0"/>
                                  <w:szCs w:val="21"/>
                                </w:rPr>
                              </w:pPr>
                            </w:p>
                          </w:tc>
                        </w:tr>
                      </w:tbl>
                      <w:p>
                        <w:pPr>
                          <w:widowControl/>
                          <w:jc w:val="left"/>
                          <w:rPr>
                            <w:rFonts w:ascii="宋体" w:hAnsi="宋体" w:eastAsia="宋体" w:cs="宋体"/>
                            <w:kern w:val="0"/>
                            <w:szCs w:val="21"/>
                          </w:rPr>
                        </w:pPr>
                      </w:p>
                    </w:tc>
                    <w:tc>
                      <w:tcPr>
                        <w:tcW w:w="1350" w:type="dxa"/>
                        <w:vAlign w:val="center"/>
                      </w:tcPr>
                      <w:p>
                        <w:pPr>
                          <w:widowControl/>
                          <w:jc w:val="left"/>
                          <w:rPr>
                            <w:rFonts w:ascii="宋体" w:hAnsi="宋体" w:eastAsia="宋体" w:cs="宋体"/>
                            <w:kern w:val="0"/>
                            <w:szCs w:val="21"/>
                          </w:rPr>
                        </w:pPr>
                        <w:r>
                          <w:rPr>
                            <w:rFonts w:ascii="宋体" w:hAnsi="宋体" w:eastAsia="宋体" w:cs="宋体"/>
                            <w:kern w:val="0"/>
                            <w:szCs w:val="21"/>
                          </w:rPr>
                          <w:t> </w:t>
                        </w:r>
                      </w:p>
                    </w:tc>
                  </w:tr>
                  <w:tr>
                    <w:tblPrEx>
                      <w:tblLayout w:type="fixed"/>
                      <w:tblCellMar>
                        <w:top w:w="0" w:type="dxa"/>
                        <w:left w:w="0" w:type="dxa"/>
                        <w:bottom w:w="0" w:type="dxa"/>
                        <w:right w:w="0" w:type="dxa"/>
                      </w:tblCellMar>
                    </w:tblPrEx>
                    <w:trPr>
                      <w:trHeight w:val="450" w:hRule="atLeast"/>
                      <w:tblCellSpacing w:w="0" w:type="dxa"/>
                    </w:trPr>
                    <w:tc>
                      <w:tcPr>
                        <w:tcW w:w="12000" w:type="dxa"/>
                        <w:gridSpan w:val="2"/>
                        <w:tcMar>
                          <w:top w:w="0" w:type="dxa"/>
                          <w:left w:w="0" w:type="dxa"/>
                          <w:bottom w:w="0" w:type="dxa"/>
                          <w:right w:w="1950" w:type="dxa"/>
                        </w:tcMar>
                        <w:vAlign w:val="center"/>
                      </w:tcPr>
                      <w:tbl>
                        <w:tblPr>
                          <w:tblStyle w:val="6"/>
                          <w:tblW w:w="10050" w:type="dxa"/>
                          <w:jc w:val="right"/>
                          <w:tblCellSpacing w:w="0" w:type="dxa"/>
                          <w:tblInd w:w="0" w:type="dxa"/>
                          <w:tblLayout w:type="fixed"/>
                          <w:tblCellMar>
                            <w:top w:w="0" w:type="dxa"/>
                            <w:left w:w="0" w:type="dxa"/>
                            <w:bottom w:w="0" w:type="dxa"/>
                            <w:right w:w="0" w:type="dxa"/>
                          </w:tblCellMar>
                        </w:tblPr>
                        <w:tblGrid>
                          <w:gridCol w:w="10050"/>
                        </w:tblGrid>
                        <w:tr>
                          <w:tblPrEx>
                            <w:tblLayout w:type="fixed"/>
                            <w:tblCellMar>
                              <w:top w:w="0" w:type="dxa"/>
                              <w:left w:w="0" w:type="dxa"/>
                              <w:bottom w:w="0" w:type="dxa"/>
                              <w:right w:w="0" w:type="dxa"/>
                            </w:tblCellMar>
                          </w:tblPrEx>
                          <w:trPr>
                            <w:tblCellSpacing w:w="0" w:type="dxa"/>
                            <w:jc w:val="right"/>
                          </w:trPr>
                          <w:tc>
                            <w:tcPr>
                              <w:tcW w:w="10050" w:type="dxa"/>
                              <w:vAlign w:val="center"/>
                            </w:tcPr>
                            <w:p>
                              <w:pPr>
                                <w:widowControl/>
                                <w:jc w:val="right"/>
                                <w:rPr>
                                  <w:rFonts w:ascii="宋体" w:hAnsi="宋体" w:eastAsia="宋体" w:cs="宋体"/>
                                  <w:kern w:val="0"/>
                                  <w:szCs w:val="21"/>
                                </w:rPr>
                              </w:pPr>
                              <w:r>
                                <w:rPr>
                                  <w:rFonts w:ascii="宋体" w:hAnsi="宋体" w:eastAsia="宋体" w:cs="宋体"/>
                                  <w:kern w:val="0"/>
                                  <w:szCs w:val="21"/>
                                </w:rPr>
                                <w:t>【</w:t>
                              </w:r>
                              <w:r>
                                <w:rPr>
                                  <w:rFonts w:ascii="宋体" w:hAnsi="宋体" w:eastAsia="宋体" w:cs="宋体"/>
                                  <w:color w:val="000000"/>
                                  <w:kern w:val="0"/>
                                  <w:szCs w:val="21"/>
                                </w:rPr>
                                <w:t>关闭窗口</w:t>
                              </w:r>
                              <w:r>
                                <w:rPr>
                                  <w:rFonts w:ascii="宋体" w:hAnsi="宋体" w:eastAsia="宋体" w:cs="宋体"/>
                                  <w:kern w:val="0"/>
                                  <w:szCs w:val="21"/>
                                </w:rPr>
                                <w:t xml:space="preserve">】 </w:t>
                              </w:r>
                            </w:p>
                          </w:tc>
                        </w:tr>
                      </w:tbl>
                      <w:p>
                        <w:pPr>
                          <w:widowControl/>
                          <w:jc w:val="right"/>
                          <w:rPr>
                            <w:rFonts w:ascii="宋体" w:hAnsi="宋体" w:eastAsia="宋体" w:cs="宋体"/>
                            <w:kern w:val="0"/>
                            <w:szCs w:val="21"/>
                          </w:rPr>
                        </w:pPr>
                      </w:p>
                    </w:tc>
                  </w:tr>
                </w:tbl>
                <w:p>
                  <w:pPr>
                    <w:widowControl/>
                    <w:jc w:val="left"/>
                    <w:rPr>
                      <w:rFonts w:ascii="宋体" w:hAnsi="宋体" w:eastAsia="宋体" w:cs="宋体"/>
                      <w:kern w:val="0"/>
                      <w:szCs w:val="21"/>
                    </w:rPr>
                  </w:pPr>
                </w:p>
              </w:tc>
            </w:tr>
          </w:tbl>
          <w:p>
            <w:pPr>
              <w:widowControl/>
              <w:jc w:val="left"/>
              <w:rPr>
                <w:rFonts w:ascii="宋体" w:hAnsi="宋体" w:eastAsia="宋体" w:cs="宋体"/>
                <w:kern w:val="0"/>
                <w:szCs w:val="21"/>
              </w:rPr>
            </w:pPr>
          </w:p>
        </w:tc>
      </w:tr>
      <w:tr>
        <w:tblPrEx>
          <w:tblLayout w:type="fixed"/>
          <w:tblCellMar>
            <w:top w:w="0" w:type="dxa"/>
            <w:left w:w="0" w:type="dxa"/>
            <w:bottom w:w="0" w:type="dxa"/>
            <w:right w:w="0" w:type="dxa"/>
          </w:tblCellMar>
        </w:tblPrEx>
        <w:trPr>
          <w:trHeight w:val="75" w:hRule="atLeast"/>
          <w:tblCellSpacing w:w="0" w:type="dxa"/>
          <w:jc w:val="center"/>
        </w:trPr>
        <w:tc>
          <w:tcPr>
            <w:tcW w:w="12000" w:type="dxa"/>
            <w:vAlign w:val="center"/>
          </w:tcPr>
          <w:p>
            <w:pPr>
              <w:widowControl/>
              <w:jc w:val="left"/>
              <w:rPr>
                <w:rFonts w:ascii="宋体" w:hAnsi="宋体" w:eastAsia="宋体" w:cs="宋体"/>
                <w:kern w:val="0"/>
                <w:sz w:val="8"/>
                <w:szCs w:val="21"/>
              </w:rPr>
            </w:pPr>
          </w:p>
        </w:tc>
      </w:tr>
    </w:tbl>
    <w:p/>
    <w:sectPr>
      <w:headerReference r:id="rId5" w:type="first"/>
      <w:footerReference r:id="rId8" w:type="first"/>
      <w:headerReference r:id="rId3" w:type="default"/>
      <w:footerReference r:id="rId6" w:type="default"/>
      <w:headerReference r:id="rId4" w:type="even"/>
      <w:footerReference r:id="rId7" w:type="even"/>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楷体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swiss"/>
    <w:pitch w:val="default"/>
    <w:sig w:usb0="80000287" w:usb1="280F3C52" w:usb2="00000016" w:usb3="00000000" w:csb0="0004001F"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val="1"/>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D04CCC"/>
    <w:rsid w:val="003E394D"/>
    <w:rsid w:val="0053535C"/>
    <w:rsid w:val="005C5331"/>
    <w:rsid w:val="0061675F"/>
    <w:rsid w:val="006F30F6"/>
    <w:rsid w:val="00735E00"/>
    <w:rsid w:val="0079144A"/>
    <w:rsid w:val="008E7FCF"/>
    <w:rsid w:val="00B31082"/>
    <w:rsid w:val="00D04CCC"/>
    <w:rsid w:val="00D21EF0"/>
    <w:rsid w:val="4B933156"/>
    <w:rsid w:val="69326287"/>
  </w:rsids>
  <m:mathPr>
    <m:lMargin m:val="0"/>
    <m:mathFont m:val="Cambria Math"/>
    <m:rMargin m:val="0"/>
    <m:wrapIndent m:val="1440"/>
    <m:brkBin m:val="before"/>
    <m:brkBinSub m:val="--"/>
    <m:defJc m:val="centerGroup"/>
    <m:intLim m:val="subSup"/>
    <m:naryLim m:val="undOvr"/>
    <m:smallFrac m:val="0"/>
    <m:dispDef/>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4">
    <w:name w:val="Default Paragraph Font"/>
    <w:unhideWhenUsed/>
    <w:qFormat/>
    <w:uiPriority w:val="1"/>
  </w:style>
  <w:style w:type="table" w:default="1" w:styleId="6">
    <w:name w:val="Normal Table"/>
    <w:unhideWhenUsed/>
    <w:qFormat/>
    <w:uiPriority w:val="99"/>
    <w:tblPr>
      <w:tblLayout w:type="fixed"/>
      <w:tblCellMar>
        <w:top w:w="0" w:type="dxa"/>
        <w:left w:w="108" w:type="dxa"/>
        <w:bottom w:w="0" w:type="dxa"/>
        <w:right w:w="108" w:type="dxa"/>
      </w:tblCellMar>
    </w:tblPr>
  </w:style>
  <w:style w:type="paragraph" w:styleId="2">
    <w:name w:val="footer"/>
    <w:basedOn w:val="1"/>
    <w:link w:val="9"/>
    <w:unhideWhenUsed/>
    <w:qFormat/>
    <w:uiPriority w:val="99"/>
    <w:pPr>
      <w:tabs>
        <w:tab w:val="center" w:pos="4153"/>
        <w:tab w:val="right" w:pos="8306"/>
      </w:tabs>
      <w:snapToGrid w:val="0"/>
      <w:jc w:val="left"/>
    </w:pPr>
    <w:rPr>
      <w:sz w:val="18"/>
      <w:szCs w:val="18"/>
    </w:rPr>
  </w:style>
  <w:style w:type="paragraph" w:styleId="3">
    <w:name w:val="header"/>
    <w:basedOn w:val="1"/>
    <w:link w:val="8"/>
    <w:unhideWhenUsed/>
    <w:uiPriority w:val="99"/>
    <w:pPr>
      <w:pBdr>
        <w:bottom w:val="single" w:color="auto" w:sz="6" w:space="1"/>
      </w:pBdr>
      <w:tabs>
        <w:tab w:val="center" w:pos="4153"/>
        <w:tab w:val="right" w:pos="8306"/>
      </w:tabs>
      <w:snapToGrid w:val="0"/>
      <w:jc w:val="center"/>
    </w:pPr>
    <w:rPr>
      <w:sz w:val="18"/>
      <w:szCs w:val="18"/>
    </w:rPr>
  </w:style>
  <w:style w:type="character" w:styleId="5">
    <w:name w:val="Strong"/>
    <w:basedOn w:val="4"/>
    <w:qFormat/>
    <w:uiPriority w:val="22"/>
    <w:rPr>
      <w:b/>
      <w:bCs/>
    </w:rPr>
  </w:style>
  <w:style w:type="character" w:customStyle="1" w:styleId="7">
    <w:name w:val="pagetext0031"/>
    <w:basedOn w:val="4"/>
    <w:qFormat/>
    <w:uiPriority w:val="0"/>
    <w:rPr>
      <w:rFonts w:hint="eastAsia" w:ascii="宋体" w:hAnsi="宋体" w:eastAsia="宋体"/>
      <w:color w:val="555555"/>
      <w:sz w:val="21"/>
      <w:szCs w:val="21"/>
    </w:rPr>
  </w:style>
  <w:style w:type="character" w:customStyle="1" w:styleId="8">
    <w:name w:val="页眉 Char"/>
    <w:basedOn w:val="4"/>
    <w:link w:val="3"/>
    <w:semiHidden/>
    <w:uiPriority w:val="99"/>
    <w:rPr>
      <w:sz w:val="18"/>
      <w:szCs w:val="18"/>
    </w:rPr>
  </w:style>
  <w:style w:type="character" w:customStyle="1" w:styleId="9">
    <w:name w:val="页脚 Char"/>
    <w:basedOn w:val="4"/>
    <w:link w:val="2"/>
    <w:semiHidden/>
    <w:qFormat/>
    <w:uiPriority w:val="99"/>
    <w:rPr>
      <w:sz w:val="18"/>
      <w:szCs w:val="18"/>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Lenovo (Beijing) Limited</Company>
  <Pages>1</Pages>
  <Words>708</Words>
  <Characters>4039</Characters>
  <Lines>33</Lines>
  <Paragraphs>9</Paragraphs>
  <TotalTime>0</TotalTime>
  <ScaleCrop>false</ScaleCrop>
  <LinksUpToDate>false</LinksUpToDate>
  <CharactersWithSpaces>4738</CharactersWithSpaces>
  <Application>WPS Office_10.1.0.6260_F1E327BC-269C-435d-A152-05C5408002CA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2018-03-21T07:45:00Z</dcterms:created>
  <dc:creator>Lenovo User</dc:creator>
  <cp:lastModifiedBy>Administrator</cp:lastModifiedBy>
  <cp:lastPrinted>2019-01-23T00:49:00Z</cp:lastPrinted>
  <dcterms:modified xsi:type="dcterms:W3CDTF">2019-01-23T04:05:01Z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2052-10.1.0.6260</vt:lpwstr>
  </property>
</Properties>
</file>