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numPr>
                                        <w:ilvl w:val="0"/>
                                        <w:numId w:val="0"/>
                                      </w:numPr>
                                      <w:spacing w:line="480" w:lineRule="atLeast"/>
                                      <w:jc w:val="center"/>
                                      <w:rPr>
                                        <w:rFonts w:hint="eastAsia" w:ascii="仿宋_GB2312" w:hAnsi="宋体" w:eastAsia="仿宋_GB2312" w:cs="宋体"/>
                                        <w:color w:val="333333"/>
                                        <w:kern w:val="0"/>
                                        <w:sz w:val="44"/>
                                        <w:szCs w:val="44"/>
                                        <w:lang w:val="en-US" w:eastAsia="zh-CN"/>
                                      </w:rPr>
                                    </w:pPr>
                                    <w:r>
                                      <w:rPr>
                                        <w:rFonts w:hint="eastAsia" w:ascii="仿宋_GB2312" w:hAnsi="宋体" w:eastAsia="仿宋_GB2312" w:cs="宋体"/>
                                        <w:color w:val="333333"/>
                                        <w:kern w:val="0"/>
                                        <w:sz w:val="44"/>
                                        <w:szCs w:val="44"/>
                                        <w:lang w:val="en-US" w:eastAsia="zh-CN"/>
                                      </w:rPr>
                                      <w:t>金川县残疾人联合会2019年</w:t>
                                    </w:r>
                                  </w:p>
                                  <w:p>
                                    <w:pPr>
                                      <w:widowControl/>
                                      <w:numPr>
                                        <w:ilvl w:val="0"/>
                                        <w:numId w:val="0"/>
                                      </w:numPr>
                                      <w:spacing w:line="480" w:lineRule="atLeast"/>
                                      <w:jc w:val="center"/>
                                      <w:rPr>
                                        <w:rFonts w:hint="eastAsia" w:ascii="仿宋_GB2312" w:hAnsi="宋体" w:eastAsia="仿宋_GB2312" w:cs="宋体"/>
                                        <w:color w:val="333333"/>
                                        <w:kern w:val="0"/>
                                        <w:sz w:val="44"/>
                                        <w:szCs w:val="44"/>
                                        <w:lang w:val="en-US" w:eastAsia="zh-CN"/>
                                      </w:rPr>
                                    </w:pPr>
                                    <w:r>
                                      <w:rPr>
                                        <w:rFonts w:hint="eastAsia" w:ascii="仿宋_GB2312" w:hAnsi="宋体" w:eastAsia="仿宋_GB2312" w:cs="宋体"/>
                                        <w:color w:val="333333"/>
                                        <w:kern w:val="0"/>
                                        <w:sz w:val="44"/>
                                        <w:szCs w:val="44"/>
                                        <w:lang w:val="en-US" w:eastAsia="zh-CN"/>
                                      </w:rPr>
                                      <w:t>部门预算编制说明</w:t>
                                    </w:r>
                                  </w:p>
                                  <w:p>
                                    <w:pPr>
                                      <w:widowControl/>
                                      <w:numPr>
                                        <w:ilvl w:val="0"/>
                                        <w:numId w:val="0"/>
                                      </w:numPr>
                                      <w:spacing w:line="480" w:lineRule="atLeast"/>
                                      <w:rPr>
                                        <w:rFonts w:hint="eastAsia" w:ascii="仿宋_GB2312" w:hAnsi="宋体" w:eastAsia="仿宋_GB2312" w:cs="宋体"/>
                                        <w:b/>
                                        <w:bCs/>
                                        <w:color w:val="333333"/>
                                        <w:kern w:val="0"/>
                                        <w:sz w:val="28"/>
                                        <w:szCs w:val="28"/>
                                        <w:lang w:val="en-US" w:eastAsia="zh-CN"/>
                                      </w:rPr>
                                    </w:pPr>
                                    <w:r>
                                      <w:rPr>
                                        <w:rFonts w:hint="eastAsia" w:ascii="仿宋_GB2312" w:hAnsi="宋体" w:eastAsia="仿宋_GB2312" w:cs="宋体"/>
                                        <w:b/>
                                        <w:bCs/>
                                        <w:color w:val="333333"/>
                                        <w:kern w:val="0"/>
                                        <w:sz w:val="28"/>
                                        <w:szCs w:val="28"/>
                                        <w:lang w:val="en-US" w:eastAsia="zh-CN"/>
                                      </w:rPr>
                                      <w:t>一、基本职能及主要工作</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（一）残联职能简介。</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1、宣传、贯彻有关残疾人事业的法律、法规、规章和政策； </w:t>
                                    </w:r>
                                  </w:p>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　  2、沟通残疾人与政府之间的联系，宣传残疾人事业，动员社会理解、尊重、关心、帮助残疾人； </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xml:space="preserve">　　3、承担同级人民政府委托的工作，发展残疾人事业； </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xml:space="preserve">　　4、指导、管理本地区各类残疾人群众组织，推进残疾人工作； </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5、办理审核发放残疾证；</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6、维护残疾人的合法权益，处理残疾人生活和工作中遇到的困难，保障残疾人平等地充分参与社会生活，共享社会物质文化成果。</w:t>
                                    </w:r>
                                  </w:p>
                                  <w:p>
                                    <w:pPr>
                                      <w:widowControl/>
                                      <w:numPr>
                                        <w:ilvl w:val="0"/>
                                        <w:numId w:val="0"/>
                                      </w:numPr>
                                      <w:spacing w:line="480" w:lineRule="atLeast"/>
                                      <w:rPr>
                                        <w:rFonts w:hint="eastAsia" w:ascii="仿宋_GB2312" w:hAnsi="宋体" w:eastAsia="仿宋_GB2312" w:cs="宋体"/>
                                        <w:b/>
                                        <w:bCs/>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xml:space="preserve">　  </w:t>
                                    </w:r>
                                    <w:r>
                                      <w:rPr>
                                        <w:rFonts w:hint="eastAsia" w:ascii="仿宋_GB2312" w:hAnsi="宋体" w:eastAsia="仿宋_GB2312" w:cs="宋体"/>
                                        <w:b/>
                                        <w:bCs/>
                                        <w:color w:val="333333"/>
                                        <w:kern w:val="0"/>
                                        <w:sz w:val="28"/>
                                        <w:szCs w:val="28"/>
                                        <w:lang w:val="en-US" w:eastAsia="zh-CN"/>
                                      </w:rPr>
                                      <w:t>（二）残联2018年重点工作.</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一是根据县委、县政府关于2019年全县工作的总体部署，负责基层残疾人组织建设；二是审核办理残疾证；三是发放残疾人各项生活补贴，提高残疾人生活现状；四是扶持残疾人就业创业，拓展残疾人就业渠道；五是推进残疾人开放量服工作；六是承办县政府交办的其他事项。</w:t>
                                    </w:r>
                                  </w:p>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二、部门预算单位构成</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b/>
                                        <w:bCs/>
                                        <w:color w:val="333333"/>
                                        <w:kern w:val="0"/>
                                        <w:sz w:val="28"/>
                                        <w:szCs w:val="28"/>
                                        <w:lang w:val="en-US" w:eastAsia="zh-CN"/>
                                      </w:rPr>
                                      <w:t xml:space="preserve">　  </w:t>
                                    </w:r>
                                    <w:r>
                                      <w:rPr>
                                        <w:rFonts w:hint="eastAsia" w:ascii="仿宋_GB2312" w:hAnsi="宋体" w:eastAsia="仿宋_GB2312" w:cs="宋体"/>
                                        <w:color w:val="333333"/>
                                        <w:kern w:val="0"/>
                                        <w:sz w:val="28"/>
                                        <w:szCs w:val="28"/>
                                        <w:lang w:val="en-US" w:eastAsia="zh-CN"/>
                                      </w:rPr>
                                      <w:t xml:space="preserve">2019年独立编制单位机构数为 1个，财政供养人员编制为6 名，其中行政编制 2名，行政工勤编制0 名，事业编制4 名（其中参照公务员法管理人员编制4 人）；2018年实际财政供养人员 6人，较上年增加 0人（不含退休人员），其中：行政2 人，行政工勤 0人， 事业 4人。 </w:t>
                                    </w:r>
                                  </w:p>
                                  <w:p>
                                    <w:pPr>
                                      <w:widowControl/>
                                      <w:numPr>
                                        <w:ilvl w:val="0"/>
                                        <w:numId w:val="0"/>
                                      </w:numPr>
                                      <w:spacing w:line="480" w:lineRule="atLeast"/>
                                      <w:ind w:firstLine="562"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b/>
                                        <w:bCs/>
                                        <w:color w:val="333333"/>
                                        <w:kern w:val="0"/>
                                        <w:sz w:val="28"/>
                                        <w:szCs w:val="28"/>
                                        <w:lang w:val="en-US" w:eastAsia="zh-CN"/>
                                      </w:rPr>
                                      <w:t>三、收支预算情况说明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按照综合预算的原则，残疾人联合会所有收入和支出均纳入部门预算管理。收入包括：一般公共预算拨款收入、上年结转；支出包括：一般公共服务支出、教育支出、社会保障和就业支出、医疗卫生与计划生育支出、住房保障支出。残疾人联合会2019年收支总预算143.5528万元,比2018年收支预算总数增加2.2695万元，主要是因为工资调整增加。</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（一）收入预算情况。</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残疾人联合会2019年收入预算143.5528万元，其中：一般公共预算拨款收入143.5528万元，占100%。</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（二）支出预算情况。</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财政厅2019年支出预算143.5528万元，其中：基本支出81.1068万元，占56.5%；项目支出62.446万元，占43.5%。</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四、财政拨款收支预算情况说明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残疾人联合会2019年收支总预算143.5528万元,比2018年收支预算总数增加2.2695万元，主要是因为人员工资调整。</w:t>
                                    </w:r>
                                  </w:p>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收入包括：本年一般公共预算拨款收入143.5528万元，支出包括：社会保障和就业支出114.0588万元、医疗卫生与计划生育支出4.2611万元、农林水支出17.83万元、住房保障支出7.4029万元、。</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五、一般公共预算当年拨款情况说明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（一）一般公共预算当年拨款规模变化情况。</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财政厅2019年一般公共预算当年拨款143.5528万元，比2017年预算数增加141.2833万元，主要是人员工资调整。</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（二）一般公共预算当年拨款结构情况。</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社会保障和就业支出114.0588万元，占79.45%；医疗卫生与计划生育支出4.2611万元，占2.97%；农林水支出17.83万元，占12.42%；住房保障支出7.4029万元，占5.16%。</w:t>
                                    </w:r>
                                  </w:p>
                                  <w:p>
                                    <w:pPr>
                                      <w:widowControl/>
                                      <w:numPr>
                                        <w:ilvl w:val="0"/>
                                        <w:numId w:val="0"/>
                                      </w:numPr>
                                      <w:spacing w:line="480" w:lineRule="atLeast"/>
                                      <w:ind w:firstLine="562" w:firstLineChars="200"/>
                                      <w:rPr>
                                        <w:rFonts w:hint="eastAsia" w:ascii="仿宋_GB2312" w:hAnsi="宋体" w:eastAsia="仿宋_GB2312" w:cs="宋体"/>
                                        <w:b/>
                                        <w:bCs/>
                                        <w:color w:val="333333"/>
                                        <w:kern w:val="0"/>
                                        <w:sz w:val="28"/>
                                        <w:szCs w:val="28"/>
                                        <w:lang w:val="en-US" w:eastAsia="zh-CN"/>
                                      </w:rPr>
                                    </w:pPr>
                                    <w:r>
                                      <w:rPr>
                                        <w:rFonts w:hint="eastAsia" w:ascii="仿宋_GB2312" w:hAnsi="宋体" w:eastAsia="仿宋_GB2312" w:cs="宋体"/>
                                        <w:b/>
                                        <w:bCs/>
                                        <w:color w:val="333333"/>
                                        <w:kern w:val="0"/>
                                        <w:sz w:val="28"/>
                                        <w:szCs w:val="28"/>
                                        <w:lang w:val="en-US" w:eastAsia="zh-CN"/>
                                      </w:rPr>
                                      <w:t>（三）一般公共预算当年拨款具体使用情况。</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1.208社会保障和就业(类）05行政事业单位离退休（款）05机关事业单位基本养老保险费（项）：日常人员经费9.4891万元，主要用于：残疾人联合会人员基本养老保险支出。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2.208社会保障和就业(类）05行政事业单位离退休（类）06机关事业单位职业年金缴费支出（项）：日常人员经费3.7956万元，主要用于：残疾人联合会人员职业年金缴费支出。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3.208社会保障和就业(类）11残疾人事业（款）01行政运行（项）: 日常人员经费48.6333万元，主要用于：残疾人联合会人员工资福利支出。公用经费7.5248万元，主要用于：残疾人联合会机构正常运行、开展日常工作的基本支出。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4.208社会保障和就业(类）11残疾人事业（款）05残疾人就业和扶贫　（项）: 日常人员经费0万元，专项性公用经费18万元，主要用于残疾人居家灵活就业及创业就业补助。</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5.208社会保障和就业(类）11残疾人事业（款）99其他残疾人事业支出（项）:日常人员经费0万元，专项性公用经费26.616万元，主要用于村（社）残疾人联系员误工补助18.816，基层残联工作经费7.8。</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6.210医疗卫生与计划生育（类）11行政事业单位医疗（款）01行政单位医疗（项）:医疗保障费用3.3797万元，主要用于：残疾人联合会人员单位医疗保险缴费支出。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7.210医疗卫生与计划生育（类）11行政事业单位医疗（款）03公务员医疗补助（项）:医疗保障费用0.8814万元，主要用于：残疾人联合会人员公务员医疗保险缴费支出。</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8.213农林水支出（类）05扶贫（款）99其他扶贫支出（项）17.83万元，主要用于贫困残疾人生活补贴。</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9.221住房保障支出（类）02住房改革支出（款）01住房公积金（项）：住房公积金7.4029万元，主要用于：残疾人联合会工作人员住房公积金缴费支出。</w:t>
                                    </w:r>
                                  </w:p>
                                  <w:p>
                                    <w:pPr>
                                      <w:widowControl/>
                                      <w:numPr>
                                        <w:ilvl w:val="0"/>
                                        <w:numId w:val="0"/>
                                      </w:numPr>
                                      <w:spacing w:line="480" w:lineRule="atLeast"/>
                                      <w:ind w:firstLine="562" w:firstLineChars="200"/>
                                      <w:rPr>
                                        <w:rFonts w:hint="eastAsia" w:ascii="仿宋_GB2312" w:hAnsi="宋体" w:eastAsia="仿宋_GB2312" w:cs="宋体"/>
                                        <w:b/>
                                        <w:bCs/>
                                        <w:color w:val="333333"/>
                                        <w:kern w:val="0"/>
                                        <w:sz w:val="28"/>
                                        <w:szCs w:val="28"/>
                                        <w:lang w:val="en-US" w:eastAsia="zh-CN"/>
                                      </w:rPr>
                                    </w:pPr>
                                    <w:r>
                                      <w:rPr>
                                        <w:rFonts w:hint="eastAsia" w:ascii="仿宋_GB2312" w:hAnsi="宋体" w:eastAsia="仿宋_GB2312" w:cs="宋体"/>
                                        <w:b/>
                                        <w:bCs/>
                                        <w:color w:val="333333"/>
                                        <w:kern w:val="0"/>
                                        <w:sz w:val="28"/>
                                        <w:szCs w:val="28"/>
                                        <w:lang w:val="en-US" w:eastAsia="zh-CN"/>
                                      </w:rPr>
                                      <w:t>六、一般公共预算基本支出情况说明</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金川县残疾人联合会2018年一般公共预算财政拨款基本支出 81.1068万元，其中：</w:t>
                                    </w:r>
                                  </w:p>
                                  <w:p>
                                    <w:pPr>
                                      <w:widowControl/>
                                      <w:numPr>
                                        <w:ilvl w:val="0"/>
                                        <w:numId w:val="0"/>
                                      </w:numPr>
                                      <w:spacing w:line="480" w:lineRule="atLeast"/>
                                      <w:ind w:firstLine="560" w:firstLineChars="200"/>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人员经费73.582 万元，主要包括：基本工资、津贴补贴、奖金、绩效工资、机关事业单位基本养老保险缴费、职业年金缴费、其他社会保障缴费等支出。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公用经费7.5248万元，主要包括：办公费、电费、邮电费、印刷费、差旅费、维修（护）费、劳务费、公务用车运行维护费等支出。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七、“三公”经费财政拨款预算安排情况说明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财政厅2019年“三公”经费财政拨款预算数2.16万元，其中：因公出国（境）经费0万元，公务接待费0.16万元，公务用车购置及运行维护费2万元。</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（一）因公出国（境）经费与2018年预算持平。</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（二）公务接待费较2018年预算持平。</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2019年公务接待费计划用于执行公务、考察调研、检查指导等公务活动开支的交通费、住宿费、用餐费等。</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（三）公务用车购置及运行维护费与2018年预算上升50％。</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单位现有公务用车1辆，其中：越野车1辆，2019年未安排公务用车购置费。因2019年上级未安排我县量服经费故2019年公务用车运行维护费增加。</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2018年安排公务用车运行维护费2万元，用于公务用车燃油、过路（桥）、维修、保险等方面支出，主要保障机关量服工作检查、重度残疾人无障碍改造查看、创业就业查看等工作开展。</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八、政府性基金预算支出情况说明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残疾人联合会2019年没有使用政府性基金预算拨款安排的支出。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九、国有资本经营预算支出情况说明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残疾人联合会2019年没有使用国有资本经营预算拨款安排的支出。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十、其他重要事项的情况说明</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（一）机关运行经费。</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2019年，残疾人联合会机关运行经费财政拨款预算为15.3248万元，比2017年预算增长7.7416万元，增长49.48%。增加原因为纳入了基层残联工作经费7.8万元。</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（二）政府采购情况。</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2019年，残联安排政府采购预算0万元。</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（三）国有资产占有使用情况。</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截至2019年，县残疾人联合会有公务用车1 辆，其中：一般公务用车 1辆；无单价50万元以上通用设备及单价100万元以上专用设备。</w:t>
                                    </w:r>
                                  </w:p>
                                  <w:p>
                                    <w:pPr>
                                      <w:widowControl/>
                                      <w:numPr>
                                        <w:ilvl w:val="0"/>
                                        <w:numId w:val="0"/>
                                      </w:numPr>
                                      <w:spacing w:line="480" w:lineRule="atLeast"/>
                                      <w:rPr>
                                        <w:rFonts w:hint="eastAsia" w:ascii="仿宋_GB2312" w:hAnsi="宋体" w:eastAsia="仿宋_GB2312" w:cs="宋体"/>
                                        <w:b/>
                                        <w:bCs/>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（四）绩效目标设置情况</w:t>
                                    </w:r>
                                  </w:p>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绩效目标是预算编制的前提和基础，按照“费随事定”的原则，2019年残疾人联合会按要求编制了部门整体绩效目标</w:t>
                                    </w:r>
                                    <w:bookmarkStart w:id="0" w:name="_GoBack"/>
                                    <w:bookmarkEnd w:id="0"/>
                                    <w:r>
                                      <w:rPr>
                                        <w:rFonts w:hint="eastAsia" w:ascii="仿宋_GB2312" w:hAnsi="宋体" w:eastAsia="仿宋_GB2312" w:cs="宋体"/>
                                        <w:color w:val="333333"/>
                                        <w:kern w:val="0"/>
                                        <w:sz w:val="28"/>
                                        <w:szCs w:val="28"/>
                                        <w:lang w:val="en-US" w:eastAsia="zh-CN"/>
                                      </w:rPr>
                                      <w:t>及专用项目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r>
                                      <w:rPr>
                                        <w:rFonts w:hint="eastAsia" w:ascii="仿宋_GB2312" w:hAnsi="宋体" w:eastAsia="仿宋_GB2312" w:cs="宋体"/>
                                        <w:b/>
                                        <w:bCs/>
                                        <w:color w:val="333333"/>
                                        <w:kern w:val="0"/>
                                        <w:sz w:val="28"/>
                                        <w:szCs w:val="28"/>
                                        <w:lang w:val="en-US" w:eastAsia="zh-CN"/>
                                      </w:rPr>
                                      <w:t>　十一、名词解释</w:t>
                                    </w:r>
                                    <w:r>
                                      <w:rPr>
                                        <w:rFonts w:hint="eastAsia" w:ascii="仿宋_GB2312" w:hAnsi="宋体" w:eastAsia="仿宋_GB2312" w:cs="宋体"/>
                                        <w:b/>
                                        <w:bCs/>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1.一般公共预算拨款收入：指省级财政当年拨付的资金。</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2.上年结转：指以前年度尚未完成，结转到本年仍按原规定用途继续使用的资金。</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3.一般公共服务（类）财政事务（款）行政运行（项）：指厅机关及参公管理事业单位用于保障机构正常运行、开展日常工作的基本支出。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4.一般公共服务（类）财政事务（款）一般行政管理事务（项）：指厅机关及参公管理事业单位开展财政综合业务、预决算编审等未单独设置项级科目的专门性财政管理工作的项目支出。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5.一般公共服务（类）财政事务（款）机关服务（项）：指后勤服务中心、信息中心为本部门各单位正常运行提供服务的支出。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6.一般公共服务（类）财政事务（款）信息化建设（项）：指财政厅用于财政信息化建设等方面的项目支出。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8.一般公共服务（类）财政事务（款）其他财政事务支出（项）：指财政厅除上述项目外，开展其他财政事务方面专门性工作任务的项目支出，如全省会计专业技术资格考试考务费等。</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9.教育（类）进修及培训（款）培训支出（项）：指为配合财政业务开展，用于部门内部在职人员参加相关财政财务工作外部培训的经费支出。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10.社会保障和就业（类）行政事业单位离退休（款）事业单位离退休（项）：指财政科学研究所的离退休人员的支出。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11.社会保障和就业（类）行政事业单位离退休（款）未归口管理的行政单位离退休（项）：指厅机关离退休人员的支出。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12.社会保障和就业（类）行政事业单位离退休（款）机关事业单位基本养老保险缴费支出（项）：指部门实施养老保险制度由单位缴纳的养老保险费的支出。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13.社会保障和就业（类）行政事业单位离退休（款）机关事业单位职业年金缴费支出（项）：指部门实施养老保险制度由单位缴纳的职业年金的支出。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14.社会保障和就业（类）其他社会保障和就业（款）其他社会保障和就业支出（项）：指除上述项目外，其他用于行政事业单位离退休方面的支出。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15.医疗卫生与计划生育（类）行政事业单位医疗（款）行政单位医疗（项）：指厅机关及参公管理事业单位用于缴纳单位基本医疗保险支出。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16.医疗卫生与计划生育（类）行政事业单位医疗（款）事业单位医疗（项）：指事业单位用于缴纳单位基本医疗保险支出。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17.医疗卫生与计划生育（类）行政事业单位医疗（款）公务员医疗补助（项）：指厅机关及参公管理事业单位用于集中缴纳公务员医疗补助支出。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18.住房保障（类）住房改革支出（款）住房公积金（项）：指按照《住房公积金管理条例》的规定，由单位及其在职职工缴存的长期住房储金。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19.住房保障（类）住房改革支出（款）购房补贴（项）：指按房改政策规定的标准，向符合条件职工发放的用于购买住房的补贴。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20.基本支出：指为保证机构正常运转，完成日常工作任务而发生的人员支出和公用支出。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21.项目支出：指在基本支出之外为完成特定行政任务和事业发展目标所发生的支出。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22.“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23.机关运行经费：为保障行政单位（包含参照公务员法管理的事业单位）运行用于购买货物和服务的各项资金。包括办公及办公费、水费、电费、印刷费、邮电费、差旅费、会议费等费用开支。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br w:type="textWrapping"/>
                                    </w:r>
                                    <w:r>
                                      <w:rPr>
                                        <w:rFonts w:hint="eastAsia" w:ascii="仿宋_GB2312" w:hAnsi="宋体" w:eastAsia="仿宋_GB2312" w:cs="宋体"/>
                                        <w:color w:val="333333"/>
                                        <w:kern w:val="0"/>
                                        <w:sz w:val="28"/>
                                        <w:szCs w:val="28"/>
                                        <w:lang w:val="en-US" w:eastAsia="zh-CN"/>
                                      </w:rPr>
                                      <w:t>　　　　　</w:t>
                                    </w:r>
                                  </w:p>
                                </w:tc>
                              </w:tr>
                            </w:tbl>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4"/>
                                <w:tblW w:w="9620" w:type="dxa"/>
                                <w:jc w:val="center"/>
                                <w:tblCellSpacing w:w="0" w:type="dxa"/>
                                <w:tblInd w:w="-935" w:type="dxa"/>
                                <w:tblLayout w:type="fixed"/>
                                <w:tblCellMar>
                                  <w:top w:w="0" w:type="dxa"/>
                                  <w:left w:w="0" w:type="dxa"/>
                                  <w:bottom w:w="0" w:type="dxa"/>
                                  <w:right w:w="0" w:type="dxa"/>
                                </w:tblCellMar>
                              </w:tblPr>
                              <w:tblGrid>
                                <w:gridCol w:w="2135"/>
                                <w:gridCol w:w="7485"/>
                              </w:tblGrid>
                              <w:tr>
                                <w:tblPrEx>
                                  <w:tblLayout w:type="fixed"/>
                                  <w:tblCellMar>
                                    <w:top w:w="0" w:type="dxa"/>
                                    <w:left w:w="0" w:type="dxa"/>
                                    <w:bottom w:w="0" w:type="dxa"/>
                                    <w:right w:w="0" w:type="dxa"/>
                                  </w:tblCellMar>
                                </w:tblPrEx>
                                <w:trPr>
                                  <w:tblCellSpacing w:w="0" w:type="dxa"/>
                                  <w:jc w:val="center"/>
                                </w:trPr>
                                <w:tc>
                                  <w:tcPr>
                                    <w:tcW w:w="2135" w:type="dxa"/>
                                  </w:tcPr>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blCellSpacing w:w="0" w:type="dxa"/>
                                      </w:trPr>
                                      <w:tc>
                                        <w:tcPr>
                                          <w:tcW w:w="7485" w:type="dxa"/>
                                          <w:vAlign w:val="center"/>
                                        </w:tcPr>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bl>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bl>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bl>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c>
                      <w:tcPr>
                        <w:tcW w:w="1350" w:type="dxa"/>
                        <w:vAlign w:val="center"/>
                      </w:tcPr>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r>
                          <w:rPr>
                            <w:rFonts w:hint="eastAsia" w:ascii="仿宋_GB2312" w:hAnsi="宋体" w:eastAsia="仿宋_GB2312" w:cs="宋体"/>
                            <w:color w:val="333333"/>
                            <w:kern w:val="0"/>
                            <w:sz w:val="28"/>
                            <w:szCs w:val="28"/>
                            <w:lang w:val="en-US" w:eastAsia="zh-CN"/>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bl>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bl>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tc>
      </w:tr>
    </w:tbl>
    <w:p>
      <w:pPr>
        <w:widowControl/>
        <w:numPr>
          <w:ilvl w:val="0"/>
          <w:numId w:val="0"/>
        </w:numPr>
        <w:spacing w:line="480" w:lineRule="atLeast"/>
        <w:rPr>
          <w:rFonts w:hint="eastAsia" w:ascii="仿宋_GB2312" w:hAnsi="宋体" w:eastAsia="仿宋_GB2312" w:cs="宋体"/>
          <w:color w:val="333333"/>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4CCC"/>
    <w:rsid w:val="0079144A"/>
    <w:rsid w:val="00B42DE7"/>
    <w:rsid w:val="00BD2138"/>
    <w:rsid w:val="00D04CCC"/>
    <w:rsid w:val="24297D31"/>
    <w:rsid w:val="441123CA"/>
    <w:rsid w:val="50F33693"/>
    <w:rsid w:val="6BCD5FA8"/>
    <w:rsid w:val="6E700DD7"/>
    <w:rsid w:val="71932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character" w:styleId="3">
    <w:name w:val="Strong"/>
    <w:basedOn w:val="2"/>
    <w:qFormat/>
    <w:uiPriority w:val="22"/>
    <w:rPr>
      <w:b/>
      <w:bCs/>
    </w:rPr>
  </w:style>
  <w:style w:type="character" w:customStyle="1" w:styleId="5">
    <w:name w:val="pagetext0031"/>
    <w:basedOn w:val="2"/>
    <w:qFormat/>
    <w:uiPriority w:val="0"/>
    <w:rPr>
      <w:rFonts w:hint="eastAsia" w:ascii="宋体" w:hAnsi="宋体" w:eastAsia="宋体"/>
      <w:color w:val="555555"/>
      <w:sz w:val="21"/>
      <w:szCs w:val="21"/>
    </w:rPr>
  </w:style>
  <w:style w:type="character" w:customStyle="1" w:styleId="6">
    <w:name w:val="apple-converted-space"/>
    <w:basedOn w:val="2"/>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15</Pages>
  <Words>1251</Words>
  <Characters>7133</Characters>
  <Lines>59</Lines>
  <Paragraphs>16</Paragraphs>
  <TotalTime>0</TotalTime>
  <ScaleCrop>false</ScaleCrop>
  <LinksUpToDate>false</LinksUpToDate>
  <CharactersWithSpaces>8368</CharactersWithSpaces>
  <Application>WPS Office_11.1.0.8178_F1E327BC-269C-435d-A152-05C5408002CA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2019-01-02T09:44:00Z</dcterms:created>
  <dc:creator>Lenovo User</dc:creator>
  <cp:lastModifiedBy>lenovo</cp:lastModifiedBy>
  <dcterms:modified xsi:type="dcterms:W3CDTF">2019-01-21T08:58:01Z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2052-11.1.0.8178</vt:lpwstr>
  </property>
</Properties>
</file>