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AC68BC">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AC68BC">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AC68BC">
                    <w:trPr>
                      <w:tblCellSpacing w:w="0" w:type="dxa"/>
                    </w:trPr>
                    <w:tc>
                      <w:tcPr>
                        <w:tcW w:w="10650" w:type="dxa"/>
                        <w:tcMar>
                          <w:top w:w="0" w:type="dxa"/>
                          <w:left w:w="30" w:type="dxa"/>
                          <w:bottom w:w="30" w:type="dxa"/>
                          <w:right w:w="30" w:type="dxa"/>
                        </w:tcMar>
                      </w:tcPr>
                      <w:tbl>
                        <w:tblPr>
                          <w:tblW w:w="10590" w:type="dxa"/>
                          <w:tblCellSpacing w:w="0" w:type="dxa"/>
                          <w:tblLayout w:type="fixed"/>
                          <w:tblCellMar>
                            <w:left w:w="0" w:type="dxa"/>
                            <w:right w:w="0" w:type="dxa"/>
                          </w:tblCellMar>
                          <w:tblLook w:val="04A0"/>
                        </w:tblPr>
                        <w:tblGrid>
                          <w:gridCol w:w="10590"/>
                        </w:tblGrid>
                        <w:tr w:rsidR="00AC68BC">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AC68BC">
                                <w:trPr>
                                  <w:tblCellSpacing w:w="0" w:type="dxa"/>
                                  <w:jc w:val="center"/>
                                </w:trPr>
                                <w:tc>
                                  <w:tcPr>
                                    <w:tcW w:w="8775" w:type="dxa"/>
                                    <w:tcMar>
                                      <w:top w:w="150" w:type="dxa"/>
                                      <w:left w:w="75" w:type="dxa"/>
                                      <w:bottom w:w="0" w:type="dxa"/>
                                      <w:right w:w="0" w:type="dxa"/>
                                    </w:tcMar>
                                  </w:tcPr>
                                  <w:p w:rsidR="00AC68BC" w:rsidRDefault="00DB06CE">
                                    <w:pPr>
                                      <w:ind w:firstLineChars="200" w:firstLine="720"/>
                                      <w:rPr>
                                        <w:rFonts w:ascii="楷体_GB2312" w:eastAsia="楷体_GB2312" w:hAnsi="楷体_GB2312" w:cs="楷体_GB2312"/>
                                        <w:sz w:val="32"/>
                                        <w:szCs w:val="32"/>
                                      </w:rPr>
                                    </w:pPr>
                                    <w:r>
                                      <w:rPr>
                                        <w:rFonts w:ascii="方正小标宋简体" w:eastAsia="方正小标宋简体" w:hAnsi="宋体" w:cs="宋体" w:hint="eastAsia"/>
                                        <w:color w:val="0066CC"/>
                                        <w:kern w:val="0"/>
                                        <w:sz w:val="36"/>
                                        <w:szCs w:val="36"/>
                                      </w:rPr>
                                      <w:t>金川县观音桥景区管理局</w:t>
                                    </w:r>
                                    <w:r>
                                      <w:rPr>
                                        <w:rFonts w:ascii="方正小标宋简体" w:eastAsia="方正小标宋简体" w:hAnsi="宋体" w:cs="宋体"/>
                                        <w:color w:val="0066CC"/>
                                        <w:kern w:val="0"/>
                                        <w:sz w:val="36"/>
                                        <w:szCs w:val="36"/>
                                      </w:rPr>
                                      <w:t>2019</w:t>
                                    </w:r>
                                    <w:r>
                                      <w:rPr>
                                        <w:rFonts w:ascii="方正小标宋简体" w:eastAsia="方正小标宋简体" w:hAnsi="宋体" w:cs="宋体" w:hint="eastAsia"/>
                                        <w:color w:val="0066CC"/>
                                        <w:kern w:val="0"/>
                                        <w:sz w:val="36"/>
                                        <w:szCs w:val="36"/>
                                      </w:rPr>
                                      <w:t>年部门预算编制说明</w:t>
                                    </w:r>
                                    <w:r>
                                      <w:rPr>
                                        <w:rFonts w:ascii="方正小标宋简体" w:eastAsia="方正小标宋简体" w:hAnsi="宋体" w:cs="宋体"/>
                                        <w:color w:val="0066CC"/>
                                        <w:kern w:val="0"/>
                                        <w:sz w:val="36"/>
                                        <w:szCs w:val="36"/>
                                      </w:rPr>
                                      <w:br/>
                                    </w:r>
                                    <w:proofErr w:type="gramStart"/>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proofErr w:type="gramEnd"/>
                                    <w:r>
                                      <w:rPr>
                                        <w:rFonts w:ascii="黑体" w:eastAsia="黑体" w:hAnsi="宋体" w:cs="宋体" w:hint="eastAsia"/>
                                        <w:color w:val="333333"/>
                                        <w:kern w:val="0"/>
                                        <w:sz w:val="28"/>
                                        <w:szCs w:val="28"/>
                                      </w:rPr>
                                      <w:t>一、基本职能及主要工作</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w:t>
                                    </w:r>
                                    <w:r>
                                      <w:rPr>
                                        <w:rFonts w:ascii="楷体_GB2312" w:eastAsia="楷体_GB2312" w:hAnsi="楷体_GB2312" w:cs="楷体_GB2312" w:hint="eastAsia"/>
                                        <w:sz w:val="32"/>
                                        <w:szCs w:val="32"/>
                                      </w:rPr>
                                      <w:t>（一）主要职能</w:t>
                                    </w:r>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1.编制旅游规划。组织编制旅游发展规划、旅游景区、景点规划和旅游专项规划等旅游规划并监督实施；负责旅游业发展的组织协调和行业指导、监督管理工作。</w:t>
                                    </w:r>
                                    <w:bookmarkStart w:id="0" w:name="_GoBack"/>
                                    <w:bookmarkEnd w:id="0"/>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3.实施行业管理。拟制旅游发展产业政策并指导实施；组织实施国家标准和国家、省、市制定的行业标准；审核、申报经营旅游业务的旅行社(公司)、A级景区、星级宾馆、饭店等，负责曰常管理工作并协助评定和复核工作;培育和完善旅游市场；建立旅游资源信息库；组织、指导旅游商品的开发；指导直属企事业单位和旅游行业协会工作；组织、指导旅游统计工作。</w:t>
                                    </w:r>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4.组织市场开发。拟制国际、国内旅游市场开发战略；组织实施旅游主题形象策划，对内、对外宣传国内外旅游市场重大</w:t>
                                    </w:r>
                                    <w:r>
                                      <w:rPr>
                                        <w:rFonts w:ascii="仿宋_GB2312" w:eastAsia="仿宋_GB2312" w:hAnsi="仿宋_GB2312" w:cs="仿宋_GB2312" w:hint="eastAsia"/>
                                        <w:kern w:val="2"/>
                                        <w:sz w:val="32"/>
                                        <w:szCs w:val="32"/>
                                      </w:rPr>
                                      <w:lastRenderedPageBreak/>
                                      <w:t>促销活动；管理旅游涉外事务和旅游对外交流与合作；负责规范旅游业市场开发，链接旅游线路，制定开发计划、措施及相关政策。</w:t>
                                    </w:r>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5.组织教育培训。指导旅游教育培训工作，组织实施旅游从业人员资格制度和等级制度。</w:t>
                                    </w:r>
                                  </w:p>
                                  <w:p w:rsidR="00AC68BC" w:rsidRDefault="00DB06CE">
                                    <w:pPr>
                                      <w:pStyle w:val="a5"/>
                                      <w:widowControl/>
                                      <w:shd w:val="clear" w:color="auto" w:fill="FFFFFF"/>
                                      <w:wordWrap w:val="0"/>
                                      <w:spacing w:beforeAutospacing="0" w:afterAutospacing="0"/>
                                      <w:ind w:firstLine="42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6.履行相关</w:t>
                                    </w:r>
                                    <w:hyperlink r:id="rId7" w:tgtFrame="http://www.zhize8.com/zhize/_blank" w:history="1">
                                      <w:r>
                                        <w:rPr>
                                          <w:rFonts w:ascii="仿宋_GB2312" w:eastAsia="仿宋_GB2312" w:hAnsi="仿宋_GB2312" w:cs="仿宋_GB2312" w:hint="eastAsia"/>
                                          <w:kern w:val="2"/>
                                          <w:sz w:val="32"/>
                                          <w:szCs w:val="32"/>
                                        </w:rPr>
                                        <w:t>职责</w:t>
                                      </w:r>
                                    </w:hyperlink>
                                    <w:r>
                                      <w:rPr>
                                        <w:rFonts w:ascii="仿宋_GB2312" w:eastAsia="仿宋_GB2312" w:hAnsi="仿宋_GB2312" w:cs="仿宋_GB2312" w:hint="eastAsia"/>
                                        <w:kern w:val="2"/>
                                        <w:sz w:val="32"/>
                                        <w:szCs w:val="32"/>
                                      </w:rPr>
                                      <w:t>。受上级委托对旅游集团和直属旅游企业国有资产的保值增值进行监督管理，负责局机关党群工作，承办上级交办的其他事项。</w:t>
                                    </w:r>
                                  </w:p>
                                  <w:p w:rsidR="00AC68BC" w:rsidRDefault="00DB06CE">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w:t>
                                    </w:r>
                                    <w:r>
                                      <w:rPr>
                                        <w:rFonts w:ascii="楷体_GB2312" w:eastAsia="楷体_GB2312" w:hAnsi="楷体_GB2312" w:cs="楷体_GB2312"/>
                                        <w:sz w:val="32"/>
                                        <w:szCs w:val="32"/>
                                      </w:rPr>
                                      <w:t>2019</w:t>
                                    </w:r>
                                    <w:r>
                                      <w:rPr>
                                        <w:rFonts w:ascii="楷体_GB2312" w:eastAsia="楷体_GB2312" w:hAnsi="楷体_GB2312" w:cs="楷体_GB2312" w:hint="eastAsia"/>
                                        <w:sz w:val="32"/>
                                        <w:szCs w:val="32"/>
                                      </w:rPr>
                                      <w:t>年主要工作安排情况</w:t>
                                    </w:r>
                                  </w:p>
                                  <w:p w:rsidR="00AC68BC" w:rsidRDefault="00DB06CE">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深入开展机关效能建设活动，</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加强党建工作。</w:t>
                                    </w:r>
                                    <w:r>
                                      <w:rPr>
                                        <w:rFonts w:ascii="仿宋_GB2312" w:eastAsia="仿宋_GB2312" w:hAnsi="仿宋_GB2312" w:cs="仿宋_GB2312" w:hint="eastAsia"/>
                                        <w:b/>
                                        <w:bCs/>
                                        <w:sz w:val="32"/>
                                        <w:szCs w:val="32"/>
                                      </w:rPr>
                                      <w:t>三是</w:t>
                                    </w:r>
                                    <w:r>
                                      <w:rPr>
                                        <w:rFonts w:ascii="仿宋_GB2312" w:eastAsia="仿宋_GB2312" w:hAnsi="仿宋_GB2312" w:cs="仿宋_GB2312" w:hint="eastAsia"/>
                                        <w:sz w:val="32"/>
                                        <w:szCs w:val="32"/>
                                      </w:rPr>
                                      <w:t>加强精准脱贫工作。四是切实</w:t>
                                    </w:r>
                                    <w:proofErr w:type="gramStart"/>
                                    <w:r>
                                      <w:rPr>
                                        <w:rFonts w:ascii="仿宋_GB2312" w:eastAsia="仿宋_GB2312" w:hAnsi="仿宋_GB2312" w:cs="仿宋_GB2312" w:hint="eastAsia"/>
                                        <w:sz w:val="32"/>
                                        <w:szCs w:val="32"/>
                                      </w:rPr>
                                      <w:t>加强维稳工作</w:t>
                                    </w:r>
                                    <w:proofErr w:type="gramEnd"/>
                                    <w:r>
                                      <w:rPr>
                                        <w:rFonts w:ascii="仿宋_GB2312" w:eastAsia="仿宋_GB2312" w:hAnsi="仿宋_GB2312" w:cs="仿宋_GB2312" w:hint="eastAsia"/>
                                        <w:sz w:val="32"/>
                                        <w:szCs w:val="32"/>
                                      </w:rPr>
                                      <w:t>。五是进一步加大农业产业结构调整力度，千方百计增加农牧民收入；继续关注民生，全力申报项目；培育壮大各村产业基地，争取更多的惠民政策提高农牧民生产生活水平；六是抓好了其他目标工作。</w:t>
                                    </w:r>
                                  </w:p>
                                  <w:p w:rsidR="00AC68BC" w:rsidRDefault="00DB06CE">
                                    <w:pPr>
                                      <w:widowControl/>
                                      <w:spacing w:line="480" w:lineRule="atLeast"/>
                                      <w:ind w:firstLine="60"/>
                                      <w:rPr>
                                        <w:rFonts w:ascii="仿宋_GB2312" w:eastAsia="仿宋_GB2312" w:hAnsi="仿宋_GB2312" w:cs="仿宋_GB2312"/>
                                        <w:sz w:val="32"/>
                                        <w:szCs w:val="32"/>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二、部门预算单位构成</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年独立编制单位机构数为</w:t>
                                    </w:r>
                                    <w:r>
                                      <w:rPr>
                                        <w:rFonts w:ascii="仿宋_GB2312" w:eastAsia="仿宋_GB2312" w:hAnsi="仿宋_GB2312" w:cs="仿宋_GB2312"/>
                                        <w:sz w:val="32"/>
                                        <w:szCs w:val="32"/>
                                      </w:rPr>
                                      <w:t xml:space="preserve"> 1</w:t>
                                    </w:r>
                                    <w:r>
                                      <w:rPr>
                                        <w:rFonts w:ascii="仿宋_GB2312" w:eastAsia="仿宋_GB2312" w:hAnsi="仿宋_GB2312" w:cs="仿宋_GB2312" w:hint="eastAsia"/>
                                        <w:sz w:val="32"/>
                                        <w:szCs w:val="32"/>
                                      </w:rPr>
                                      <w:t>个，财政供养人员编制为</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15名，事业编制15名；</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年实际财政供养人员11人，其中：事业11人。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三、收支预算情况说明</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按照综合预算的原则，</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hint="eastAsia"/>
                                        <w:sz w:val="32"/>
                                        <w:szCs w:val="32"/>
                                      </w:rPr>
                                      <w:t>所有收入和支出均纳入部门预算管理。收入包括：一般公共预算拨款收入、上年结转；支出包括：一般公共服务支出、教育支出、社会保障和就业支出、</w:t>
                                    </w:r>
                                    <w:r>
                                      <w:rPr>
                                        <w:rFonts w:ascii="仿宋_GB2312" w:eastAsia="仿宋_GB2312" w:hAnsi="仿宋_GB2312" w:cs="仿宋_GB2312" w:hint="eastAsia"/>
                                        <w:sz w:val="32"/>
                                        <w:szCs w:val="32"/>
                                      </w:rPr>
                                      <w:lastRenderedPageBreak/>
                                      <w:t>医疗卫生与计划生育支出、住房保障支出。</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年收支总预算150.65万元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年收支预算总数多</w:t>
                                    </w:r>
                                    <w:r>
                                      <w:rPr>
                                        <w:rFonts w:ascii="仿宋_GB2312" w:eastAsia="仿宋_GB2312" w:hint="eastAsia"/>
                                        <w:color w:val="000000"/>
                                        <w:sz w:val="32"/>
                                        <w:szCs w:val="32"/>
                                      </w:rPr>
                                      <w:t>9.53</w:t>
                                    </w:r>
                                    <w:r>
                                      <w:rPr>
                                        <w:rFonts w:ascii="仿宋_GB2312" w:eastAsia="仿宋_GB2312" w:hAnsi="仿宋_GB2312" w:cs="仿宋_GB2312" w:hint="eastAsia"/>
                                        <w:sz w:val="32"/>
                                        <w:szCs w:val="32"/>
                                      </w:rPr>
                                      <w:t>万元，减少6.7</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（一）收入预算情况。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年收入预算150.65万元，其中：上年结转</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；一般公共预算拨款收入150.65万元，占</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（二）支出预算情况。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年支出预算150.65万元，其中：基本支出150.65万元，占100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四、财政拨款收支预算情况说明</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年收支总预算150.65万元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年收支预算总数多9.53万元，增长6.7</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收入包括：本年一般公共预算拨款收入150.65万元；支出包括：机关服务支出</w:t>
                                    </w:r>
                                    <w:r w:rsidR="00671D43">
                                      <w:rPr>
                                        <w:rFonts w:ascii="仿宋_GB2312" w:eastAsia="仿宋_GB2312" w:hAnsi="仿宋_GB2312" w:cs="仿宋_GB2312" w:hint="eastAsia"/>
                                        <w:sz w:val="32"/>
                                        <w:szCs w:val="32"/>
                                      </w:rPr>
                                      <w:t>104.56</w:t>
                                    </w:r>
                                    <w:r>
                                      <w:rPr>
                                        <w:rFonts w:ascii="仿宋_GB2312" w:eastAsia="仿宋_GB2312" w:hAnsi="仿宋_GB2312" w:cs="仿宋_GB2312" w:hint="eastAsia"/>
                                        <w:sz w:val="32"/>
                                        <w:szCs w:val="32"/>
                                      </w:rPr>
                                      <w:t>万元、占60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；社会保障和就业支出</w:t>
                                    </w:r>
                                    <w:r w:rsidR="00671D43">
                                      <w:rPr>
                                        <w:rFonts w:ascii="仿宋_GB2312" w:eastAsia="仿宋_GB2312" w:hAnsi="仿宋_GB2312" w:cs="仿宋_GB2312" w:hint="eastAsia"/>
                                        <w:sz w:val="32"/>
                                        <w:szCs w:val="32"/>
                                      </w:rPr>
                                      <w:t>33.52</w:t>
                                    </w:r>
                                    <w:r>
                                      <w:rPr>
                                        <w:rFonts w:ascii="仿宋_GB2312" w:eastAsia="仿宋_GB2312" w:hAnsi="仿宋_GB2312" w:cs="仿宋_GB2312" w:hint="eastAsia"/>
                                        <w:sz w:val="32"/>
                                        <w:szCs w:val="32"/>
                                      </w:rPr>
                                      <w:t>元占24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；住房保障支出12.57万元占9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五、一般公共预算当年拨款情况说明</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（一）一般公共预算当年拨款规模变化情况。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年收支总预算150.65万元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年收支预算总数</w:t>
                                    </w:r>
                                    <w:r>
                                      <w:rPr>
                                        <w:rFonts w:ascii="仿宋_GB2312" w:eastAsia="仿宋_GB2312" w:hAnsi="仿宋_GB2312" w:cs="仿宋_GB2312"/>
                                        <w:sz w:val="32"/>
                                        <w:szCs w:val="32"/>
                                      </w:rPr>
                                      <w:t>1.08</w:t>
                                    </w:r>
                                    <w:r>
                                      <w:rPr>
                                        <w:rFonts w:ascii="仿宋_GB2312" w:eastAsia="仿宋_GB2312" w:hAnsi="仿宋_GB2312" w:cs="仿宋_GB2312" w:hint="eastAsia"/>
                                        <w:sz w:val="32"/>
                                        <w:szCs w:val="32"/>
                                      </w:rPr>
                                      <w:t>万元，增长</w:t>
                                    </w:r>
                                    <w:r>
                                      <w:rPr>
                                        <w:rFonts w:ascii="仿宋_GB2312" w:eastAsia="仿宋_GB2312" w:hAnsi="仿宋_GB2312" w:cs="仿宋_GB2312"/>
                                        <w:sz w:val="32"/>
                                        <w:szCs w:val="32"/>
                                      </w:rPr>
                                      <w:t xml:space="preserve">0.01% </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（二）一般公共预算当年拨款结构情况。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机关服务支出</w:t>
                                    </w:r>
                                    <w:r w:rsidR="00671D43">
                                      <w:rPr>
                                        <w:rFonts w:ascii="仿宋_GB2312" w:eastAsia="仿宋_GB2312" w:hAnsi="仿宋_GB2312" w:cs="仿宋_GB2312" w:hint="eastAsia"/>
                                        <w:sz w:val="32"/>
                                        <w:szCs w:val="32"/>
                                      </w:rPr>
                                      <w:t>104.56</w:t>
                                    </w:r>
                                    <w:r>
                                      <w:rPr>
                                        <w:rFonts w:ascii="仿宋_GB2312" w:eastAsia="仿宋_GB2312" w:hAnsi="仿宋_GB2312" w:cs="仿宋_GB2312" w:hint="eastAsia"/>
                                        <w:sz w:val="32"/>
                                        <w:szCs w:val="32"/>
                                      </w:rPr>
                                      <w:t>万元、占60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；社会保障和就业支出</w:t>
                                    </w:r>
                                    <w:r w:rsidR="00671D43">
                                      <w:rPr>
                                        <w:rFonts w:ascii="仿宋_GB2312" w:eastAsia="仿宋_GB2312" w:hAnsi="仿宋_GB2312" w:cs="仿宋_GB2312" w:hint="eastAsia"/>
                                        <w:sz w:val="32"/>
                                        <w:szCs w:val="32"/>
                                      </w:rPr>
                                      <w:lastRenderedPageBreak/>
                                      <w:t>33.52</w:t>
                                    </w:r>
                                    <w:r>
                                      <w:rPr>
                                        <w:rFonts w:ascii="仿宋_GB2312" w:eastAsia="仿宋_GB2312" w:hAnsi="仿宋_GB2312" w:cs="仿宋_GB2312" w:hint="eastAsia"/>
                                        <w:sz w:val="32"/>
                                        <w:szCs w:val="32"/>
                                      </w:rPr>
                                      <w:t>元占24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；住房保障支出12.57万元占9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（三）一般公共预算当年拨款具体使用情况。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、207机关服务</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类）：</w:t>
                                    </w:r>
                                    <w:r w:rsidR="00671D43">
                                      <w:rPr>
                                        <w:rFonts w:ascii="仿宋_GB2312" w:eastAsia="仿宋_GB2312" w:hAnsi="仿宋_GB2312" w:cs="仿宋_GB2312" w:hint="eastAsia"/>
                                        <w:sz w:val="32"/>
                                        <w:szCs w:val="32"/>
                                      </w:rPr>
                                      <w:t>104.56</w:t>
                                    </w:r>
                                    <w:r>
                                      <w:rPr>
                                        <w:rFonts w:ascii="仿宋_GB2312" w:eastAsia="仿宋_GB2312" w:hAnsi="仿宋_GB2312" w:cs="仿宋_GB2312" w:hint="eastAsia"/>
                                        <w:sz w:val="32"/>
                                        <w:szCs w:val="32"/>
                                      </w:rPr>
                                      <w:t>万元</w:t>
                                    </w:r>
                                  </w:p>
                                  <w:p w:rsidR="00AC68BC" w:rsidRDefault="00DB06CE">
                                    <w:pPr>
                                      <w:widowControl/>
                                      <w:spacing w:line="480" w:lineRule="atLeast"/>
                                      <w:ind w:firstLine="6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主要用于：单位正常运转的基本支出，包括基本工资、津贴补贴等人员经费以及办公费、印刷费、水电费等日常公用经费。</w:t>
                                    </w:r>
                                  </w:p>
                                  <w:p w:rsidR="00AC68BC" w:rsidRDefault="00DB06CE">
                                    <w:pPr>
                                      <w:widowControl/>
                                      <w:spacing w:line="480" w:lineRule="atLeast"/>
                                      <w:ind w:firstLineChars="71" w:firstLine="227"/>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2. </w:t>
                                    </w:r>
                                    <w:r>
                                      <w:rPr>
                                        <w:rFonts w:ascii="仿宋_GB2312" w:eastAsia="仿宋_GB2312" w:hAnsi="仿宋_GB2312" w:cs="仿宋_GB2312" w:hint="eastAsia"/>
                                        <w:sz w:val="32"/>
                                        <w:szCs w:val="32"/>
                                      </w:rPr>
                                      <w:t>社会保障和就业（类）</w:t>
                                    </w:r>
                                    <w:r w:rsidR="00671D43">
                                      <w:rPr>
                                        <w:rFonts w:ascii="仿宋_GB2312" w:eastAsia="仿宋_GB2312" w:hAnsi="仿宋_GB2312" w:cs="仿宋_GB2312" w:hint="eastAsia"/>
                                        <w:sz w:val="32"/>
                                        <w:szCs w:val="32"/>
                                      </w:rPr>
                                      <w:t>33.52</w:t>
                                    </w:r>
                                    <w:r>
                                      <w:rPr>
                                        <w:rFonts w:ascii="仿宋_GB2312" w:eastAsia="仿宋_GB2312" w:hAnsi="仿宋_GB2312" w:cs="仿宋_GB2312" w:hint="eastAsia"/>
                                        <w:sz w:val="32"/>
                                        <w:szCs w:val="32"/>
                                      </w:rPr>
                                      <w:t>万元，</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主要用于：局内管理事业单位基本医疗保险缴费</w:t>
                                    </w:r>
                                    <w:r w:rsidR="00671D43">
                                      <w:rPr>
                                        <w:rFonts w:ascii="仿宋_GB2312" w:eastAsia="仿宋_GB2312" w:hAnsi="仿宋_GB2312" w:cs="仿宋_GB2312" w:hint="eastAsia"/>
                                        <w:sz w:val="32"/>
                                        <w:szCs w:val="32"/>
                                      </w:rPr>
                                      <w:t>、养老保险、职业年金等</w:t>
                                    </w:r>
                                    <w:r>
                                      <w:rPr>
                                        <w:rFonts w:ascii="仿宋_GB2312" w:eastAsia="仿宋_GB2312" w:hAnsi="仿宋_GB2312" w:cs="仿宋_GB2312" w:hint="eastAsia"/>
                                        <w:sz w:val="32"/>
                                        <w:szCs w:val="32"/>
                                      </w:rPr>
                                      <w:t>支出。</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221</w:t>
                                    </w:r>
                                    <w:r>
                                      <w:rPr>
                                        <w:rFonts w:ascii="仿宋_GB2312" w:eastAsia="仿宋_GB2312" w:hAnsi="仿宋_GB2312" w:cs="仿宋_GB2312" w:hint="eastAsia"/>
                                        <w:sz w:val="32"/>
                                        <w:szCs w:val="32"/>
                                      </w:rPr>
                                      <w:t>住房保障支出（类）：12.57万元</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主要用于：部门按人力资源和社会保障部、财政部规定的基本工资和津贴补贴以及规定比例为职工缴纳的住房公积金支出。</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六、一般公共预算基本支出情况说明</w:t>
                                    </w:r>
                                    <w:r>
                                      <w:rPr>
                                        <w:rFonts w:ascii="仿宋_GB2312" w:eastAsia="仿宋_GB2312" w:hAnsi="仿宋_GB2312" w:cs="仿宋_GB2312"/>
                                        <w:sz w:val="32"/>
                                        <w:szCs w:val="32"/>
                                      </w:rPr>
                                      <w:br/>
                                    </w:r>
                                    <w:proofErr w:type="gramStart"/>
                                    <w:r>
                                      <w:rPr>
                                        <w:rFonts w:ascii="仿宋_GB2312" w:eastAsia="仿宋_GB2312" w:hAnsi="仿宋_GB2312" w:cs="仿宋_GB2312" w:hint="eastAsia"/>
                                        <w:sz w:val="32"/>
                                        <w:szCs w:val="32"/>
                                      </w:rPr>
                                      <w:t xml:space="preserve">　　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年一般公共预算基本支出150.65万元，其中：</w:t>
                                    </w:r>
                                    <w:r>
                                      <w:rPr>
                                        <w:rFonts w:ascii="仿宋_GB2312" w:eastAsia="仿宋_GB2312" w:hAnsi="仿宋_GB2312" w:cs="仿宋_GB2312"/>
                                        <w:sz w:val="32"/>
                                        <w:szCs w:val="32"/>
                                      </w:rPr>
                                      <w:br/>
                                    </w:r>
                                    <w:r>
                                      <w:rPr>
                                        <w:rFonts w:ascii="仿宋_GB2312" w:eastAsia="仿宋_GB2312" w:hAnsi="仿宋_GB2312" w:cs="仿宋_GB2312" w:hint="eastAsia"/>
                                        <w:sz w:val="32"/>
                                        <w:szCs w:val="32"/>
                                      </w:rPr>
                                      <w:t>人员经费139.97万元，主要包括：基本工资、津贴补贴、奖金、社会保险缴费等支出。</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公用经费10.68万元，主要包括：办公费、水费、电费、邮电费、印刷费、差旅费、维修（护）费、劳务费等支出。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七、“三公”经费财政拨款预算安排情况说明</w:t>
                                    </w:r>
                                    <w:r>
                                      <w:rPr>
                                        <w:rFonts w:ascii="仿宋_GB2312" w:eastAsia="仿宋_GB2312" w:hAnsi="仿宋_GB2312" w:cs="仿宋_GB2312"/>
                                        <w:sz w:val="32"/>
                                        <w:szCs w:val="32"/>
                                      </w:rPr>
                                      <w:br/>
                                    </w:r>
                                    <w:proofErr w:type="gramStart"/>
                                    <w:r>
                                      <w:rPr>
                                        <w:rFonts w:ascii="仿宋_GB2312" w:eastAsia="仿宋_GB2312" w:hAnsi="仿宋_GB2312" w:cs="仿宋_GB2312" w:hint="eastAsia"/>
                                        <w:sz w:val="32"/>
                                        <w:szCs w:val="32"/>
                                      </w:rPr>
                                      <w:t xml:space="preserve">　　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年“三公”经费财政拨款预算数2.3</w:t>
                                    </w:r>
                                    <w:r w:rsidR="00784165">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lastRenderedPageBreak/>
                                      <w:t>其中：因公出国（境）经费</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万元，公务接待费</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万元，公务用车购置及运行维护费2.3</w:t>
                                    </w:r>
                                    <w:r w:rsidR="00784165">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（一）因公出国（境）经费与</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年预算持平。</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年因公出国（境）费</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万元。全年安排因公出国（境）团组</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次，出国（境）</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人</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（二）公务</w:t>
                                    </w:r>
                                    <w:proofErr w:type="gramStart"/>
                                    <w:r>
                                      <w:rPr>
                                        <w:rFonts w:ascii="仿宋_GB2312" w:eastAsia="仿宋_GB2312" w:hAnsi="仿宋_GB2312" w:cs="仿宋_GB2312" w:hint="eastAsia"/>
                                        <w:sz w:val="32"/>
                                        <w:szCs w:val="32"/>
                                      </w:rPr>
                                      <w:t>接待费较</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年预算预算</w:t>
                                    </w:r>
                                    <w:proofErr w:type="gramEnd"/>
                                    <w:r>
                                      <w:rPr>
                                        <w:rFonts w:ascii="仿宋_GB2312" w:eastAsia="仿宋_GB2312" w:hAnsi="仿宋_GB2312" w:cs="仿宋_GB2312" w:hint="eastAsia"/>
                                        <w:sz w:val="32"/>
                                        <w:szCs w:val="32"/>
                                      </w:rPr>
                                      <w:t>下降。</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年公务接待</w:t>
                                    </w:r>
                                    <w:proofErr w:type="gramStart"/>
                                    <w:r>
                                      <w:rPr>
                                        <w:rFonts w:ascii="仿宋_GB2312" w:eastAsia="仿宋_GB2312" w:hAnsi="仿宋_GB2312" w:cs="仿宋_GB2312" w:hint="eastAsia"/>
                                        <w:sz w:val="32"/>
                                        <w:szCs w:val="32"/>
                                      </w:rPr>
                                      <w:t>费计划</w:t>
                                    </w:r>
                                    <w:proofErr w:type="gramEnd"/>
                                    <w:r>
                                      <w:rPr>
                                        <w:rFonts w:ascii="仿宋_GB2312" w:eastAsia="仿宋_GB2312" w:hAnsi="仿宋_GB2312" w:cs="仿宋_GB2312" w:hint="eastAsia"/>
                                        <w:sz w:val="32"/>
                                        <w:szCs w:val="32"/>
                                      </w:rPr>
                                      <w:t>用于执行公务、考察调研、检查指导等公务活动开支的交通费、住宿费、用餐费等。</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（三）公务用车购置及运行维护费与</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年相比增长持平。</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单位现有公务用车1辆，其中：轿车0辆、越野车1辆。</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年未安排公务用车购置费。</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年安排公务用车运行维护费2.3</w:t>
                                    </w:r>
                                    <w:r w:rsidR="00784165">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万元，用于1辆公务用车燃油、过路（桥）、维修、保险等方面支出，主要保障机关及下属单位财政改革工作调研、脱贫攻坚、财政监督检查及周转金清理、农村综合改革、财政支出绩效评价等工作开展。</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八、政府性基金预算支出情况说明</w:t>
                                    </w:r>
                                    <w:r>
                                      <w:rPr>
                                        <w:rFonts w:ascii="仿宋_GB2312" w:eastAsia="仿宋_GB2312" w:hAnsi="仿宋_GB2312" w:cs="仿宋_GB2312"/>
                                        <w:sz w:val="32"/>
                                        <w:szCs w:val="32"/>
                                      </w:rPr>
                                      <w:br/>
                                    </w:r>
                                    <w:proofErr w:type="gramStart"/>
                                    <w:r>
                                      <w:rPr>
                                        <w:rFonts w:ascii="仿宋_GB2312" w:eastAsia="仿宋_GB2312" w:hAnsi="仿宋_GB2312" w:cs="仿宋_GB2312" w:hint="eastAsia"/>
                                        <w:sz w:val="32"/>
                                        <w:szCs w:val="32"/>
                                      </w:rPr>
                                      <w:t xml:space="preserve">　　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年无政府性基金预算财政拨款支出预算情况。。</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九、国有资本经营预算支出情况说明</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观管局</w:t>
                                    </w:r>
                                    <w:proofErr w:type="gramEnd"/>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年没有使用国有资本经营预算拨款安排的支出。</w:t>
                                    </w:r>
                                    <w:r>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十、其他重要事项的情况说明</w:t>
                                    </w:r>
                                    <w:r>
                                      <w:rPr>
                                        <w:rFonts w:ascii="仿宋_GB2312" w:eastAsia="仿宋_GB2312" w:hAnsi="仿宋_GB2312" w:cs="仿宋_GB2312"/>
                                        <w:sz w:val="32"/>
                                        <w:szCs w:val="32"/>
                                      </w:rPr>
                                      <w:br/>
                                    </w:r>
                                    <w:r>
                                      <w:rPr>
                                        <w:rFonts w:ascii="仿宋_GB2312" w:eastAsia="仿宋_GB2312" w:hAnsi="仿宋_GB2312" w:cs="仿宋_GB2312" w:hint="eastAsia"/>
                                        <w:sz w:val="32"/>
                                        <w:szCs w:val="32"/>
                                      </w:rPr>
                                      <w:lastRenderedPageBreak/>
                                      <w:t xml:space="preserve">　　（</w:t>
                                    </w:r>
                                    <w:r w:rsidR="001C4959">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sidR="001C4959">
                                      <w:rPr>
                                        <w:rFonts w:ascii="仿宋_GB2312" w:eastAsia="仿宋_GB2312" w:hAnsi="仿宋_GB2312" w:cs="仿宋_GB2312" w:hint="eastAsia"/>
                                        <w:sz w:val="32"/>
                                        <w:szCs w:val="32"/>
                                      </w:rPr>
                                      <w:t>机关运行经费</w:t>
                                    </w:r>
                                    <w:r>
                                      <w:rPr>
                                        <w:rFonts w:ascii="仿宋_GB2312" w:eastAsia="仿宋_GB2312" w:hAnsi="仿宋_GB2312" w:cs="仿宋_GB2312" w:hint="eastAsia"/>
                                        <w:sz w:val="32"/>
                                        <w:szCs w:val="32"/>
                                      </w:rPr>
                                      <w:t>。</w:t>
                                    </w:r>
                                  </w:p>
                                  <w:p w:rsidR="001C4959" w:rsidRDefault="00DB06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年度，</w:t>
                                    </w:r>
                                    <w:r w:rsidR="001C4959">
                                      <w:rPr>
                                        <w:rFonts w:ascii="仿宋_GB2312" w:eastAsia="仿宋_GB2312" w:hAnsi="仿宋_GB2312" w:cs="仿宋_GB2312" w:hint="eastAsia"/>
                                        <w:sz w:val="32"/>
                                        <w:szCs w:val="32"/>
                                      </w:rPr>
                                      <w:t>本单位机关运行经费财政拨款预算为13.05万元</w:t>
                                    </w:r>
                                    <w:r>
                                      <w:rPr>
                                        <w:rFonts w:ascii="仿宋_GB2312" w:eastAsia="仿宋_GB2312" w:hAnsi="仿宋_GB2312" w:cs="仿宋_GB2312" w:hint="eastAsia"/>
                                        <w:sz w:val="32"/>
                                        <w:szCs w:val="32"/>
                                      </w:rPr>
                                      <w:t>。</w:t>
                                    </w:r>
                                  </w:p>
                                  <w:p w:rsidR="001C4959" w:rsidRDefault="001C4959">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（二）政府采购情况。</w:t>
                                    </w:r>
                                  </w:p>
                                  <w:p w:rsidR="001C4959" w:rsidRDefault="001C4959">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2019年本单位未安排政府采购。</w:t>
                                    </w:r>
                                    <w:r w:rsidR="00DB06CE">
                                      <w:rPr>
                                        <w:rFonts w:ascii="仿宋_GB2312" w:eastAsia="仿宋_GB2312" w:hAnsi="仿宋_GB2312" w:cs="仿宋_GB2312"/>
                                        <w:sz w:val="32"/>
                                        <w:szCs w:val="32"/>
                                      </w:rPr>
                                      <w:br/>
                                    </w:r>
                                    <w:r>
                                      <w:rPr>
                                        <w:rFonts w:ascii="仿宋_GB2312" w:eastAsia="仿宋_GB2312" w:hAnsi="仿宋_GB2312" w:cs="仿宋_GB2312" w:hint="eastAsia"/>
                                        <w:sz w:val="32"/>
                                        <w:szCs w:val="32"/>
                                      </w:rPr>
                                      <w:t xml:space="preserve">　　</w:t>
                                    </w:r>
                                    <w:r w:rsidR="00DB06CE">
                                      <w:rPr>
                                        <w:rFonts w:ascii="仿宋_GB2312" w:eastAsia="仿宋_GB2312" w:hAnsi="仿宋_GB2312" w:cs="仿宋_GB2312" w:hint="eastAsia"/>
                                        <w:sz w:val="32"/>
                                        <w:szCs w:val="32"/>
                                      </w:rPr>
                                      <w:t>（三）国有资产占有使用情况。</w:t>
                                    </w:r>
                                    <w:r w:rsidR="00DB06CE">
                                      <w:rPr>
                                        <w:rFonts w:ascii="仿宋_GB2312" w:eastAsia="仿宋_GB2312" w:hAnsi="仿宋_GB2312" w:cs="仿宋_GB2312"/>
                                        <w:sz w:val="32"/>
                                        <w:szCs w:val="32"/>
                                      </w:rPr>
                                      <w:br/>
                                    </w:r>
                                    <w:r w:rsidR="00DB06CE">
                                      <w:rPr>
                                        <w:rFonts w:ascii="仿宋_GB2312" w:eastAsia="仿宋_GB2312" w:hAnsi="仿宋_GB2312" w:cs="仿宋_GB2312" w:hint="eastAsia"/>
                                        <w:sz w:val="32"/>
                                        <w:szCs w:val="32"/>
                                      </w:rPr>
                                      <w:t xml:space="preserve">　　截至</w:t>
                                    </w:r>
                                    <w:r w:rsidR="00DB06CE">
                                      <w:rPr>
                                        <w:rFonts w:ascii="仿宋_GB2312" w:eastAsia="仿宋_GB2312" w:hAnsi="仿宋_GB2312" w:cs="仿宋_GB2312"/>
                                        <w:sz w:val="32"/>
                                        <w:szCs w:val="32"/>
                                      </w:rPr>
                                      <w:t>2019</w:t>
                                    </w:r>
                                    <w:r w:rsidR="00DB06CE">
                                      <w:rPr>
                                        <w:rFonts w:ascii="仿宋_GB2312" w:eastAsia="仿宋_GB2312" w:hAnsi="仿宋_GB2312" w:cs="仿宋_GB2312" w:hint="eastAsia"/>
                                        <w:sz w:val="32"/>
                                        <w:szCs w:val="32"/>
                                      </w:rPr>
                                      <w:t>年，</w:t>
                                    </w:r>
                                    <w:proofErr w:type="gramStart"/>
                                    <w:r w:rsidR="00DB06CE">
                                      <w:rPr>
                                        <w:rFonts w:ascii="仿宋_GB2312" w:eastAsia="仿宋_GB2312" w:hAnsi="仿宋_GB2312" w:cs="仿宋_GB2312" w:hint="eastAsia"/>
                                        <w:sz w:val="32"/>
                                        <w:szCs w:val="32"/>
                                      </w:rPr>
                                      <w:t>观管局</w:t>
                                    </w:r>
                                    <w:proofErr w:type="gramEnd"/>
                                    <w:r w:rsidR="00DB06CE">
                                      <w:rPr>
                                        <w:rFonts w:ascii="仿宋_GB2312" w:eastAsia="仿宋_GB2312" w:hAnsi="仿宋_GB2312" w:cs="仿宋_GB2312" w:hint="eastAsia"/>
                                        <w:sz w:val="32"/>
                                        <w:szCs w:val="32"/>
                                      </w:rPr>
                                      <w:t>共有公务用车1辆，其中：一般公务用车1辆；无单价</w:t>
                                    </w:r>
                                    <w:r w:rsidR="00DB06CE">
                                      <w:rPr>
                                        <w:rFonts w:ascii="仿宋_GB2312" w:eastAsia="仿宋_GB2312" w:hAnsi="仿宋_GB2312" w:cs="仿宋_GB2312"/>
                                        <w:sz w:val="32"/>
                                        <w:szCs w:val="32"/>
                                      </w:rPr>
                                      <w:t>50</w:t>
                                    </w:r>
                                    <w:r w:rsidR="00DB06CE">
                                      <w:rPr>
                                        <w:rFonts w:ascii="仿宋_GB2312" w:eastAsia="仿宋_GB2312" w:hAnsi="仿宋_GB2312" w:cs="仿宋_GB2312" w:hint="eastAsia"/>
                                        <w:sz w:val="32"/>
                                        <w:szCs w:val="32"/>
                                      </w:rPr>
                                      <w:t>万元以上通用设备及单价</w:t>
                                    </w:r>
                                    <w:r w:rsidR="00DB06CE">
                                      <w:rPr>
                                        <w:rFonts w:ascii="仿宋_GB2312" w:eastAsia="仿宋_GB2312" w:hAnsi="仿宋_GB2312" w:cs="仿宋_GB2312"/>
                                        <w:sz w:val="32"/>
                                        <w:szCs w:val="32"/>
                                      </w:rPr>
                                      <w:t>100</w:t>
                                    </w:r>
                                    <w:r w:rsidR="00DB06CE">
                                      <w:rPr>
                                        <w:rFonts w:ascii="仿宋_GB2312" w:eastAsia="仿宋_GB2312" w:hAnsi="仿宋_GB2312" w:cs="仿宋_GB2312" w:hint="eastAsia"/>
                                        <w:sz w:val="32"/>
                                        <w:szCs w:val="32"/>
                                      </w:rPr>
                                      <w:t>万元以上专用设备。</w:t>
                                    </w:r>
                                  </w:p>
                                  <w:p w:rsidR="001C4959" w:rsidRDefault="001C4959">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（四）绩效目标设置情况。</w:t>
                                    </w:r>
                                  </w:p>
                                  <w:p w:rsidR="00AC68BC" w:rsidRDefault="001C4959">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绩效目标是预算编制的前提和基础，按照“费随事定”的原则，2019年观音桥景区管理局部门整体预算及项目</w:t>
                                    </w:r>
                                    <w:r w:rsidR="002A5E4B">
                                      <w:rPr>
                                        <w:rFonts w:ascii="仿宋_GB2312" w:eastAsia="仿宋_GB2312" w:hAnsi="仿宋_GB2312" w:cs="仿宋_GB2312" w:hint="eastAsia"/>
                                        <w:sz w:val="32"/>
                                        <w:szCs w:val="32"/>
                                      </w:rPr>
                                      <w:t>按要求编制了绩效目标，从项目完成、项目效益、满意度等方面设置了绩效指标，综合反映项目预期完成的数量、成本、时效、质量，预期达到的社会效益、经济效益、生态效益、可持续影响及服务对象满意度等情况。</w:t>
                                    </w:r>
                                    <w:r w:rsidR="00DB06CE">
                                      <w:rPr>
                                        <w:rFonts w:ascii="仿宋_GB2312" w:eastAsia="仿宋_GB2312" w:hAnsi="仿宋_GB2312" w:cs="仿宋_GB2312"/>
                                        <w:sz w:val="32"/>
                                        <w:szCs w:val="32"/>
                                      </w:rPr>
                                      <w:br/>
                                    </w:r>
                                    <w:r w:rsidR="00DB06CE">
                                      <w:rPr>
                                        <w:rFonts w:ascii="仿宋_GB2312" w:eastAsia="仿宋_GB2312" w:hAnsi="仿宋_GB2312" w:cs="仿宋_GB2312" w:hint="eastAsia"/>
                                        <w:sz w:val="32"/>
                                        <w:szCs w:val="32"/>
                                      </w:rPr>
                                      <w:t xml:space="preserve">　　十一、名词解释</w:t>
                                    </w:r>
                                    <w:r w:rsidR="00DB06CE">
                                      <w:rPr>
                                        <w:rFonts w:ascii="仿宋_GB2312" w:eastAsia="仿宋_GB2312" w:hAnsi="仿宋_GB2312" w:cs="仿宋_GB2312"/>
                                        <w:sz w:val="32"/>
                                        <w:szCs w:val="32"/>
                                      </w:rPr>
                                      <w:br/>
                                    </w:r>
                                    <w:r w:rsidR="00DB06CE">
                                      <w:rPr>
                                        <w:rFonts w:ascii="仿宋_GB2312" w:eastAsia="仿宋_GB2312" w:hAnsi="仿宋_GB2312" w:cs="仿宋_GB2312" w:hint="eastAsia"/>
                                        <w:sz w:val="32"/>
                                        <w:szCs w:val="32"/>
                                      </w:rPr>
                                      <w:t xml:space="preserve">　　</w:t>
                                    </w:r>
                                    <w:r w:rsidR="00DB06CE">
                                      <w:rPr>
                                        <w:rFonts w:ascii="仿宋_GB2312" w:eastAsia="仿宋_GB2312" w:hAnsi="仿宋_GB2312" w:cs="仿宋_GB2312"/>
                                        <w:sz w:val="32"/>
                                        <w:szCs w:val="32"/>
                                      </w:rPr>
                                      <w:t>1.</w:t>
                                    </w:r>
                                    <w:r w:rsidR="00DB06CE">
                                      <w:rPr>
                                        <w:rFonts w:ascii="仿宋_GB2312" w:eastAsia="仿宋_GB2312" w:hAnsi="仿宋_GB2312" w:cs="仿宋_GB2312" w:hint="eastAsia"/>
                                        <w:sz w:val="32"/>
                                        <w:szCs w:val="32"/>
                                      </w:rPr>
                                      <w:t>财政拨款收入：指县级财政当年拨付的资金。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事业收入：指事业单位开展专业业务活动及辅助活动所取得的收入。</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经营收入：指事业单位在专业业务活动及其辅助活动之外开展非独立核算经营活动取得的收入。</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4.</w:t>
                                    </w:r>
                                    <w:r>
                                      <w:rPr>
                                        <w:rFonts w:ascii="仿宋_GB2312" w:eastAsia="仿宋_GB2312" w:hAnsi="仿宋_GB2312" w:cs="仿宋_GB2312" w:hint="eastAsia"/>
                                        <w:sz w:val="32"/>
                                        <w:szCs w:val="32"/>
                                      </w:rPr>
                                      <w:t>其他收入：指除上述“财政拨款收入”、“事业收入”、“经营收入”等以外的收入。</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年初结转和结余：指以前年度尚未完成、结转到本年按有关规定继续使用的资金。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社会保障和就业</w:t>
                                    </w:r>
                                    <w:r>
                                      <w:rPr>
                                        <w:rFonts w:ascii="仿宋_GB2312" w:eastAsia="仿宋_GB2312" w:hAnsi="仿宋_GB2312" w:cs="仿宋_GB2312"/>
                                        <w:sz w:val="32"/>
                                        <w:szCs w:val="32"/>
                                      </w:rPr>
                                      <w:t>2080101</w:t>
                                    </w:r>
                                    <w:r>
                                      <w:rPr>
                                        <w:rFonts w:ascii="仿宋_GB2312" w:eastAsia="仿宋_GB2312" w:hAnsi="仿宋_GB2312" w:cs="仿宋_GB2312" w:hint="eastAsia"/>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一般公共服务</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：指反映人大、党委、政府机构行政运行的支出。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文化体育与传媒</w:t>
                                    </w:r>
                                    <w:r>
                                      <w:rPr>
                                        <w:rFonts w:ascii="仿宋_GB2312" w:eastAsia="仿宋_GB2312" w:hAnsi="仿宋_GB2312" w:cs="仿宋_GB2312"/>
                                        <w:sz w:val="32"/>
                                        <w:szCs w:val="32"/>
                                      </w:rPr>
                                      <w:t>2070109</w:t>
                                    </w:r>
                                    <w:r>
                                      <w:rPr>
                                        <w:rFonts w:ascii="仿宋_GB2312" w:eastAsia="仿宋_GB2312" w:hAnsi="仿宋_GB2312" w:cs="仿宋_GB2312" w:hint="eastAsia"/>
                                        <w:sz w:val="32"/>
                                        <w:szCs w:val="32"/>
                                      </w:rPr>
                                      <w:t>群众文化：指文化站及社事中</w:t>
                                    </w:r>
                                    <w:r>
                                      <w:rPr>
                                        <w:rFonts w:ascii="仿宋_GB2312" w:eastAsia="仿宋_GB2312" w:hAnsi="仿宋_GB2312" w:cs="仿宋_GB2312" w:hint="eastAsia"/>
                                        <w:sz w:val="32"/>
                                        <w:szCs w:val="32"/>
                                      </w:rPr>
                                      <w:lastRenderedPageBreak/>
                                      <w:t>心运行的支出。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w:t>
                                    </w:r>
                                    <w:r>
                                      <w:rPr>
                                        <w:rFonts w:ascii="仿宋_GB2312" w:eastAsia="仿宋_GB2312" w:hAnsi="仿宋_GB2312" w:cs="仿宋_GB2312" w:hint="eastAsia"/>
                                        <w:sz w:val="32"/>
                                        <w:szCs w:val="32"/>
                                      </w:rPr>
                                      <w:t>医疗卫生与计划生育</w:t>
                                    </w:r>
                                    <w:r>
                                      <w:rPr>
                                        <w:rFonts w:ascii="仿宋_GB2312" w:eastAsia="仿宋_GB2312" w:hAnsi="仿宋_GB2312" w:cs="仿宋_GB2312"/>
                                        <w:sz w:val="32"/>
                                        <w:szCs w:val="32"/>
                                      </w:rPr>
                                      <w:t>2100501:</w:t>
                                    </w:r>
                                    <w:r>
                                      <w:rPr>
                                        <w:rFonts w:ascii="仿宋_GB2312" w:eastAsia="仿宋_GB2312" w:hAnsi="仿宋_GB2312" w:cs="仿宋_GB2312" w:hint="eastAsia"/>
                                        <w:sz w:val="32"/>
                                        <w:szCs w:val="32"/>
                                      </w:rPr>
                                      <w:t>指职工的医疗保险。</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11.</w:t>
                                    </w:r>
                                    <w:r>
                                      <w:rPr>
                                        <w:rFonts w:ascii="仿宋_GB2312" w:eastAsia="仿宋_GB2312" w:hAnsi="仿宋_GB2312" w:cs="仿宋_GB2312" w:hint="eastAsia"/>
                                        <w:sz w:val="32"/>
                                        <w:szCs w:val="32"/>
                                      </w:rPr>
                                      <w:t>住房保障支出</w:t>
                                    </w:r>
                                    <w:r>
                                      <w:rPr>
                                        <w:rFonts w:ascii="仿宋_GB2312" w:eastAsia="仿宋_GB2312" w:hAnsi="仿宋_GB2312" w:cs="仿宋_GB2312"/>
                                        <w:sz w:val="32"/>
                                        <w:szCs w:val="32"/>
                                      </w:rPr>
                                      <w:t>2210201</w:t>
                                    </w:r>
                                    <w:r>
                                      <w:rPr>
                                        <w:rFonts w:ascii="仿宋_GB2312" w:eastAsia="仿宋_GB2312" w:hAnsi="仿宋_GB2312" w:cs="仿宋_GB2312" w:hint="eastAsia"/>
                                        <w:sz w:val="32"/>
                                        <w:szCs w:val="32"/>
                                      </w:rPr>
                                      <w:t>：指职工的住房公积金。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12</w:t>
                                    </w:r>
                                    <w:r>
                                      <w:rPr>
                                        <w:rFonts w:ascii="仿宋_GB2312" w:eastAsia="仿宋_GB2312" w:hAnsi="仿宋_GB2312" w:cs="仿宋_GB2312" w:hint="eastAsia"/>
                                        <w:sz w:val="32"/>
                                        <w:szCs w:val="32"/>
                                      </w:rPr>
                                      <w:t>、其他支出</w:t>
                                    </w:r>
                                    <w:r>
                                      <w:rPr>
                                        <w:rFonts w:ascii="仿宋_GB2312" w:eastAsia="仿宋_GB2312" w:hAnsi="仿宋_GB2312" w:cs="仿宋_GB2312"/>
                                        <w:sz w:val="32"/>
                                        <w:szCs w:val="32"/>
                                      </w:rPr>
                                      <w:t>2299901</w:t>
                                    </w:r>
                                    <w:r>
                                      <w:rPr>
                                        <w:rFonts w:ascii="仿宋_GB2312" w:eastAsia="仿宋_GB2312" w:hAnsi="仿宋_GB2312" w:cs="仿宋_GB2312" w:hint="eastAsia"/>
                                        <w:sz w:val="32"/>
                                        <w:szCs w:val="32"/>
                                      </w:rPr>
                                      <w:t>：指退休干部春节慰问金。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13.</w:t>
                                    </w:r>
                                    <w:r>
                                      <w:rPr>
                                        <w:rFonts w:ascii="仿宋_GB2312" w:eastAsia="仿宋_GB2312" w:hAnsi="仿宋_GB2312" w:cs="仿宋_GB2312" w:hint="eastAsia"/>
                                        <w:sz w:val="32"/>
                                        <w:szCs w:val="32"/>
                                      </w:rPr>
                                      <w:t>结余分配：指事业单位按规定提取的职工福利基金、事业基金和缴纳的所得税，以及建设单位按规定应交回的基本建设竣工项目结余资金。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14.</w:t>
                                    </w:r>
                                    <w:r>
                                      <w:rPr>
                                        <w:rFonts w:ascii="仿宋_GB2312" w:eastAsia="仿宋_GB2312" w:hAnsi="仿宋_GB2312" w:cs="仿宋_GB2312" w:hint="eastAsia"/>
                                        <w:sz w:val="32"/>
                                        <w:szCs w:val="32"/>
                                      </w:rPr>
                                      <w:t>年末结转和结余：指本年度或以前年度预算安排、因客观条件发生变化无法按原计划实施，需延迟到以后年度按有关规定继续使用的资金。</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15.</w:t>
                                    </w:r>
                                    <w:r>
                                      <w:rPr>
                                        <w:rFonts w:ascii="仿宋_GB2312" w:eastAsia="仿宋_GB2312" w:hAnsi="仿宋_GB2312" w:cs="仿宋_GB2312" w:hint="eastAsia"/>
                                        <w:sz w:val="32"/>
                                        <w:szCs w:val="32"/>
                                      </w:rPr>
                                      <w:t>基本支出：指为保障机构正常运转、完成日常工作任务而发生的人员支出和公用支出。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16.</w:t>
                                    </w:r>
                                    <w:r>
                                      <w:rPr>
                                        <w:rFonts w:ascii="仿宋_GB2312" w:eastAsia="仿宋_GB2312" w:hAnsi="仿宋_GB2312" w:cs="仿宋_GB2312" w:hint="eastAsia"/>
                                        <w:sz w:val="32"/>
                                        <w:szCs w:val="32"/>
                                      </w:rPr>
                                      <w:t>项目支出：指在基本支出之外为完成特定行政任务和事业发展目标所发生的支出。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17.</w:t>
                                    </w:r>
                                    <w:r>
                                      <w:rPr>
                                        <w:rFonts w:ascii="仿宋_GB2312" w:eastAsia="仿宋_GB2312" w:hAnsi="仿宋_GB2312" w:cs="仿宋_GB2312" w:hint="eastAsia"/>
                                        <w:sz w:val="32"/>
                                        <w:szCs w:val="32"/>
                                      </w:rPr>
                                      <w:t>经营支出：指事业单位在专业业务活动及其辅助活动之外开展非独立核算经营活动发生的支出。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18.</w:t>
                                    </w:r>
                                    <w:r>
                                      <w:rPr>
                                        <w:rFonts w:ascii="仿宋_GB2312" w:eastAsia="仿宋_GB2312" w:hAnsi="仿宋_GB2312" w:cs="仿宋_GB2312" w:hint="eastAsia"/>
                                        <w:sz w:val="32"/>
                                        <w:szCs w:val="32"/>
                                      </w:rPr>
                                      <w:t>“三公”经费：纳入县级财政预决算管理的“三公”经费，是指部门用财政拨款安排的因公出国（境）费、公务用车购置及运行费和公务接待费。其中，因公出国（境）</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单位公务用车车辆购置支出（</w:t>
                                    </w:r>
                                    <w:proofErr w:type="gramStart"/>
                                    <w:r>
                                      <w:rPr>
                                        <w:rFonts w:ascii="仿宋_GB2312" w:eastAsia="仿宋_GB2312" w:hAnsi="仿宋_GB2312" w:cs="仿宋_GB2312" w:hint="eastAsia"/>
                                        <w:sz w:val="32"/>
                                        <w:szCs w:val="32"/>
                                      </w:rPr>
                                      <w:t>含车辆</w:t>
                                    </w:r>
                                    <w:proofErr w:type="gramEnd"/>
                                    <w:r>
                                      <w:rPr>
                                        <w:rFonts w:ascii="仿宋_GB2312" w:eastAsia="仿宋_GB2312" w:hAnsi="仿宋_GB2312" w:cs="仿宋_GB2312" w:hint="eastAsia"/>
                                        <w:sz w:val="32"/>
                                        <w:szCs w:val="32"/>
                                      </w:rPr>
                                      <w:t>购置税）及租用费、燃料</w:t>
                                    </w:r>
                                    <w:r>
                                      <w:rPr>
                                        <w:rFonts w:ascii="仿宋_GB2312" w:eastAsia="仿宋_GB2312" w:hAnsi="仿宋_GB2312" w:cs="仿宋_GB2312" w:hint="eastAsia"/>
                                        <w:sz w:val="32"/>
                                        <w:szCs w:val="32"/>
                                      </w:rPr>
                                      <w:lastRenderedPageBreak/>
                                      <w:t>费、维修费、过路过桥费、保险费、安全奖励费用等支出；公务接待</w:t>
                                    </w:r>
                                    <w:proofErr w:type="gramStart"/>
                                    <w:r>
                                      <w:rPr>
                                        <w:rFonts w:ascii="仿宋_GB2312" w:eastAsia="仿宋_GB2312" w:hAnsi="仿宋_GB2312" w:cs="仿宋_GB2312" w:hint="eastAsia"/>
                                        <w:sz w:val="32"/>
                                        <w:szCs w:val="32"/>
                                      </w:rPr>
                                      <w:t>费反映</w:t>
                                    </w:r>
                                    <w:proofErr w:type="gramEnd"/>
                                    <w:r>
                                      <w:rPr>
                                        <w:rFonts w:ascii="仿宋_GB2312" w:eastAsia="仿宋_GB2312" w:hAnsi="仿宋_GB2312" w:cs="仿宋_GB2312" w:hint="eastAsia"/>
                                        <w:sz w:val="32"/>
                                        <w:szCs w:val="32"/>
                                      </w:rPr>
                                      <w:t>单位按规定开支的各类公务接待（含外宾接待）支出。</w:t>
                                    </w:r>
                                  </w:p>
                                  <w:p w:rsidR="00AC68BC" w:rsidRDefault="00DB06CE">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19.</w:t>
                                    </w:r>
                                    <w:r>
                                      <w:rPr>
                                        <w:rFonts w:ascii="仿宋_GB2312" w:eastAsia="仿宋_GB2312" w:hAnsi="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Ansi="仿宋_GB2312" w:cs="仿宋_GB2312"/>
                                        <w:sz w:val="32"/>
                                        <w:szCs w:val="32"/>
                                      </w:rPr>
                                      <w:t xml:space="preserve">  </w:t>
                                    </w:r>
                                  </w:p>
                                  <w:p w:rsidR="00AC68BC" w:rsidRDefault="00AC68BC">
                                    <w:pPr>
                                      <w:ind w:firstLineChars="200" w:firstLine="640"/>
                                      <w:rPr>
                                        <w:rFonts w:ascii="仿宋_GB2312" w:eastAsia="仿宋_GB2312" w:hAnsi="仿宋_GB2312" w:cs="仿宋_GB2312"/>
                                        <w:sz w:val="32"/>
                                        <w:szCs w:val="32"/>
                                      </w:rPr>
                                    </w:pPr>
                                  </w:p>
                                </w:tc>
                              </w:tr>
                            </w:tbl>
                            <w:p w:rsidR="00AC68BC" w:rsidRDefault="00AC68BC">
                              <w:pPr>
                                <w:widowControl/>
                                <w:spacing w:after="240"/>
                                <w:jc w:val="center"/>
                                <w:rPr>
                                  <w:rFonts w:ascii="宋体" w:cs="宋体"/>
                                  <w:kern w:val="0"/>
                                  <w:szCs w:val="21"/>
                                </w:rPr>
                              </w:pPr>
                            </w:p>
                          </w:tc>
                        </w:tr>
                        <w:tr w:rsidR="00AC68BC">
                          <w:trPr>
                            <w:tblCellSpacing w:w="0" w:type="dxa"/>
                          </w:trPr>
                          <w:tc>
                            <w:tcPr>
                              <w:tcW w:w="10590" w:type="dxa"/>
                              <w:shd w:val="clear" w:color="auto" w:fill="FFFFFF"/>
                            </w:tcPr>
                            <w:p w:rsidR="00AC68BC" w:rsidRDefault="00AC68BC">
                              <w:pPr>
                                <w:widowControl/>
                                <w:spacing w:after="240"/>
                                <w:jc w:val="center"/>
                                <w:rPr>
                                  <w:rFonts w:ascii="宋体" w:cs="宋体"/>
                                  <w:kern w:val="0"/>
                                  <w:szCs w:val="21"/>
                                </w:rPr>
                              </w:pPr>
                            </w:p>
                          </w:tc>
                        </w:tr>
                      </w:tbl>
                      <w:p w:rsidR="00AC68BC" w:rsidRDefault="00AC68BC">
                        <w:pPr>
                          <w:widowControl/>
                          <w:jc w:val="left"/>
                          <w:rPr>
                            <w:rFonts w:ascii="宋体" w:cs="宋体"/>
                            <w:kern w:val="0"/>
                            <w:szCs w:val="21"/>
                          </w:rPr>
                        </w:pPr>
                      </w:p>
                    </w:tc>
                    <w:tc>
                      <w:tcPr>
                        <w:tcW w:w="1350" w:type="dxa"/>
                        <w:vAlign w:val="center"/>
                      </w:tcPr>
                      <w:p w:rsidR="00AC68BC" w:rsidRDefault="00DB06CE">
                        <w:pPr>
                          <w:widowControl/>
                          <w:jc w:val="left"/>
                          <w:rPr>
                            <w:rFonts w:ascii="宋体" w:cs="宋体"/>
                            <w:kern w:val="0"/>
                            <w:szCs w:val="21"/>
                          </w:rPr>
                        </w:pPr>
                        <w:r>
                          <w:rPr>
                            <w:rFonts w:ascii="宋体" w:cs="宋体"/>
                            <w:kern w:val="0"/>
                            <w:szCs w:val="21"/>
                          </w:rPr>
                          <w:lastRenderedPageBreak/>
                          <w:t> </w:t>
                        </w:r>
                      </w:p>
                    </w:tc>
                  </w:tr>
                  <w:tr w:rsidR="00AC68BC">
                    <w:trPr>
                      <w:trHeight w:val="450"/>
                      <w:tblCellSpacing w:w="0" w:type="dxa"/>
                    </w:trPr>
                    <w:tc>
                      <w:tcPr>
                        <w:tcW w:w="12000" w:type="dxa"/>
                        <w:gridSpan w:val="2"/>
                        <w:tcMar>
                          <w:top w:w="0" w:type="dxa"/>
                          <w:left w:w="0" w:type="dxa"/>
                          <w:bottom w:w="0" w:type="dxa"/>
                          <w:right w:w="1950" w:type="dxa"/>
                        </w:tcMar>
                        <w:vAlign w:val="center"/>
                      </w:tcPr>
                      <w:p w:rsidR="00AC68BC" w:rsidRDefault="00AC68BC">
                        <w:pPr>
                          <w:widowControl/>
                          <w:ind w:right="105"/>
                          <w:jc w:val="right"/>
                          <w:rPr>
                            <w:rFonts w:ascii="宋体" w:cs="宋体"/>
                            <w:kern w:val="0"/>
                            <w:szCs w:val="21"/>
                          </w:rPr>
                        </w:pPr>
                      </w:p>
                    </w:tc>
                  </w:tr>
                </w:tbl>
                <w:p w:rsidR="00AC68BC" w:rsidRDefault="00AC68BC">
                  <w:pPr>
                    <w:widowControl/>
                    <w:jc w:val="left"/>
                    <w:rPr>
                      <w:rFonts w:ascii="宋体" w:cs="宋体"/>
                      <w:kern w:val="0"/>
                      <w:szCs w:val="21"/>
                    </w:rPr>
                  </w:pPr>
                </w:p>
              </w:tc>
            </w:tr>
          </w:tbl>
          <w:p w:rsidR="00AC68BC" w:rsidRDefault="00AC68BC">
            <w:pPr>
              <w:widowControl/>
              <w:jc w:val="left"/>
              <w:rPr>
                <w:rFonts w:ascii="宋体" w:cs="宋体"/>
                <w:kern w:val="0"/>
                <w:szCs w:val="21"/>
              </w:rPr>
            </w:pPr>
          </w:p>
        </w:tc>
      </w:tr>
      <w:tr w:rsidR="00AC68BC">
        <w:trPr>
          <w:trHeight w:val="75"/>
          <w:tblCellSpacing w:w="0" w:type="dxa"/>
          <w:jc w:val="center"/>
        </w:trPr>
        <w:tc>
          <w:tcPr>
            <w:tcW w:w="12000" w:type="dxa"/>
            <w:vAlign w:val="center"/>
          </w:tcPr>
          <w:p w:rsidR="00AC68BC" w:rsidRDefault="00AC68BC">
            <w:pPr>
              <w:widowControl/>
              <w:jc w:val="left"/>
              <w:rPr>
                <w:rFonts w:ascii="宋体" w:cs="宋体"/>
                <w:kern w:val="0"/>
                <w:sz w:val="8"/>
                <w:szCs w:val="21"/>
              </w:rPr>
            </w:pPr>
          </w:p>
        </w:tc>
      </w:tr>
    </w:tbl>
    <w:p w:rsidR="00AC68BC" w:rsidRDefault="00AC68BC"/>
    <w:sectPr w:rsidR="00AC68BC" w:rsidSect="00AC68BC">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6CE" w:rsidRDefault="00DB06CE" w:rsidP="00AC68BC">
      <w:r>
        <w:separator/>
      </w:r>
    </w:p>
  </w:endnote>
  <w:endnote w:type="continuationSeparator" w:id="1">
    <w:p w:rsidR="00DB06CE" w:rsidRDefault="00DB06CE" w:rsidP="00AC68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6CE" w:rsidRDefault="00DB06CE" w:rsidP="00AC68BC">
      <w:r>
        <w:separator/>
      </w:r>
    </w:p>
  </w:footnote>
  <w:footnote w:type="continuationSeparator" w:id="1">
    <w:p w:rsidR="00DB06CE" w:rsidRDefault="00DB06CE" w:rsidP="00AC68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8BC" w:rsidRDefault="00AC68BC">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hdrShapeDefaults>
    <o:shapedefaults v:ext="edit" spidmax="3073"/>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60A8C"/>
    <w:rsid w:val="00080888"/>
    <w:rsid w:val="00081111"/>
    <w:rsid w:val="000A29C7"/>
    <w:rsid w:val="000A5865"/>
    <w:rsid w:val="000D0980"/>
    <w:rsid w:val="000D5907"/>
    <w:rsid w:val="00116F5C"/>
    <w:rsid w:val="00120BD1"/>
    <w:rsid w:val="001212E0"/>
    <w:rsid w:val="0014188A"/>
    <w:rsid w:val="00147EED"/>
    <w:rsid w:val="0015669D"/>
    <w:rsid w:val="001663EC"/>
    <w:rsid w:val="001C4959"/>
    <w:rsid w:val="002645C0"/>
    <w:rsid w:val="002A5E4B"/>
    <w:rsid w:val="002B01A2"/>
    <w:rsid w:val="002E69E5"/>
    <w:rsid w:val="00307A8F"/>
    <w:rsid w:val="0033706B"/>
    <w:rsid w:val="00381EC2"/>
    <w:rsid w:val="003D16F6"/>
    <w:rsid w:val="004057C0"/>
    <w:rsid w:val="00492C71"/>
    <w:rsid w:val="004A67CD"/>
    <w:rsid w:val="004D5C38"/>
    <w:rsid w:val="00580030"/>
    <w:rsid w:val="0061784D"/>
    <w:rsid w:val="006606D8"/>
    <w:rsid w:val="00671D43"/>
    <w:rsid w:val="006F3D0A"/>
    <w:rsid w:val="00712D09"/>
    <w:rsid w:val="00725E25"/>
    <w:rsid w:val="00784165"/>
    <w:rsid w:val="0079144A"/>
    <w:rsid w:val="00795184"/>
    <w:rsid w:val="007B6964"/>
    <w:rsid w:val="007D38C0"/>
    <w:rsid w:val="00850FC6"/>
    <w:rsid w:val="0085248E"/>
    <w:rsid w:val="008749F0"/>
    <w:rsid w:val="008E2D08"/>
    <w:rsid w:val="00944885"/>
    <w:rsid w:val="00955634"/>
    <w:rsid w:val="00991FC8"/>
    <w:rsid w:val="00A01222"/>
    <w:rsid w:val="00A8779B"/>
    <w:rsid w:val="00AB66D3"/>
    <w:rsid w:val="00AC68BC"/>
    <w:rsid w:val="00B62EC8"/>
    <w:rsid w:val="00B916F9"/>
    <w:rsid w:val="00C31066"/>
    <w:rsid w:val="00C3677A"/>
    <w:rsid w:val="00C43171"/>
    <w:rsid w:val="00C860C7"/>
    <w:rsid w:val="00C9143A"/>
    <w:rsid w:val="00D04AEB"/>
    <w:rsid w:val="00D04CCC"/>
    <w:rsid w:val="00D34BA8"/>
    <w:rsid w:val="00D36963"/>
    <w:rsid w:val="00D5207E"/>
    <w:rsid w:val="00DB06CE"/>
    <w:rsid w:val="00DE68AA"/>
    <w:rsid w:val="00E3430B"/>
    <w:rsid w:val="00E35956"/>
    <w:rsid w:val="00E606F7"/>
    <w:rsid w:val="00E65E3E"/>
    <w:rsid w:val="00F01933"/>
    <w:rsid w:val="00F53E2C"/>
    <w:rsid w:val="101B09EA"/>
    <w:rsid w:val="13B40FBB"/>
    <w:rsid w:val="287E39B5"/>
    <w:rsid w:val="5B77555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semiHidden="0" w:unhideWhenUsed="0" w:qFormat="1"/>
    <w:lsdException w:name="Emphasis" w:locked="1"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8BC"/>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AC68BC"/>
    <w:pPr>
      <w:tabs>
        <w:tab w:val="center" w:pos="4153"/>
        <w:tab w:val="right" w:pos="8306"/>
      </w:tabs>
      <w:snapToGrid w:val="0"/>
      <w:jc w:val="left"/>
    </w:pPr>
    <w:rPr>
      <w:sz w:val="18"/>
      <w:szCs w:val="18"/>
    </w:rPr>
  </w:style>
  <w:style w:type="paragraph" w:styleId="a4">
    <w:name w:val="header"/>
    <w:basedOn w:val="a"/>
    <w:link w:val="Char0"/>
    <w:uiPriority w:val="99"/>
    <w:semiHidden/>
    <w:qFormat/>
    <w:rsid w:val="00AC68B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AC68BC"/>
    <w:pPr>
      <w:spacing w:beforeAutospacing="1" w:afterAutospacing="1"/>
      <w:jc w:val="left"/>
    </w:pPr>
    <w:rPr>
      <w:kern w:val="0"/>
      <w:sz w:val="24"/>
    </w:rPr>
  </w:style>
  <w:style w:type="character" w:styleId="a6">
    <w:name w:val="Strong"/>
    <w:basedOn w:val="a0"/>
    <w:uiPriority w:val="99"/>
    <w:qFormat/>
    <w:rsid w:val="00AC68BC"/>
    <w:rPr>
      <w:rFonts w:cs="Times New Roman"/>
      <w:b/>
      <w:bCs/>
    </w:rPr>
  </w:style>
  <w:style w:type="character" w:styleId="a7">
    <w:name w:val="Hyperlink"/>
    <w:basedOn w:val="a0"/>
    <w:uiPriority w:val="99"/>
    <w:semiHidden/>
    <w:unhideWhenUsed/>
    <w:rsid w:val="00AC68BC"/>
    <w:rPr>
      <w:color w:val="0000FF"/>
      <w:u w:val="single"/>
    </w:rPr>
  </w:style>
  <w:style w:type="character" w:customStyle="1" w:styleId="pagetext0031">
    <w:name w:val="pagetext0031"/>
    <w:basedOn w:val="a0"/>
    <w:uiPriority w:val="99"/>
    <w:rsid w:val="00AC68BC"/>
    <w:rPr>
      <w:rFonts w:ascii="宋体" w:eastAsia="宋体" w:hAnsi="宋体" w:cs="Times New Roman"/>
      <w:color w:val="555555"/>
      <w:sz w:val="21"/>
      <w:szCs w:val="21"/>
    </w:rPr>
  </w:style>
  <w:style w:type="character" w:customStyle="1" w:styleId="Char0">
    <w:name w:val="页眉 Char"/>
    <w:basedOn w:val="a0"/>
    <w:link w:val="a4"/>
    <w:uiPriority w:val="99"/>
    <w:semiHidden/>
    <w:qFormat/>
    <w:locked/>
    <w:rsid w:val="00AC68BC"/>
    <w:rPr>
      <w:rFonts w:cs="Times New Roman"/>
      <w:sz w:val="18"/>
      <w:szCs w:val="18"/>
    </w:rPr>
  </w:style>
  <w:style w:type="character" w:customStyle="1" w:styleId="Char">
    <w:name w:val="页脚 Char"/>
    <w:basedOn w:val="a0"/>
    <w:link w:val="a3"/>
    <w:uiPriority w:val="99"/>
    <w:semiHidden/>
    <w:qFormat/>
    <w:locked/>
    <w:rsid w:val="00AC68BC"/>
    <w:rPr>
      <w:rFonts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hize8.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3635</Words>
  <Characters>584</Characters>
  <Application>Microsoft Office Word</Application>
  <DocSecurity>0</DocSecurity>
  <Lines>4</Lines>
  <Paragraphs>8</Paragraphs>
  <ScaleCrop>false</ScaleCrop>
  <Company>Lenovo (Beijing) Limited</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48</cp:revision>
  <dcterms:created xsi:type="dcterms:W3CDTF">2019-01-03T06:25:00Z</dcterms:created>
  <dcterms:modified xsi:type="dcterms:W3CDTF">2019-01-23T03:27:00Z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