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240" w:lineRule="auto"/>
                                      <w:ind w:firstLine="0"/>
                                      <w:rPr>
                                        <w:rFonts w:hint="eastAsia" w:ascii="仿宋_GB2312" w:hAnsi="宋体" w:eastAsia="仿宋_GB2312" w:cs="宋体"/>
                                        <w:color w:val="333333"/>
                                        <w:kern w:val="0"/>
                                        <w:sz w:val="28"/>
                                        <w:szCs w:val="28"/>
                                      </w:rPr>
                                    </w:pPr>
                                    <w:r>
                                      <w:rPr>
                                        <w:rFonts w:hint="eastAsia" w:ascii="方正小标宋简体" w:hAnsi="宋体" w:eastAsia="方正小标宋简体" w:cs="宋体"/>
                                        <w:color w:val="333333"/>
                                        <w:kern w:val="0"/>
                                        <w:sz w:val="36"/>
                                        <w:szCs w:val="36"/>
                                      </w:rPr>
                                      <w:t>　</w:t>
                                    </w:r>
                                    <w:r>
                                      <w:rPr>
                                        <w:rFonts w:hint="eastAsia" w:ascii="方正小标宋简体" w:hAnsi="宋体" w:eastAsia="方正小标宋简体" w:cs="宋体"/>
                                        <w:color w:val="333333"/>
                                        <w:kern w:val="0"/>
                                        <w:sz w:val="36"/>
                                        <w:szCs w:val="36"/>
                                        <w:lang w:val="en-US" w:eastAsia="zh-CN"/>
                                      </w:rPr>
                                      <w:t xml:space="preserve">     </w:t>
                                    </w:r>
                                    <w:r>
                                      <w:rPr>
                                        <w:rFonts w:hint="eastAsia" w:ascii="方正小标宋简体" w:hAnsi="宋体" w:eastAsia="方正小标宋简体" w:cs="宋体"/>
                                        <w:color w:val="auto"/>
                                        <w:kern w:val="0"/>
                                        <w:sz w:val="36"/>
                                        <w:szCs w:val="36"/>
                                        <w:lang w:val="en-US" w:eastAsia="zh-CN"/>
                                      </w:rPr>
                                      <w:t>俄热乡人民政府</w:t>
                                    </w:r>
                                    <w:r>
                                      <w:rPr>
                                        <w:rFonts w:hint="eastAsia" w:ascii="方正小标宋简体" w:hAnsi="宋体" w:eastAsia="方正小标宋简体" w:cs="宋体"/>
                                        <w:color w:val="auto"/>
                                        <w:kern w:val="0"/>
                                        <w:sz w:val="36"/>
                                        <w:szCs w:val="36"/>
                                      </w:rPr>
                                      <w:t>201</w:t>
                                    </w:r>
                                    <w:r>
                                      <w:rPr>
                                        <w:rFonts w:hint="eastAsia" w:ascii="方正小标宋简体" w:hAnsi="宋体" w:eastAsia="方正小标宋简体" w:cs="宋体"/>
                                        <w:color w:val="auto"/>
                                        <w:kern w:val="0"/>
                                        <w:sz w:val="36"/>
                                        <w:szCs w:val="36"/>
                                        <w:lang w:val="en-US" w:eastAsia="zh-CN"/>
                                      </w:rPr>
                                      <w:t>9</w:t>
                                    </w:r>
                                    <w:r>
                                      <w:rPr>
                                        <w:rFonts w:hint="eastAsia" w:ascii="方正小标宋简体" w:hAnsi="宋体" w:eastAsia="方正小标宋简体" w:cs="宋体"/>
                                        <w:color w:val="auto"/>
                                        <w:kern w:val="0"/>
                                        <w:sz w:val="36"/>
                                        <w:szCs w:val="36"/>
                                      </w:rPr>
                                      <w:t>年部门预算编制说明</w:t>
                                    </w:r>
                                    <w:r>
                                      <w:rPr>
                                        <w:rFonts w:hint="eastAsia" w:ascii="方正小标宋简体" w:hAnsi="宋体" w:eastAsia="方正小标宋简体" w:cs="宋体"/>
                                        <w:color w:val="auto"/>
                                        <w:kern w:val="0"/>
                                        <w:sz w:val="36"/>
                                        <w:szCs w:val="36"/>
                                      </w:rPr>
                                      <w:br w:type="textWrapping"/>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w:t>
                                    </w:r>
                                    <w:r>
                                      <w:rPr>
                                        <w:rFonts w:hint="eastAsia" w:ascii="楷体_GB2312" w:hAnsi="宋体" w:eastAsia="楷体_GB2312" w:cs="宋体"/>
                                        <w:b/>
                                        <w:bCs/>
                                        <w:color w:val="333333"/>
                                        <w:kern w:val="0"/>
                                        <w:sz w:val="28"/>
                                        <w:lang w:eastAsia="zh-CN"/>
                                      </w:rPr>
                                      <w:t>俄热乡</w:t>
                                    </w:r>
                                    <w:r>
                                      <w:rPr>
                                        <w:rFonts w:hint="eastAsia" w:ascii="楷体_GB2312" w:hAnsi="宋体" w:eastAsia="楷体_GB2312" w:cs="宋体"/>
                                        <w:b/>
                                        <w:bCs/>
                                        <w:color w:val="333333"/>
                                        <w:kern w:val="0"/>
                                        <w:sz w:val="28"/>
                                      </w:rPr>
                                      <w:t>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主要职能：根据党章和《地方组织法》的规定，乡党委、政府承担辖区内促进经济发展、提供公共服务、加强社会管理、维护社会稳定，推动物质文明、政治文明、精神文明及和谐社会建设等任务。</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主要职责：（1）贯彻落实党和政府各项路线方针政策。以“三个代表” 重要思想为指导，牢固树立和落实科学发展观，宣传和贯彻执行党的路线、方针、政策和国家的法律、法令；宣传和贯彻上级机关的政策、法规、规章、决定等；执行本级党代会和人代会的决定、决议；研究决定辖区内政治、经济、文化等重大问题。</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建立和健全农村社会化服务体系，为群众提供各项公共服务。建立和完善农村社会保障体系，做好农村最低生活保障、“五保”对象集中供养、低保家庭子女基础教育免费入学、失地农民基本生活保障、城乡医疗保障及就业培训、救济救助、民政优抚等工作；加强集卫生监督、疫病防控、医疗卫生服务为一体的卫生服务体系建设；切实抓好和完善教育、科技、文化、卫生、体育、农田水利、村乡、生态环境、农村公路管理等基础设施建设，不断改善群众的生产生活条件。</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 xml:space="preserve">进一步强化社会管理职能，加强辖区内的社会治安综合管理。建立村、企业及单位治安综合治理网络，实行群防群治。加强法制宣传教育，积极做好平安乡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  </w:t>
                                    </w:r>
                                  </w:p>
                                  <w:p>
                                    <w:pPr>
                                      <w:widowControl/>
                                      <w:spacing w:line="240" w:lineRule="auto"/>
                                      <w:ind w:firstLine="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（6）法律、法规、规章和上级规定的其他事项。</w:t>
                                    </w:r>
                                  </w:p>
                                  <w:p>
                                    <w:pPr>
                                      <w:widowControl/>
                                      <w:spacing w:line="240" w:lineRule="auto"/>
                                      <w:ind w:firstLine="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w:t>
                                    </w:r>
                                    <w:r>
                                      <w:rPr>
                                        <w:rFonts w:hint="eastAsia" w:ascii="楷体_GB2312" w:hAnsi="宋体" w:eastAsia="楷体_GB2312" w:cs="宋体"/>
                                        <w:b/>
                                        <w:bCs/>
                                        <w:color w:val="333333"/>
                                        <w:kern w:val="0"/>
                                        <w:sz w:val="28"/>
                                        <w:lang w:eastAsia="zh-CN"/>
                                      </w:rPr>
                                      <w:t>俄热乡</w:t>
                                    </w:r>
                                    <w:r>
                                      <w:rPr>
                                        <w:rFonts w:hint="eastAsia" w:ascii="楷体_GB2312" w:hAnsi="宋体" w:eastAsia="楷体_GB2312" w:cs="宋体"/>
                                        <w:b/>
                                        <w:bCs/>
                                        <w:color w:val="333333"/>
                                        <w:kern w:val="0"/>
                                        <w:sz w:val="28"/>
                                      </w:rPr>
                                      <w:t>201</w:t>
                                    </w:r>
                                    <w:r>
                                      <w:rPr>
                                        <w:rFonts w:hint="eastAsia" w:ascii="楷体_GB2312" w:hAnsi="宋体" w:eastAsia="楷体_GB2312" w:cs="宋体"/>
                                        <w:b/>
                                        <w:bCs/>
                                        <w:color w:val="333333"/>
                                        <w:kern w:val="0"/>
                                        <w:sz w:val="28"/>
                                        <w:lang w:val="en-US" w:eastAsia="zh-CN"/>
                                      </w:rPr>
                                      <w:t>9</w:t>
                                    </w:r>
                                    <w:r>
                                      <w:rPr>
                                        <w:rFonts w:hint="eastAsia" w:ascii="楷体_GB2312" w:hAnsi="宋体" w:eastAsia="楷体_GB2312" w:cs="宋体"/>
                                        <w:b/>
                                        <w:bCs/>
                                        <w:color w:val="333333"/>
                                        <w:kern w:val="0"/>
                                        <w:sz w:val="28"/>
                                      </w:rPr>
                                      <w:t>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抓好维护稳定工作，加强寺庙及全乡重点人口的管控，统筹好涉及水电开发建设工作中各类矛盾协调化解工作，确保为水电开发提供良好的外部环境。</w:t>
                                    </w:r>
                                  </w:p>
                                  <w:p>
                                    <w:pPr>
                                      <w:widowControl/>
                                      <w:spacing w:line="240" w:lineRule="auto"/>
                                      <w:ind w:firstLine="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2、全力以赴做好脱贫攻坚各项工作。竭尽全力做好贫困对象销号工作，进一步强化项目的监督管理，资金的使用管理，做到乡政府管钱不用钱、村两委用钱不管钱</w:t>
                                    </w:r>
                                    <w:bookmarkStart w:id="0" w:name="_GoBack"/>
                                    <w:bookmarkEnd w:id="0"/>
                                    <w:r>
                                      <w:rPr>
                                        <w:rFonts w:hint="eastAsia" w:ascii="仿宋_GB2312" w:hAnsi="宋体" w:eastAsia="仿宋_GB2312" w:cs="宋体"/>
                                        <w:color w:val="333333"/>
                                        <w:kern w:val="0"/>
                                        <w:sz w:val="28"/>
                                        <w:szCs w:val="28"/>
                                      </w:rPr>
                                      <w:t>。</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全力推进俄热河水电开发项目。随着俄热电站、红卫桥电站的修建，在此项工作中既要为企业搞好服务，又要保护群众的合法利益，最大限度的改变因电站建设而制约我乡各项基础设施建设的现状，真正实现建一座电站，富一方百姓。</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4、确保防汛和地灾防治万无一失。全力做好我乡地灾防治各环节的工作，确保群众的生命财产安全。随时检查各隐患点的变化，确保全乡在汛期不出现伤亡事故。</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5、整体推进其他各项工作。在抓好全乡重点工作的同时，要有序推进我乡林业、民政、计生等工作，通过学习和培训，提高便民服务中心各业务窗口办事效率，努力提高综合服务能力。</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年独立编制单位机构数为4个，财政供养人员编制为26名，其中行政编制19名，行政工勤编制2名，事业编制5名（其中参照公务员法管理人员编制0人）；201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年实际财政供养人员2</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人，较上年增加</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人（不含退休人员），其中：行政</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人，行政工勤0人，事业0人;较上年减少</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人（不含退休人员），其中：行政</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 xml:space="preserve">人，行政工勤0人，事业0人。 </w:t>
                                    </w:r>
                                  </w:p>
                                  <w:p>
                                    <w:pPr>
                                      <w:widowControl/>
                                      <w:spacing w:line="240" w:lineRule="auto"/>
                                      <w:ind w:firstLine="560" w:firstLineChars="200"/>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w:t>
                                    </w:r>
                                    <w:r>
                                      <w:rPr>
                                        <w:rFonts w:hint="eastAsia" w:ascii="仿宋_GB2312" w:hAnsi="宋体" w:eastAsia="仿宋_GB2312" w:cs="宋体"/>
                                        <w:color w:val="333333"/>
                                        <w:kern w:val="0"/>
                                        <w:sz w:val="28"/>
                                        <w:szCs w:val="28"/>
                                        <w:lang w:eastAsia="zh-CN"/>
                                      </w:rPr>
                                      <w:t>俄热乡人民政府</w:t>
                                    </w:r>
                                    <w:r>
                                      <w:rPr>
                                        <w:rFonts w:hint="eastAsia" w:ascii="仿宋_GB2312" w:hAnsi="宋体" w:eastAsia="仿宋_GB2312" w:cs="宋体"/>
                                        <w:color w:val="333333"/>
                                        <w:kern w:val="0"/>
                                        <w:sz w:val="28"/>
                                        <w:szCs w:val="28"/>
                                      </w:rPr>
                                      <w:t>所有收入和支出均纳入部门预算管理。收入包括：一般公共预算拨款收入；支出包括：一般公共服务支出、社会保障和就业支出、医疗卫生与计划生育支出、住房保障支出。</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年收支预算总数增加</w:t>
                                    </w:r>
                                    <w:r>
                                      <w:rPr>
                                        <w:rFonts w:hint="eastAsia" w:ascii="仿宋_GB2312" w:hAnsi="宋体" w:eastAsia="仿宋_GB2312" w:cs="宋体"/>
                                        <w:color w:val="333333"/>
                                        <w:kern w:val="0"/>
                                        <w:sz w:val="28"/>
                                        <w:szCs w:val="28"/>
                                        <w:lang w:val="en-US" w:eastAsia="zh-CN"/>
                                      </w:rPr>
                                      <w:t>4.7</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万元，其中：上年结转</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%；一般公共预算拨款收入</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%；项目支出</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年财政拨款收支总预算增加</w:t>
                                    </w:r>
                                    <w:r>
                                      <w:rPr>
                                        <w:rFonts w:hint="eastAsia" w:ascii="仿宋_GB2312" w:hAnsi="宋体" w:eastAsia="仿宋_GB2312" w:cs="宋体"/>
                                        <w:color w:val="333333"/>
                                        <w:kern w:val="0"/>
                                        <w:sz w:val="28"/>
                                        <w:szCs w:val="28"/>
                                        <w:lang w:val="en-US" w:eastAsia="zh-CN"/>
                                      </w:rPr>
                                      <w:t>4.7</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万元；支出包括：一般公共服务支出</w:t>
                                    </w:r>
                                    <w:r>
                                      <w:rPr>
                                        <w:rFonts w:hint="eastAsia" w:ascii="仿宋_GB2312" w:hAnsi="宋体" w:eastAsia="仿宋_GB2312" w:cs="宋体"/>
                                        <w:color w:val="333333"/>
                                        <w:kern w:val="0"/>
                                        <w:sz w:val="28"/>
                                        <w:szCs w:val="28"/>
                                        <w:lang w:val="en-US" w:eastAsia="zh-CN"/>
                                      </w:rPr>
                                      <w:t>204.32</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60.05</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卫生健康支出</w:t>
                                    </w:r>
                                    <w:r>
                                      <w:rPr>
                                        <w:rFonts w:hint="eastAsia" w:ascii="仿宋_GB2312" w:hAnsi="宋体" w:eastAsia="仿宋_GB2312" w:cs="宋体"/>
                                        <w:color w:val="333333"/>
                                        <w:kern w:val="0"/>
                                        <w:sz w:val="28"/>
                                        <w:szCs w:val="28"/>
                                        <w:lang w:val="en-US" w:eastAsia="zh-CN"/>
                                      </w:rPr>
                                      <w:t>18.83万元、农林水支出213.82</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32.12</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、其他支出</w:t>
                                    </w:r>
                                    <w:r>
                                      <w:rPr>
                                        <w:rFonts w:hint="eastAsia" w:ascii="仿宋_GB2312" w:hAnsi="宋体" w:eastAsia="仿宋_GB2312" w:cs="宋体"/>
                                        <w:color w:val="333333"/>
                                        <w:kern w:val="0"/>
                                        <w:sz w:val="28"/>
                                        <w:szCs w:val="28"/>
                                        <w:lang w:val="en-US" w:eastAsia="zh-CN"/>
                                      </w:rPr>
                                      <w:t>0.48万元。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年一般公共预算当年拨款</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年预算数增加</w:t>
                                    </w:r>
                                    <w:r>
                                      <w:rPr>
                                        <w:rFonts w:hint="eastAsia" w:ascii="仿宋_GB2312" w:hAnsi="宋体" w:eastAsia="仿宋_GB2312" w:cs="宋体"/>
                                        <w:color w:val="333333"/>
                                        <w:kern w:val="0"/>
                                        <w:sz w:val="28"/>
                                        <w:szCs w:val="28"/>
                                        <w:lang w:val="en-US" w:eastAsia="zh-CN"/>
                                      </w:rPr>
                                      <w:t>4.7</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w:t>
                                    </w:r>
                                    <w:r>
                                      <w:rPr>
                                        <w:rFonts w:hint="eastAsia" w:ascii="仿宋_GB2312" w:hAnsi="宋体" w:eastAsia="仿宋_GB2312" w:cs="宋体"/>
                                        <w:color w:val="333333"/>
                                        <w:kern w:val="0"/>
                                        <w:sz w:val="28"/>
                                        <w:szCs w:val="28"/>
                                        <w:lang w:val="en-US" w:eastAsia="zh-CN"/>
                                      </w:rPr>
                                      <w:t>204.32</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38.58</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60.05</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11.34</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卫生健康支出</w:t>
                                    </w:r>
                                    <w:r>
                                      <w:rPr>
                                        <w:rFonts w:hint="eastAsia" w:ascii="仿宋_GB2312" w:hAnsi="宋体" w:eastAsia="仿宋_GB2312" w:cs="宋体"/>
                                        <w:color w:val="333333"/>
                                        <w:kern w:val="0"/>
                                        <w:sz w:val="28"/>
                                        <w:szCs w:val="28"/>
                                        <w:lang w:val="en-US" w:eastAsia="zh-CN"/>
                                      </w:rPr>
                                      <w:t>18.83万元</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3.56</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val="en-US" w:eastAsia="zh-CN"/>
                                      </w:rPr>
                                      <w:t>农林水支出213.82</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40.37</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32.12</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，占</w:t>
                                    </w:r>
                                    <w:r>
                                      <w:rPr>
                                        <w:rFonts w:hint="eastAsia" w:ascii="仿宋_GB2312" w:hAnsi="宋体" w:eastAsia="仿宋_GB2312" w:cs="宋体"/>
                                        <w:color w:val="333333"/>
                                        <w:kern w:val="0"/>
                                        <w:sz w:val="28"/>
                                        <w:szCs w:val="28"/>
                                        <w:lang w:val="en-US" w:eastAsia="zh-CN"/>
                                      </w:rPr>
                                      <w:t>6.06%；</w:t>
                                    </w:r>
                                    <w:r>
                                      <w:rPr>
                                        <w:rFonts w:hint="eastAsia" w:ascii="仿宋_GB2312" w:hAnsi="宋体" w:eastAsia="仿宋_GB2312" w:cs="宋体"/>
                                        <w:color w:val="333333"/>
                                        <w:kern w:val="0"/>
                                        <w:sz w:val="28"/>
                                        <w:szCs w:val="28"/>
                                        <w:lang w:eastAsia="zh-CN"/>
                                      </w:rPr>
                                      <w:t>其他支出</w:t>
                                    </w:r>
                                    <w:r>
                                      <w:rPr>
                                        <w:rFonts w:hint="eastAsia" w:ascii="仿宋_GB2312" w:hAnsi="宋体" w:eastAsia="仿宋_GB2312" w:cs="宋体"/>
                                        <w:color w:val="333333"/>
                                        <w:kern w:val="0"/>
                                        <w:sz w:val="28"/>
                                        <w:szCs w:val="28"/>
                                        <w:lang w:val="en-US" w:eastAsia="zh-CN"/>
                                      </w:rPr>
                                      <w:t>0.48万元，占0.09%。</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1.一般公共服务支出（类）</w:t>
                                    </w:r>
                                    <w:r>
                                      <w:rPr>
                                        <w:rFonts w:hint="eastAsia" w:ascii="仿宋_GB2312" w:hAnsi="宋体" w:eastAsia="仿宋_GB2312" w:cs="宋体"/>
                                        <w:b/>
                                        <w:bCs/>
                                        <w:color w:val="333333"/>
                                        <w:kern w:val="0"/>
                                        <w:sz w:val="28"/>
                                        <w:lang w:eastAsia="zh-CN"/>
                                      </w:rPr>
                                      <w:t>人大事务</w:t>
                                    </w:r>
                                    <w:r>
                                      <w:rPr>
                                        <w:rFonts w:hint="eastAsia" w:ascii="仿宋_GB2312" w:hAnsi="宋体" w:eastAsia="仿宋_GB2312" w:cs="宋体"/>
                                        <w:b/>
                                        <w:bCs/>
                                        <w:color w:val="333333"/>
                                        <w:kern w:val="0"/>
                                        <w:sz w:val="28"/>
                                      </w:rPr>
                                      <w:t>（款）行政运行（项）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11.23</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行政</w:t>
                                    </w:r>
                                    <w:r>
                                      <w:rPr>
                                        <w:rFonts w:hint="eastAsia" w:ascii="仿宋_GB2312" w:hAnsi="宋体" w:eastAsia="仿宋_GB2312" w:cs="宋体"/>
                                        <w:color w:val="333333"/>
                                        <w:kern w:val="0"/>
                                        <w:sz w:val="28"/>
                                        <w:szCs w:val="28"/>
                                      </w:rPr>
                                      <w:t>单位正常运转的基本支出，包括基本工资、津贴补贴等人员经费。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2.一般公共服务支出（类）</w:t>
                                    </w:r>
                                    <w:r>
                                      <w:rPr>
                                        <w:rFonts w:hint="eastAsia" w:ascii="仿宋_GB2312" w:hAnsi="宋体" w:eastAsia="仿宋_GB2312" w:cs="宋体"/>
                                        <w:b/>
                                        <w:bCs/>
                                        <w:color w:val="333333"/>
                                        <w:kern w:val="0"/>
                                        <w:sz w:val="28"/>
                                        <w:lang w:eastAsia="zh-CN"/>
                                      </w:rPr>
                                      <w:t>人大事务</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人大会议</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0.1</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人大会议经费支出。</w:t>
                                    </w:r>
                                  </w:p>
                                  <w:p>
                                    <w:pPr>
                                      <w:widowControl/>
                                      <w:spacing w:line="240" w:lineRule="auto"/>
                                      <w:ind w:firstLine="562" w:firstLineChars="20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3.一般公共服务支出（类）政府办公厅（室）及相关机构事务（款）行政运行（项）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161.80</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行政</w:t>
                                    </w:r>
                                    <w:r>
                                      <w:rPr>
                                        <w:rFonts w:hint="eastAsia" w:ascii="仿宋_GB2312" w:hAnsi="宋体" w:eastAsia="仿宋_GB2312" w:cs="宋体"/>
                                        <w:color w:val="333333"/>
                                        <w:kern w:val="0"/>
                                        <w:sz w:val="28"/>
                                        <w:szCs w:val="28"/>
                                      </w:rPr>
                                      <w:t>单位正常运转的基本支出，包括基本工资、津贴补贴等人员经费以及办公费</w:t>
                                    </w:r>
                                    <w:r>
                                      <w:rPr>
                                        <w:rFonts w:hint="eastAsia" w:ascii="仿宋_GB2312" w:hAnsi="宋体" w:eastAsia="仿宋_GB2312" w:cs="宋体"/>
                                        <w:color w:val="333333"/>
                                        <w:kern w:val="0"/>
                                        <w:sz w:val="28"/>
                                        <w:szCs w:val="28"/>
                                        <w:lang w:eastAsia="zh-CN"/>
                                      </w:rPr>
                                      <w:t>、差旅费、电费、取暖费</w:t>
                                    </w:r>
                                    <w:r>
                                      <w:rPr>
                                        <w:rFonts w:hint="eastAsia" w:ascii="仿宋_GB2312" w:hAnsi="宋体" w:eastAsia="仿宋_GB2312" w:cs="宋体"/>
                                        <w:color w:val="333333"/>
                                        <w:kern w:val="0"/>
                                        <w:sz w:val="28"/>
                                        <w:szCs w:val="28"/>
                                      </w:rPr>
                                      <w:t>等日常公用经费。　　</w:t>
                                    </w:r>
                                  </w:p>
                                  <w:p>
                                    <w:pPr>
                                      <w:widowControl/>
                                      <w:spacing w:line="240" w:lineRule="auto"/>
                                      <w:ind w:firstLine="562" w:firstLineChars="20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4.一般公共服务支出（类）党委办公厅（室）及相关机构事务（款）行政运行（项）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31.19</w:t>
                                    </w:r>
                                    <w:r>
                                      <w:rPr>
                                        <w:rFonts w:hint="eastAsia" w:ascii="仿宋_GB2312" w:hAnsi="宋体" w:eastAsia="仿宋_GB2312" w:cs="宋体"/>
                                        <w:color w:val="333333"/>
                                        <w:kern w:val="0"/>
                                        <w:sz w:val="28"/>
                                        <w:szCs w:val="28"/>
                                      </w:rPr>
                                      <w:t>万元，主要用于：</w:t>
                                    </w:r>
                                    <w:r>
                                      <w:rPr>
                                        <w:rFonts w:hint="eastAsia" w:ascii="仿宋_GB2312" w:hAnsi="宋体" w:eastAsia="仿宋_GB2312" w:cs="宋体"/>
                                        <w:color w:val="333333"/>
                                        <w:kern w:val="0"/>
                                        <w:sz w:val="28"/>
                                        <w:szCs w:val="28"/>
                                        <w:lang w:eastAsia="zh-CN"/>
                                      </w:rPr>
                                      <w:t>行政</w:t>
                                    </w:r>
                                    <w:r>
                                      <w:rPr>
                                        <w:rFonts w:hint="eastAsia" w:ascii="仿宋_GB2312" w:hAnsi="宋体" w:eastAsia="仿宋_GB2312" w:cs="宋体"/>
                                        <w:color w:val="333333"/>
                                        <w:kern w:val="0"/>
                                        <w:sz w:val="28"/>
                                        <w:szCs w:val="28"/>
                                      </w:rPr>
                                      <w:t>单位正常运转的基本支出，包括基本工资、津贴补贴等人员经费。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5.社会保障和就业（类）行政事业单位离退休（款）机关事业单位基本养老保险费（项）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42.89</w:t>
                                    </w:r>
                                    <w:r>
                                      <w:rPr>
                                        <w:rFonts w:hint="eastAsia" w:ascii="仿宋_GB2312" w:hAnsi="宋体" w:eastAsia="仿宋_GB2312" w:cs="宋体"/>
                                        <w:color w:val="333333"/>
                                        <w:kern w:val="0"/>
                                        <w:sz w:val="28"/>
                                        <w:szCs w:val="28"/>
                                      </w:rPr>
                                      <w:t>万元，主要用于：机关事业单位实施养老保险制度由单位缴纳的基本养老保险费支出。　　</w:t>
                                    </w:r>
                                  </w:p>
                                  <w:p>
                                    <w:pPr>
                                      <w:widowControl/>
                                      <w:spacing w:line="240" w:lineRule="auto"/>
                                      <w:ind w:firstLine="0" w:firstLineChars="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6.社会保障和就业（类）行政事业单位离退休（款）机关事业单位职业年金缴费支出（项）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17.16</w:t>
                                    </w:r>
                                    <w:r>
                                      <w:rPr>
                                        <w:rFonts w:hint="eastAsia" w:ascii="仿宋_GB2312" w:hAnsi="宋体" w:eastAsia="仿宋_GB2312" w:cs="宋体"/>
                                        <w:color w:val="333333"/>
                                        <w:kern w:val="0"/>
                                        <w:sz w:val="28"/>
                                        <w:szCs w:val="28"/>
                                      </w:rPr>
                                      <w:t>万元，主要用于：机关事业单位实施养老保险制度由单位缴纳的职业年金支出。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7.医疗卫生与计划生育（类）行政事业单位医疗（款）行政单位医疗（项）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15.01</w:t>
                                    </w:r>
                                    <w:r>
                                      <w:rPr>
                                        <w:rFonts w:hint="eastAsia" w:ascii="仿宋_GB2312" w:hAnsi="宋体" w:eastAsia="仿宋_GB2312" w:cs="宋体"/>
                                        <w:color w:val="333333"/>
                                        <w:kern w:val="0"/>
                                        <w:sz w:val="28"/>
                                        <w:szCs w:val="28"/>
                                      </w:rPr>
                                      <w:t>万元，主要用于：财政部门集中安排的行政单位基本医疗保险缴费经费，未参加医疗保险的行政单位的公费医疗经费，按国家规定享受离休人员、红军老战士待遇人员的医疗经费。</w:t>
                                    </w:r>
                                  </w:p>
                                  <w:p>
                                    <w:pPr>
                                      <w:widowControl/>
                                      <w:spacing w:line="240" w:lineRule="auto"/>
                                      <w:ind w:firstLine="569" w:firstLineChars="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8. 医疗卫生与计划生育（类）行政事业单位医疗（款）公务员医疗补助（项）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3.82</w:t>
                                    </w:r>
                                    <w:r>
                                      <w:rPr>
                                        <w:rFonts w:hint="eastAsia" w:ascii="仿宋_GB2312" w:hAnsi="宋体" w:eastAsia="仿宋_GB2312" w:cs="宋体"/>
                                        <w:color w:val="333333"/>
                                        <w:kern w:val="0"/>
                                        <w:sz w:val="28"/>
                                        <w:szCs w:val="28"/>
                                      </w:rPr>
                                      <w:t>万元，主要用于：财政部门集中安排的公务员医疗补助经费。　　</w:t>
                                    </w:r>
                                  </w:p>
                                  <w:p>
                                    <w:pPr>
                                      <w:widowControl/>
                                      <w:spacing w:line="240" w:lineRule="auto"/>
                                      <w:ind w:firstLine="569" w:firstLineChars="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9.农林水支出（类）</w:t>
                                    </w:r>
                                    <w:r>
                                      <w:rPr>
                                        <w:rFonts w:hint="eastAsia" w:ascii="仿宋_GB2312" w:hAnsi="宋体" w:eastAsia="仿宋_GB2312" w:cs="宋体"/>
                                        <w:b/>
                                        <w:bCs/>
                                        <w:color w:val="333333"/>
                                        <w:kern w:val="0"/>
                                        <w:sz w:val="28"/>
                                        <w:lang w:eastAsia="zh-CN"/>
                                      </w:rPr>
                                      <w:t>农林</w:t>
                                    </w:r>
                                    <w:r>
                                      <w:rPr>
                                        <w:rFonts w:hint="eastAsia" w:ascii="仿宋_GB2312" w:hAnsi="宋体" w:eastAsia="仿宋_GB2312" w:cs="宋体"/>
                                        <w:b/>
                                        <w:bCs/>
                                        <w:color w:val="333333"/>
                                        <w:kern w:val="0"/>
                                        <w:sz w:val="28"/>
                                      </w:rPr>
                                      <w:t>（款）对高校毕业生到基层任职补助（项）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5.13</w:t>
                                    </w:r>
                                    <w:r>
                                      <w:rPr>
                                        <w:rFonts w:hint="eastAsia" w:ascii="仿宋_GB2312" w:hAnsi="宋体" w:eastAsia="仿宋_GB2312" w:cs="宋体"/>
                                        <w:color w:val="333333"/>
                                        <w:kern w:val="0"/>
                                        <w:sz w:val="28"/>
                                        <w:szCs w:val="28"/>
                                      </w:rPr>
                                      <w:t>万元，主要用于：对高校毕业生到基层任职的</w:t>
                                    </w:r>
                                    <w:r>
                                      <w:rPr>
                                        <w:rFonts w:hint="eastAsia" w:ascii="仿宋_GB2312" w:hAnsi="宋体" w:eastAsia="仿宋_GB2312" w:cs="宋体"/>
                                        <w:color w:val="333333"/>
                                        <w:kern w:val="0"/>
                                        <w:sz w:val="28"/>
                                        <w:szCs w:val="28"/>
                                        <w:lang w:eastAsia="zh-CN"/>
                                      </w:rPr>
                                      <w:t>生活</w:t>
                                    </w:r>
                                    <w:r>
                                      <w:rPr>
                                        <w:rFonts w:hint="eastAsia" w:ascii="仿宋_GB2312" w:hAnsi="宋体" w:eastAsia="仿宋_GB2312" w:cs="宋体"/>
                                        <w:color w:val="333333"/>
                                        <w:kern w:val="0"/>
                                        <w:sz w:val="28"/>
                                        <w:szCs w:val="28"/>
                                      </w:rPr>
                                      <w:t>补助支出。　　</w:t>
                                    </w:r>
                                  </w:p>
                                  <w:p>
                                    <w:pPr>
                                      <w:widowControl/>
                                      <w:spacing w:line="240" w:lineRule="auto"/>
                                      <w:ind w:firstLine="569" w:firstLineChars="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10.农林水支出（类）</w:t>
                                    </w:r>
                                    <w:r>
                                      <w:rPr>
                                        <w:rFonts w:hint="eastAsia" w:ascii="仿宋_GB2312" w:hAnsi="宋体" w:eastAsia="仿宋_GB2312" w:cs="宋体"/>
                                        <w:b/>
                                        <w:bCs/>
                                        <w:color w:val="333333"/>
                                        <w:kern w:val="0"/>
                                        <w:sz w:val="28"/>
                                        <w:lang w:eastAsia="zh-CN"/>
                                      </w:rPr>
                                      <w:t>林业</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林业事业机构</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41.79</w:t>
                                    </w:r>
                                    <w:r>
                                      <w:rPr>
                                        <w:rFonts w:hint="eastAsia" w:ascii="仿宋_GB2312" w:hAnsi="宋体" w:eastAsia="仿宋_GB2312" w:cs="宋体"/>
                                        <w:color w:val="333333"/>
                                        <w:kern w:val="0"/>
                                        <w:sz w:val="28"/>
                                        <w:szCs w:val="28"/>
                                      </w:rPr>
                                      <w:t>万元，主要用于：林业事业单位的基本支出。　　</w:t>
                                    </w:r>
                                  </w:p>
                                  <w:p>
                                    <w:pPr>
                                      <w:widowControl/>
                                      <w:spacing w:line="240" w:lineRule="auto"/>
                                      <w:ind w:firstLine="569" w:firstLineChars="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11.农林水支出（类）农村综合改革（款）对村民委员会和党支部的补助（项）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166.90</w:t>
                                    </w:r>
                                    <w:r>
                                      <w:rPr>
                                        <w:rFonts w:hint="eastAsia" w:ascii="仿宋_GB2312" w:hAnsi="宋体" w:eastAsia="仿宋_GB2312" w:cs="宋体"/>
                                        <w:color w:val="333333"/>
                                        <w:kern w:val="0"/>
                                        <w:sz w:val="28"/>
                                        <w:szCs w:val="28"/>
                                      </w:rPr>
                                      <w:t>万元，主要用于：对村民委员会和党支部的补助支出以及支持建立县级基本财力保障机制安排的村级组织运转奖补资金。　　</w:t>
                                    </w:r>
                                  </w:p>
                                  <w:p>
                                    <w:pPr>
                                      <w:widowControl/>
                                      <w:spacing w:line="240" w:lineRule="auto"/>
                                      <w:ind w:firstLine="569" w:firstLineChars="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12.住房保障支出（类）住房改革支出（款）住房公积金（项）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32.12</w:t>
                                    </w:r>
                                    <w:r>
                                      <w:rPr>
                                        <w:rFonts w:hint="eastAsia" w:ascii="仿宋_GB2312" w:hAnsi="宋体" w:eastAsia="仿宋_GB2312" w:cs="宋体"/>
                                        <w:color w:val="333333"/>
                                        <w:kern w:val="0"/>
                                        <w:sz w:val="28"/>
                                        <w:szCs w:val="28"/>
                                      </w:rPr>
                                      <w:t>万元，主要用于：行政事业单位按人力资源和社会保障部、财政部规定的基本工资和津贴补贴以及规定比例为职工缴纳的住房公积金。　　</w:t>
                                    </w:r>
                                  </w:p>
                                  <w:p>
                                    <w:pPr>
                                      <w:widowControl/>
                                      <w:spacing w:line="240" w:lineRule="auto"/>
                                      <w:ind w:firstLine="569" w:firstLineChars="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13.</w:t>
                                    </w:r>
                                    <w:r>
                                      <w:rPr>
                                        <w:rFonts w:hint="eastAsia" w:ascii="仿宋_GB2312" w:hAnsi="宋体" w:eastAsia="仿宋_GB2312" w:cs="宋体"/>
                                        <w:b/>
                                        <w:bCs/>
                                        <w:color w:val="333333"/>
                                        <w:kern w:val="0"/>
                                        <w:sz w:val="28"/>
                                        <w:lang w:eastAsia="zh-CN"/>
                                      </w:rPr>
                                      <w:t>其他支出</w:t>
                                    </w:r>
                                    <w:r>
                                      <w:rPr>
                                        <w:rFonts w:hint="eastAsia" w:ascii="仿宋_GB2312" w:hAnsi="宋体" w:eastAsia="仿宋_GB2312" w:cs="宋体"/>
                                        <w:b/>
                                        <w:bCs/>
                                        <w:color w:val="333333"/>
                                        <w:kern w:val="0"/>
                                        <w:sz w:val="28"/>
                                      </w:rPr>
                                      <w:t>（类）</w:t>
                                    </w:r>
                                    <w:r>
                                      <w:rPr>
                                        <w:rFonts w:hint="eastAsia" w:ascii="仿宋_GB2312" w:hAnsi="宋体" w:eastAsia="仿宋_GB2312" w:cs="宋体"/>
                                        <w:b/>
                                        <w:bCs/>
                                        <w:color w:val="333333"/>
                                        <w:kern w:val="0"/>
                                        <w:sz w:val="28"/>
                                        <w:lang w:eastAsia="zh-CN"/>
                                      </w:rPr>
                                      <w:t>其他支出</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其他支出</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0.48</w:t>
                                    </w:r>
                                    <w:r>
                                      <w:rPr>
                                        <w:rFonts w:hint="eastAsia" w:ascii="仿宋_GB2312" w:hAnsi="宋体" w:eastAsia="仿宋_GB2312" w:cs="宋体"/>
                                        <w:color w:val="333333"/>
                                        <w:kern w:val="0"/>
                                        <w:sz w:val="28"/>
                                        <w:szCs w:val="28"/>
                                      </w:rPr>
                                      <w:t>万元，主要用于：退休干部春节慰问金、三老干部生活补助。</w:t>
                                    </w:r>
                                  </w:p>
                                  <w:p>
                                    <w:pPr>
                                      <w:widowControl/>
                                      <w:spacing w:line="240" w:lineRule="auto"/>
                                      <w:ind w:firstLine="560" w:firstLineChars="200"/>
                                      <w:rPr>
                                        <w:rFonts w:hint="eastAsia" w:ascii="黑体" w:hAnsi="宋体" w:eastAsia="黑体" w:cs="宋体"/>
                                        <w:color w:val="333333"/>
                                        <w:kern w:val="0"/>
                                        <w:sz w:val="28"/>
                                        <w:szCs w:val="28"/>
                                      </w:rPr>
                                    </w:pP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529.62</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425.82</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hint="eastAsia" w:ascii="仿宋_GB2312" w:hAnsi="宋体" w:eastAsia="仿宋_GB2312" w:cs="宋体"/>
                                        <w:color w:val="333333"/>
                                        <w:kern w:val="0"/>
                                        <w:sz w:val="28"/>
                                        <w:szCs w:val="28"/>
                                        <w:lang w:val="en-US" w:eastAsia="zh-CN"/>
                                      </w:rPr>
                                      <w:t>103.80</w:t>
                                    </w:r>
                                    <w:r>
                                      <w:rPr>
                                        <w:rFonts w:hint="eastAsia" w:ascii="仿宋_GB2312" w:hAnsi="宋体" w:eastAsia="仿宋_GB2312" w:cs="宋体"/>
                                        <w:color w:val="333333"/>
                                        <w:kern w:val="0"/>
                                        <w:sz w:val="28"/>
                                        <w:szCs w:val="28"/>
                                      </w:rPr>
                                      <w:t>万元，主要包括：办公费、水费、电费、邮电费、印刷费、差旅费、维修（护）费、劳务费等支出。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万元，其中：因公出国（境）经费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万元，公务接待费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万元，公务用车购置及运行维护费</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2019年未</w:t>
                                    </w:r>
                                    <w:r>
                                      <w:rPr>
                                        <w:rFonts w:hint="eastAsia" w:ascii="仿宋_GB2312" w:hAnsi="宋体" w:eastAsia="仿宋_GB2312" w:cs="宋体"/>
                                        <w:color w:val="333333"/>
                                        <w:kern w:val="0"/>
                                        <w:sz w:val="28"/>
                                        <w:szCs w:val="28"/>
                                        <w:lang w:eastAsia="zh-CN"/>
                                      </w:rPr>
                                      <w:t>预算因公出国（境）经费</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未预算公务接待费</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（三）公务用车购置及运行维护费。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单位现有公务用车2辆，其中：越野车</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辆、</w:t>
                                    </w:r>
                                    <w:r>
                                      <w:rPr>
                                        <w:rFonts w:hint="eastAsia" w:ascii="仿宋_GB2312" w:hAnsi="宋体" w:eastAsia="仿宋_GB2312" w:cs="宋体"/>
                                        <w:color w:val="333333"/>
                                        <w:kern w:val="0"/>
                                        <w:sz w:val="28"/>
                                        <w:szCs w:val="28"/>
                                        <w:lang w:eastAsia="zh-CN"/>
                                      </w:rPr>
                                      <w:t>皮卡车</w:t>
                                    </w:r>
                                    <w:r>
                                      <w:rPr>
                                        <w:rFonts w:hint="eastAsia" w:ascii="仿宋_GB2312" w:hAnsi="宋体" w:eastAsia="仿宋_GB2312" w:cs="宋体"/>
                                        <w:color w:val="333333"/>
                                        <w:kern w:val="0"/>
                                        <w:sz w:val="28"/>
                                        <w:szCs w:val="28"/>
                                        <w:lang w:val="en-US" w:eastAsia="zh-CN"/>
                                      </w:rPr>
                                      <w:t>1辆</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年未安排公务用车购置费。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年安排公务用车运行维护费</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万元，用于2辆公务用车燃油、过路（桥）、维修、保险等方面支出，主要保障单位</w:t>
                                    </w:r>
                                    <w:r>
                                      <w:rPr>
                                        <w:rFonts w:hint="eastAsia" w:ascii="仿宋_GB2312" w:hAnsi="宋体" w:eastAsia="仿宋_GB2312" w:cs="宋体"/>
                                        <w:color w:val="333333"/>
                                        <w:kern w:val="0"/>
                                        <w:sz w:val="28"/>
                                        <w:szCs w:val="28"/>
                                        <w:lang w:eastAsia="zh-CN"/>
                                      </w:rPr>
                                      <w:t>日常运转等工作。</w:t>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机关运行经费财政拨款预算为</w:t>
                                    </w:r>
                                    <w:r>
                                      <w:rPr>
                                        <w:rFonts w:hint="eastAsia" w:ascii="仿宋_GB2312" w:hAnsi="宋体" w:eastAsia="仿宋_GB2312" w:cs="宋体"/>
                                        <w:color w:val="333333"/>
                                        <w:kern w:val="0"/>
                                        <w:sz w:val="28"/>
                                        <w:szCs w:val="28"/>
                                        <w:lang w:val="en-US" w:eastAsia="zh-CN"/>
                                      </w:rPr>
                                      <w:t>28.8</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年预算增长</w:t>
                                    </w:r>
                                    <w:r>
                                      <w:rPr>
                                        <w:rFonts w:hint="eastAsia" w:ascii="仿宋_GB2312" w:hAnsi="宋体" w:eastAsia="仿宋_GB2312" w:cs="宋体"/>
                                        <w:color w:val="333333"/>
                                        <w:kern w:val="0"/>
                                        <w:sz w:val="28"/>
                                        <w:szCs w:val="28"/>
                                        <w:lang w:val="en-US" w:eastAsia="zh-CN"/>
                                      </w:rPr>
                                      <w:t>2.4</w:t>
                                    </w:r>
                                    <w:r>
                                      <w:rPr>
                                        <w:rFonts w:hint="eastAsia" w:ascii="仿宋_GB2312" w:hAnsi="宋体" w:eastAsia="仿宋_GB2312" w:cs="宋体"/>
                                        <w:color w:val="333333"/>
                                        <w:kern w:val="0"/>
                                        <w:sz w:val="28"/>
                                        <w:szCs w:val="28"/>
                                      </w:rPr>
                                      <w:t>万元，增长</w:t>
                                    </w:r>
                                    <w:r>
                                      <w:rPr>
                                        <w:rFonts w:hint="eastAsia" w:ascii="仿宋_GB2312" w:hAnsi="宋体" w:eastAsia="仿宋_GB2312" w:cs="宋体"/>
                                        <w:color w:val="333333"/>
                                        <w:kern w:val="0"/>
                                        <w:sz w:val="28"/>
                                        <w:szCs w:val="28"/>
                                        <w:lang w:val="en-US" w:eastAsia="zh-CN"/>
                                      </w:rPr>
                                      <w:t>8.3</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安排政府采购预算</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年底，</w:t>
                                    </w:r>
                                    <w:r>
                                      <w:rPr>
                                        <w:rFonts w:hint="eastAsia" w:ascii="仿宋_GB2312" w:hAnsi="宋体" w:eastAsia="仿宋_GB2312" w:cs="宋体"/>
                                        <w:color w:val="333333"/>
                                        <w:kern w:val="0"/>
                                        <w:sz w:val="28"/>
                                        <w:szCs w:val="28"/>
                                        <w:lang w:eastAsia="zh-CN"/>
                                      </w:rPr>
                                      <w:t>俄热乡</w:t>
                                    </w:r>
                                    <w:r>
                                      <w:rPr>
                                        <w:rFonts w:hint="eastAsia" w:ascii="仿宋_GB2312" w:hAnsi="宋体" w:eastAsia="仿宋_GB2312" w:cs="宋体"/>
                                        <w:color w:val="333333"/>
                                        <w:kern w:val="0"/>
                                        <w:sz w:val="28"/>
                                        <w:szCs w:val="28"/>
                                      </w:rPr>
                                      <w:t>共有车辆2辆，其中，省部级领导干部用车0辆、定向保障用车</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辆、执法执勤用车0辆</w:t>
                                    </w:r>
                                    <w:r>
                                      <w:rPr>
                                        <w:rFonts w:hint="eastAsia" w:ascii="仿宋_GB2312" w:hAnsi="宋体" w:eastAsia="仿宋_GB2312" w:cs="宋体"/>
                                        <w:color w:val="333333"/>
                                        <w:kern w:val="0"/>
                                        <w:sz w:val="28"/>
                                        <w:szCs w:val="28"/>
                                        <w:lang w:eastAsia="zh-CN"/>
                                      </w:rPr>
                                      <w:t>、一般公务用车</w:t>
                                    </w:r>
                                    <w:r>
                                      <w:rPr>
                                        <w:rFonts w:hint="eastAsia" w:ascii="仿宋_GB2312" w:hAnsi="宋体" w:eastAsia="仿宋_GB2312" w:cs="宋体"/>
                                        <w:color w:val="333333"/>
                                        <w:kern w:val="0"/>
                                        <w:sz w:val="28"/>
                                        <w:szCs w:val="28"/>
                                        <w:lang w:val="en-US" w:eastAsia="zh-CN"/>
                                      </w:rPr>
                                      <w:t>2辆</w:t>
                                    </w:r>
                                    <w:r>
                                      <w:rPr>
                                        <w:rFonts w:hint="eastAsia" w:ascii="仿宋_GB2312" w:hAnsi="宋体" w:eastAsia="仿宋_GB2312" w:cs="宋体"/>
                                        <w:color w:val="333333"/>
                                        <w:kern w:val="0"/>
                                        <w:sz w:val="28"/>
                                        <w:szCs w:val="28"/>
                                      </w:rPr>
                                      <w:t>。单位价值200万元以上大型设备0台（套）。</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年部门预算未安排购置车辆及单位价值200万元以上大型设备。</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1.财政拨款收入：指县级财政当年拨付的资金。</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2.事业收入：指事业单位开展专业业务活动及辅助活动所取得的收入。</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3.经营收入：指事业单位在专业业务活动及其辅助活动之外开展非独立核算经营活动取得的收入。</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4.其他收入：指除上述“财政拨款收入”、“事业收入”、“经营收入”等以外的收入。</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6.年初结转和结余：指以前年度尚未完成、结转到本年按有关规定继续使用的资金。</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7.一般公共服务2010101：指反映行政单位的基本支出。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8.一般公共服务2010104：指反映人大会议经费支出。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9.一般公共服务2010301：指反映行政单位(包括实行公务员管理的事业单位)的基本支出。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10.一般公共服务2013101：指反映党委办公厅（室）及相关机构的支出。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11.社会保障和就业2080505：指机关事业单位实施养老保险制度由单位缴纳的基本养老保险费支出。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12.社会保障和就业2080506：指机关事业单位实施养老保险制度由单位缴纳的职业年金支出。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13.医疗卫生与计划生育2101101：指反映财政部门集中安排的行政单位基本医疗保险缴费经费，未参加医疗保险的行政单位的公费医疗经费，按国家规定享受离休人员、红军老战士待遇人员的医疗经费。</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14.医疗卫生与计划生育2101102：指反映财政部门集中安排的事业单位基本医疗保险缴费经费，未参加医疗保险的事业单位的公费医疗经费，按国家规定享受离休人员待遇的医疗经费。</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15.医疗卫生与计划生育2101103：指反映财政部门集中安排的公务员医疗补助经费。</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16.农林水2130152：指反映按规定对高校毕业生到基层任职的补助支出。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17.农林水2130204：指反映用于林业事业单位的基本支出。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18.农林水2130705：指反映各级财政对村民委员会和党支部的补助支出以及支持建立县级基本财力保障机制安排的村级组织运转奖补资金。</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19.农林水2130707：指反映各级财政对农村综合改革示范试点、新型农业社会化服务体系建设等补助支出。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20.农林水2130799：指反映其他用于农村综合改革方面的支出。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21.住房保障2210201：指反映行政事业单位按人力资源和社会保障部、财政部规定的基本工资和津贴补贴以及规定比例为职工缴纳的住房公积金。</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22.其他支出2299901：指退休干部春节慰问金、三老干部生活补助。</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23.结余分配：指事业单位按规定提取的职工福利基金、事业基金和缴纳的所得税，以及建设单位按规定应交回的基本建设竣工项目结余资金。</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24.年末结转和结余：指本年度或以前年度预算安排、因客观条件发生变化无法按原计划实施，需延迟到以后年度按有关规定继续使用的资金。</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25.基本支出：指为保障机构正常运转、完成日常工作任务而发生的人员支出和公用支出。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26.项目支出：指在基本支出之外为完成特定行政任务和事业发展目标所发生的支出。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27.经营支出：指事业单位在专业业务活动及其辅助活动之外开展非独立核算经营活动发生的支出。</w:t>
                                    </w:r>
                                  </w:p>
                                  <w:p>
                                    <w:pPr>
                                      <w:widowControl/>
                                      <w:spacing w:line="24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28.“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240" w:lineRule="auto"/>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附件：表1.部门收支总表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表1-1.部门收入总表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表1-2.部门支出总表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表2.财政拨款收支预算总表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表2-1.财政拨款支出预算表（政府经济分类科目）</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表3.一般公共预算支出预算表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表3-1.一般公共预算基本支出预算表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表3-2.一般公共预算项目支出预算表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表3-3.一般公共预算“三公”经费支出预算表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表4.政府性基金支出预算表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表4-1.政府性基金预算“三公”经费支出预算表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表5.国有资本经营预算支出预算表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表6.2018年省级部门预算项目绩效目标</w:t>
                                    </w:r>
                                  </w:p>
                                </w:tc>
                              </w:tr>
                            </w:tbl>
                            <w:p>
                              <w:pPr>
                                <w:widowControl/>
                                <w:spacing w:after="240"/>
                                <w:jc w:val="center"/>
                                <w:rPr>
                                  <w:rFonts w:ascii="宋体" w:hAnsi="宋体" w:eastAsia="宋体" w:cs="宋体"/>
                                  <w:kern w:val="0"/>
                                  <w:szCs w:val="21"/>
                                </w:rPr>
                              </w:pPr>
                            </w:p>
                          </w:tc>
                        </w:tr>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r>
                                      <w:rPr>
                                        <w:rFonts w:hint="eastAsia" w:ascii="宋体" w:hAnsi="宋体" w:eastAsia="宋体" w:cs="宋体"/>
                                        <w:color w:val="333333"/>
                                        <w:kern w:val="0"/>
                                        <w:szCs w:val="21"/>
                                      </w:rPr>
                                      <w:t>相关附件：</w:t>
                                    </w:r>
                                  </w:p>
                                </w:tc>
                                <w:tc>
                                  <w:tcPr>
                                    <w:tcW w:w="7485" w:type="dxa"/>
                                    <w:vAlign w:val="center"/>
                                  </w:tcPr>
                                  <w:tbl>
                                    <w:tblPr>
                                      <w:tblStyle w:val="5"/>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r>
                                            <w:rPr>
                                              <w:rFonts w:hint="eastAsia" w:ascii="宋体" w:hAnsi="宋体" w:eastAsia="宋体" w:cs="宋体"/>
                                              <w:color w:val="0000FF"/>
                                              <w:kern w:val="0"/>
                                              <w:lang w:eastAsia="zh-CN"/>
                                            </w:rPr>
                                            <w:t>俄热乡</w:t>
                                          </w:r>
                                          <w:r>
                                            <w:rPr>
                                              <w:rFonts w:ascii="宋体" w:hAnsi="宋体" w:eastAsia="宋体" w:cs="宋体"/>
                                              <w:color w:val="0000FF"/>
                                              <w:kern w:val="0"/>
                                            </w:rPr>
                                            <w:t xml:space="preserve">.xls </w:t>
                                          </w: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5"/>
                          <w:tblW w:w="10050" w:type="dxa"/>
                          <w:jc w:val="right"/>
                          <w:tblCellSpacing w:w="0" w:type="dxa"/>
                          <w:tblInd w:w="0" w:type="dxa"/>
                          <w:tblLayout w:type="fixed"/>
                          <w:tblCellMar>
                            <w:top w:w="0" w:type="dxa"/>
                            <w:left w:w="0" w:type="dxa"/>
                            <w:bottom w:w="0" w:type="dxa"/>
                            <w:right w:w="0" w:type="dxa"/>
                          </w:tblCellMar>
                        </w:tblPr>
                        <w:tblGrid>
                          <w:gridCol w:w="10050"/>
                        </w:tblGrid>
                        <w:tr>
                          <w:tblPrEx>
                            <w:tblLayout w:type="fixed"/>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Cs w:val="21"/>
                                </w:rPr>
                              </w:pPr>
                              <w:r>
                                <w:rPr>
                                  <w:rFonts w:ascii="宋体" w:hAnsi="宋体" w:eastAsia="宋体" w:cs="宋体"/>
                                  <w:kern w:val="0"/>
                                  <w:szCs w:val="21"/>
                                </w:rPr>
                                <w:t>【</w:t>
                              </w:r>
                              <w:r>
                                <w:rPr>
                                  <w:rFonts w:ascii="宋体" w:hAnsi="宋体" w:eastAsia="宋体" w:cs="宋体"/>
                                  <w:color w:val="000000"/>
                                  <w:kern w:val="0"/>
                                  <w:szCs w:val="21"/>
                                </w:rPr>
                                <w:t>关闭窗口</w:t>
                              </w: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B66456"/>
    <w:rsid w:val="00D04CCC"/>
    <w:rsid w:val="03FC7C48"/>
    <w:rsid w:val="048B3DB9"/>
    <w:rsid w:val="050A2414"/>
    <w:rsid w:val="053340FE"/>
    <w:rsid w:val="05E54412"/>
    <w:rsid w:val="07F07AA9"/>
    <w:rsid w:val="08827DA2"/>
    <w:rsid w:val="0B84013A"/>
    <w:rsid w:val="0D552049"/>
    <w:rsid w:val="0D653D96"/>
    <w:rsid w:val="0EF26A21"/>
    <w:rsid w:val="10BE5A7D"/>
    <w:rsid w:val="10F33230"/>
    <w:rsid w:val="134E6961"/>
    <w:rsid w:val="140B4387"/>
    <w:rsid w:val="14165E73"/>
    <w:rsid w:val="15910B3B"/>
    <w:rsid w:val="17E476B2"/>
    <w:rsid w:val="189A07E8"/>
    <w:rsid w:val="18DA2F15"/>
    <w:rsid w:val="19F37278"/>
    <w:rsid w:val="1A895CC9"/>
    <w:rsid w:val="1B456BB5"/>
    <w:rsid w:val="1BD13712"/>
    <w:rsid w:val="1BF7316E"/>
    <w:rsid w:val="1D647EE8"/>
    <w:rsid w:val="1E823BA3"/>
    <w:rsid w:val="2021177E"/>
    <w:rsid w:val="219F1D20"/>
    <w:rsid w:val="24837E5D"/>
    <w:rsid w:val="24B4550E"/>
    <w:rsid w:val="25513AEF"/>
    <w:rsid w:val="268741FB"/>
    <w:rsid w:val="296364F7"/>
    <w:rsid w:val="29EC0C68"/>
    <w:rsid w:val="2B7754AA"/>
    <w:rsid w:val="2B957E95"/>
    <w:rsid w:val="2BCC6992"/>
    <w:rsid w:val="2EB94A31"/>
    <w:rsid w:val="2EBF0702"/>
    <w:rsid w:val="2EE27490"/>
    <w:rsid w:val="2EFE7865"/>
    <w:rsid w:val="310C47FE"/>
    <w:rsid w:val="32004306"/>
    <w:rsid w:val="33DD706E"/>
    <w:rsid w:val="33E602DA"/>
    <w:rsid w:val="347A35B8"/>
    <w:rsid w:val="352C3D3F"/>
    <w:rsid w:val="354C1DD5"/>
    <w:rsid w:val="37AA7B8D"/>
    <w:rsid w:val="38394086"/>
    <w:rsid w:val="386E682B"/>
    <w:rsid w:val="399116BA"/>
    <w:rsid w:val="39A863CF"/>
    <w:rsid w:val="39F14EEA"/>
    <w:rsid w:val="3A454A03"/>
    <w:rsid w:val="3B7C31D9"/>
    <w:rsid w:val="3C0C4C09"/>
    <w:rsid w:val="3DBF616F"/>
    <w:rsid w:val="3F800C95"/>
    <w:rsid w:val="4059707F"/>
    <w:rsid w:val="41455EF0"/>
    <w:rsid w:val="41DD1643"/>
    <w:rsid w:val="4255323D"/>
    <w:rsid w:val="43AF43D1"/>
    <w:rsid w:val="44A53DDA"/>
    <w:rsid w:val="44C35046"/>
    <w:rsid w:val="44DF0B9E"/>
    <w:rsid w:val="4509522B"/>
    <w:rsid w:val="45662237"/>
    <w:rsid w:val="467C73D4"/>
    <w:rsid w:val="46822C62"/>
    <w:rsid w:val="470F049D"/>
    <w:rsid w:val="477D2AC6"/>
    <w:rsid w:val="481164B5"/>
    <w:rsid w:val="48492FED"/>
    <w:rsid w:val="4C081076"/>
    <w:rsid w:val="4C832774"/>
    <w:rsid w:val="4E6A1F6E"/>
    <w:rsid w:val="50A543C5"/>
    <w:rsid w:val="51442855"/>
    <w:rsid w:val="52ED0FB7"/>
    <w:rsid w:val="53211BAD"/>
    <w:rsid w:val="53D36DE7"/>
    <w:rsid w:val="548B7791"/>
    <w:rsid w:val="54FC048C"/>
    <w:rsid w:val="55444F55"/>
    <w:rsid w:val="55F631B1"/>
    <w:rsid w:val="57584DEA"/>
    <w:rsid w:val="58B85479"/>
    <w:rsid w:val="58D81607"/>
    <w:rsid w:val="592E2F49"/>
    <w:rsid w:val="5B407C59"/>
    <w:rsid w:val="605B59C3"/>
    <w:rsid w:val="612B42BA"/>
    <w:rsid w:val="62CD102B"/>
    <w:rsid w:val="637B2C65"/>
    <w:rsid w:val="662B73B8"/>
    <w:rsid w:val="663E1AF0"/>
    <w:rsid w:val="6699268F"/>
    <w:rsid w:val="66C510DB"/>
    <w:rsid w:val="671C1E0F"/>
    <w:rsid w:val="67310439"/>
    <w:rsid w:val="67335DE6"/>
    <w:rsid w:val="67555B36"/>
    <w:rsid w:val="68FD1A19"/>
    <w:rsid w:val="6A23163E"/>
    <w:rsid w:val="6A6E6FC3"/>
    <w:rsid w:val="6B3936B3"/>
    <w:rsid w:val="6BF329DE"/>
    <w:rsid w:val="6C2C1B37"/>
    <w:rsid w:val="6CB53B13"/>
    <w:rsid w:val="6D943D80"/>
    <w:rsid w:val="6DC37B5F"/>
    <w:rsid w:val="6F775DD4"/>
    <w:rsid w:val="6F9E725A"/>
    <w:rsid w:val="7014625F"/>
    <w:rsid w:val="70775EB4"/>
    <w:rsid w:val="71001433"/>
    <w:rsid w:val="715D56FC"/>
    <w:rsid w:val="72574A26"/>
    <w:rsid w:val="741A2F58"/>
    <w:rsid w:val="74D02189"/>
    <w:rsid w:val="77094A84"/>
    <w:rsid w:val="77223F02"/>
    <w:rsid w:val="78962C9F"/>
    <w:rsid w:val="79AA1B46"/>
    <w:rsid w:val="7AA24DE4"/>
    <w:rsid w:val="7AD43320"/>
    <w:rsid w:val="7B7E66A7"/>
    <w:rsid w:val="7BAC715C"/>
    <w:rsid w:val="7C34309E"/>
    <w:rsid w:val="7CFC20B4"/>
    <w:rsid w:val="7D404175"/>
    <w:rsid w:val="7D560C9D"/>
    <w:rsid w:val="7E6A4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 w:type="character" w:styleId="4">
    <w:name w:val="Strong"/>
    <w:basedOn w:val="3"/>
    <w:qFormat/>
    <w:uiPriority w:val="22"/>
    <w:rPr>
      <w:b/>
      <w:bCs/>
    </w:rPr>
  </w:style>
  <w:style w:type="character" w:customStyle="1" w:styleId="6">
    <w:name w:val="pagetext0031"/>
    <w:basedOn w:val="3"/>
    <w:qFormat/>
    <w:uiPriority w:val="0"/>
    <w:rPr>
      <w:rFonts w:hint="eastAsia" w:ascii="宋体" w:hAnsi="宋体" w:eastAsia="宋体"/>
      <w:color w:val="555555"/>
      <w:sz w:val="21"/>
      <w:szCs w:val="21"/>
    </w:rPr>
  </w:style>
  <w:style w:type="character" w:customStyle="1" w:styleId="7">
    <w:name w:val="apple-converted-space"/>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22</TotalTime>
  <ScaleCrop>false</ScaleCrop>
  <LinksUpToDate>false</LinksUpToDate>
  <CharactersWithSpaces>8369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一生爱过错过几回</cp:lastModifiedBy>
  <dcterms:modified xsi:type="dcterms:W3CDTF">2019-01-03T08:57:16Z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