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5FDCA">
      <w:pPr>
        <w:pStyle w:val="23"/>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numberInDash" w:start="1"/>
          <w:cols w:space="720" w:num="1"/>
          <w:titlePg/>
          <w:docGrid w:type="lines" w:linePitch="312" w:charSpace="0"/>
        </w:sectPr>
      </w:pPr>
      <w:bookmarkStart w:id="0" w:name="_Toc15377193"/>
      <w:bookmarkStart w:id="1" w:name="_Toc15396475"/>
      <w:bookmarkStart w:id="2" w:name="_Toc15396597"/>
      <w:bookmarkStart w:id="3" w:name="_Toc15377425"/>
      <w:bookmarkStart w:id="4" w:name="_Toc15306267"/>
      <w:bookmarkStart w:id="5" w:name="_Toc15378441"/>
    </w:p>
    <w:p w14:paraId="65311A38">
      <w:pPr>
        <w:pStyle w:val="7"/>
        <w:jc w:val="both"/>
        <w:rPr>
          <w:rFonts w:hint="eastAsia" w:ascii="宋体" w:eastAsia="宋体" w:cs="宋体"/>
          <w:color w:val="auto"/>
          <w:kern w:val="2"/>
          <w:sz w:val="72"/>
          <w:szCs w:val="72"/>
          <w:highlight w:val="none"/>
          <w:lang w:val="en-US" w:eastAsia="zh-CN" w:bidi="ar-SA"/>
        </w:rPr>
      </w:pPr>
    </w:p>
    <w:p w14:paraId="4004FA6B">
      <w:pPr>
        <w:pStyle w:val="7"/>
        <w:jc w:val="both"/>
        <w:rPr>
          <w:rFonts w:hint="eastAsia" w:ascii="宋体" w:eastAsia="宋体" w:cs="宋体"/>
          <w:color w:val="auto"/>
          <w:kern w:val="2"/>
          <w:sz w:val="72"/>
          <w:szCs w:val="72"/>
          <w:highlight w:val="none"/>
          <w:lang w:val="en-US" w:eastAsia="zh-CN" w:bidi="ar-SA"/>
        </w:rPr>
      </w:pPr>
    </w:p>
    <w:p w14:paraId="490E9189">
      <w:pPr>
        <w:pStyle w:val="7"/>
        <w:jc w:val="both"/>
        <w:rPr>
          <w:rFonts w:hint="eastAsia" w:ascii="宋体" w:eastAsia="宋体" w:cs="宋体"/>
          <w:color w:val="auto"/>
          <w:kern w:val="2"/>
          <w:sz w:val="72"/>
          <w:szCs w:val="72"/>
          <w:highlight w:val="none"/>
          <w:lang w:val="en-US" w:eastAsia="zh-CN" w:bidi="ar-SA"/>
        </w:rPr>
      </w:pPr>
    </w:p>
    <w:p w14:paraId="30558A27">
      <w:pPr>
        <w:pStyle w:val="7"/>
        <w:jc w:val="both"/>
        <w:rPr>
          <w:rFonts w:hint="eastAsia" w:ascii="宋体" w:eastAsia="宋体" w:cs="宋体"/>
          <w:color w:val="auto"/>
          <w:kern w:val="2"/>
          <w:sz w:val="72"/>
          <w:szCs w:val="72"/>
          <w:highlight w:val="none"/>
          <w:lang w:val="en-US" w:eastAsia="zh-CN" w:bidi="ar-SA"/>
        </w:rPr>
      </w:pPr>
    </w:p>
    <w:p w14:paraId="33ED1EEF">
      <w:pPr>
        <w:pStyle w:val="7"/>
        <w:ind w:firstLine="1440" w:firstLineChars="200"/>
        <w:jc w:val="both"/>
        <w:rPr>
          <w:rFonts w:hint="eastAsia" w:ascii="宋体" w:eastAsia="宋体" w:cs="宋体"/>
          <w:color w:val="auto"/>
          <w:kern w:val="2"/>
          <w:sz w:val="72"/>
          <w:szCs w:val="72"/>
          <w:highlight w:val="none"/>
          <w:lang w:val="en-US" w:eastAsia="zh-CN" w:bidi="ar-SA"/>
        </w:rPr>
      </w:pPr>
      <w:r>
        <w:rPr>
          <w:rFonts w:hint="eastAsia" w:ascii="宋体" w:eastAsia="宋体" w:cs="宋体"/>
          <w:color w:val="auto"/>
          <w:kern w:val="2"/>
          <w:sz w:val="72"/>
          <w:szCs w:val="72"/>
          <w:highlight w:val="none"/>
          <w:lang w:val="en-US" w:eastAsia="zh-CN" w:bidi="ar-SA"/>
        </w:rPr>
        <w:t>2024年度四川省</w:t>
      </w:r>
    </w:p>
    <w:p w14:paraId="7C199721">
      <w:pPr>
        <w:pStyle w:val="7"/>
        <w:jc w:val="center"/>
        <w:rPr>
          <w:rFonts w:hint="eastAsia" w:ascii="宋体" w:eastAsia="宋体" w:cs="宋体"/>
          <w:color w:val="auto"/>
          <w:kern w:val="2"/>
          <w:sz w:val="72"/>
          <w:szCs w:val="72"/>
          <w:highlight w:val="none"/>
          <w:lang w:val="en-US" w:eastAsia="zh-CN" w:bidi="ar-SA"/>
        </w:rPr>
      </w:pPr>
      <w:r>
        <w:rPr>
          <w:rFonts w:hint="eastAsia" w:ascii="宋体" w:eastAsia="宋体" w:cs="宋体"/>
          <w:color w:val="auto"/>
          <w:kern w:val="2"/>
          <w:sz w:val="72"/>
          <w:szCs w:val="72"/>
          <w:highlight w:val="none"/>
          <w:lang w:val="en-US" w:eastAsia="zh-CN" w:bidi="ar-SA"/>
        </w:rPr>
        <w:t>金川县佛教协会部门决算</w:t>
      </w:r>
    </w:p>
    <w:p w14:paraId="7291128A">
      <w:pPr>
        <w:pStyle w:val="16"/>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宋体" w:eastAsia="宋体" w:cs="宋体"/>
          <w:color w:val="auto"/>
          <w:sz w:val="72"/>
          <w:szCs w:val="72"/>
          <w:highlight w:val="none"/>
          <w:lang w:val="en-US" w:eastAsia="zh-CN"/>
        </w:rPr>
      </w:pPr>
    </w:p>
    <w:p w14:paraId="38EC659F">
      <w:pPr>
        <w:widowControl/>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14:paraId="45D9639B">
      <w:pPr>
        <w:widowControl/>
        <w:jc w:val="center"/>
        <w:rPr>
          <w:rFonts w:ascii="Times New Roman" w:hAnsi="Times New Roman" w:eastAsia="黑体" w:cs="Arial"/>
          <w:color w:val="auto"/>
          <w:sz w:val="28"/>
          <w:szCs w:val="28"/>
          <w:highlight w:val="none"/>
        </w:rPr>
      </w:pPr>
    </w:p>
    <w:p w14:paraId="7041F9BC">
      <w:pPr>
        <w:pStyle w:val="14"/>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w:t>
      </w:r>
      <w:r>
        <w:rPr>
          <w:rFonts w:ascii="Times New Roman" w:hAnsi="Times New Roman"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8</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26 </w:t>
      </w:r>
      <w:r>
        <w:rPr>
          <w:rFonts w:hint="eastAsia" w:ascii="Times New Roman" w:hAnsi="Times New Roman" w:eastAsia="仿宋_GB2312" w:cs="仿宋_GB2312"/>
          <w:color w:val="auto"/>
          <w:sz w:val="32"/>
          <w:szCs w:val="32"/>
          <w:highlight w:val="none"/>
        </w:rPr>
        <w:t>日</w:t>
      </w:r>
    </w:p>
    <w:p w14:paraId="0D19E1D7">
      <w:pPr>
        <w:rPr>
          <w:rFonts w:ascii="Times New Roman" w:hAnsi="Times New Roman"/>
          <w:color w:val="auto"/>
          <w:highlight w:val="none"/>
        </w:rPr>
      </w:pPr>
    </w:p>
    <w:p w14:paraId="5AEA29DD">
      <w:pPr>
        <w:pStyle w:val="14"/>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14:paraId="006B159C">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eastAsia="仿宋_GB2312" w:cs="仿宋_GB2312"/>
          <w:color w:val="auto"/>
          <w:sz w:val="32"/>
          <w:szCs w:val="32"/>
          <w:highlight w:val="none"/>
          <w:lang w:val="en-US" w:eastAsia="zh-CN"/>
        </w:rPr>
        <w:t>.......................................................................5</w:t>
      </w:r>
    </w:p>
    <w:p w14:paraId="2B145CB7">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val="en-US" w:eastAsia="zh-CN"/>
        </w:rPr>
        <w:t>.......................................................................6</w:t>
      </w:r>
    </w:p>
    <w:p w14:paraId="3943A2EB">
      <w:pPr>
        <w:pStyle w:val="14"/>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14:paraId="7425EBC6">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一、收入支出决算总体情况说明</w:t>
      </w:r>
      <w:r>
        <w:rPr>
          <w:rFonts w:hint="eastAsia" w:eastAsia="仿宋_GB2312" w:cs="仿宋_GB2312"/>
          <w:color w:val="auto"/>
          <w:sz w:val="32"/>
          <w:szCs w:val="32"/>
          <w:highlight w:val="none"/>
          <w:lang w:val="en-US" w:eastAsia="zh-CN"/>
        </w:rPr>
        <w:t>......................................7</w:t>
      </w:r>
    </w:p>
    <w:p w14:paraId="716E08E7">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lang w:val="en-US" w:eastAsia="zh-CN"/>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val="en-US" w:eastAsia="zh-CN"/>
        </w:rPr>
        <w:t>......................................................8</w:t>
      </w:r>
    </w:p>
    <w:p w14:paraId="14A50055">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val="en-US" w:eastAsia="zh-CN"/>
        </w:rPr>
        <w:t>......................................................8</w:t>
      </w:r>
    </w:p>
    <w:p w14:paraId="55DBC871">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val="en-US" w:eastAsia="zh-CN"/>
        </w:rPr>
        <w:t>......................9</w:t>
      </w:r>
    </w:p>
    <w:p w14:paraId="3F74DA17">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val="en-US" w:eastAsia="zh-CN"/>
        </w:rPr>
        <w:t>.............11</w:t>
      </w:r>
    </w:p>
    <w:p w14:paraId="4C98EDEB">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eastAsia="仿宋_GB2312" w:cs="仿宋_GB2312"/>
          <w:color w:val="auto"/>
          <w:sz w:val="32"/>
          <w:szCs w:val="32"/>
          <w:highlight w:val="none"/>
          <w:lang w:val="en-US" w:eastAsia="zh-CN"/>
        </w:rPr>
        <w:t>.....12</w:t>
      </w:r>
    </w:p>
    <w:p w14:paraId="4F42E646">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val="en-US" w:eastAsia="zh-CN"/>
        </w:rPr>
        <w:t>............13</w:t>
      </w:r>
    </w:p>
    <w:p w14:paraId="60E205B6">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val="en-US" w:eastAsia="zh-CN"/>
        </w:rPr>
        <w:t>........................13</w:t>
      </w:r>
    </w:p>
    <w:p w14:paraId="1A691D76">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val="en-US" w:eastAsia="zh-CN"/>
        </w:rPr>
        <w:t>....................13</w:t>
      </w:r>
    </w:p>
    <w:p w14:paraId="16930210">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val="en-US" w:eastAsia="zh-CN"/>
        </w:rPr>
        <w:t>........................................14</w:t>
      </w:r>
    </w:p>
    <w:p w14:paraId="12A4F0A5">
      <w:pPr>
        <w:pStyle w:val="14"/>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黑体" w:cs="黑体"/>
          <w:color w:val="auto"/>
          <w:sz w:val="32"/>
          <w:szCs w:val="32"/>
          <w:highlight w:val="none"/>
          <w:lang w:val="en-US" w:eastAsia="zh-CN"/>
        </w:rPr>
        <w:t>.................................................................15</w:t>
      </w:r>
    </w:p>
    <w:p w14:paraId="2231A265">
      <w:pPr>
        <w:pStyle w:val="14"/>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黑体" w:cs="黑体"/>
          <w:color w:val="auto"/>
          <w:sz w:val="32"/>
          <w:szCs w:val="32"/>
          <w:highlight w:val="none"/>
          <w:lang w:val="en-US" w:eastAsia="zh-CN"/>
        </w:rPr>
        <w:t>.........................................................................26</w:t>
      </w:r>
    </w:p>
    <w:p w14:paraId="086F113F">
      <w:pPr>
        <w:pStyle w:val="14"/>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eastAsia" w:ascii="Times New Roman" w:hAnsi="Times New Roman" w:eastAsia="黑体" w:cs="黑体"/>
          <w:color w:val="auto"/>
          <w:sz w:val="32"/>
          <w:szCs w:val="32"/>
          <w:highlight w:val="none"/>
          <w:lang w:val="en-US" w:eastAsia="zh-CN"/>
        </w:rPr>
        <w:t>.........................................................................27</w:t>
      </w:r>
    </w:p>
    <w:p w14:paraId="1C726299">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2C9D3A24">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14:paraId="0BDEC4AF">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14:paraId="50631C70">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14:paraId="108C2C38">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14:paraId="62635AF5">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14:paraId="22251E58">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14:paraId="33CFF515">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5BBFE418">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14:paraId="013034D8">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14:paraId="21516157">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14:paraId="15F5D58F">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14:paraId="1D09D83C">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14:paraId="471A88BD">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r>
        <w:rPr>
          <w:rFonts w:hint="eastAsia" w:ascii="Times New Roman" w:hAnsi="Times New Roman" w:eastAsia="仿宋_GB2312" w:cs="仿宋_GB2312"/>
          <w:b/>
          <w:color w:val="auto"/>
          <w:sz w:val="32"/>
          <w:szCs w:val="32"/>
          <w:highlight w:val="none"/>
        </w:rPr>
        <w:br w:type="page"/>
      </w:r>
    </w:p>
    <w:p w14:paraId="44291616">
      <w:pPr>
        <w:pStyle w:val="3"/>
        <w:jc w:val="center"/>
        <w:rPr>
          <w:rStyle w:val="21"/>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1"/>
          <w:rFonts w:hint="eastAsia" w:ascii="Times New Roman" w:hAnsi="Times New Roman" w:eastAsia="方正小标宋简体" w:cs="方正小标宋简体"/>
          <w:b w:val="0"/>
          <w:bCs w:val="0"/>
          <w:color w:val="auto"/>
          <w:highlight w:val="none"/>
        </w:rPr>
        <w:t>部门概况</w:t>
      </w:r>
    </w:p>
    <w:p w14:paraId="7C28A438">
      <w:pPr>
        <w:widowControl/>
        <w:jc w:val="left"/>
        <w:rPr>
          <w:rFonts w:ascii="Times New Roman" w:hAnsi="Times New Roman" w:eastAsia="黑体"/>
          <w:color w:val="auto"/>
          <w:sz w:val="32"/>
          <w:szCs w:val="32"/>
          <w:highlight w:val="none"/>
        </w:rPr>
      </w:pPr>
    </w:p>
    <w:p w14:paraId="5C0642A0">
      <w:pPr>
        <w:pStyle w:val="11"/>
        <w:pageBreakBefore w:val="0"/>
        <w:widowControl w:val="0"/>
        <w:numPr>
          <w:ilvl w:val="0"/>
          <w:numId w:val="1"/>
        </w:numPr>
        <w:kinsoku/>
        <w:wordWrap/>
        <w:overflowPunct/>
        <w:topLinePunct w:val="0"/>
        <w:bidi w:val="0"/>
        <w:adjustRightInd w:val="0"/>
        <w:snapToGrid w:val="0"/>
        <w:spacing w:before="93" w:line="576" w:lineRule="exact"/>
        <w:ind w:left="0" w:firstLine="665" w:firstLineChars="208"/>
        <w:outlineLvl w:val="2"/>
        <w:rPr>
          <w:rFonts w:hint="eastAsia" w:ascii="Times New Roman" w:hAnsi="Times New Roman" w:eastAsia="黑体"/>
          <w:b w:val="0"/>
          <w:color w:val="auto"/>
          <w:sz w:val="32"/>
          <w:szCs w:val="32"/>
          <w:highlight w:val="none"/>
          <w:lang w:eastAsia="zh-CN"/>
        </w:rPr>
      </w:pPr>
      <w:r>
        <w:rPr>
          <w:rFonts w:hint="eastAsia" w:ascii="Times New Roman" w:hAnsi="Times New Roman" w:eastAsia="黑体"/>
          <w:b w:val="0"/>
          <w:color w:val="auto"/>
          <w:sz w:val="32"/>
          <w:szCs w:val="32"/>
          <w:highlight w:val="none"/>
          <w:lang w:eastAsia="zh-CN"/>
        </w:rPr>
        <w:t>部门职责</w:t>
      </w:r>
    </w:p>
    <w:p w14:paraId="2467743F">
      <w:pPr>
        <w:pStyle w:val="11"/>
        <w:pageBreakBefore w:val="0"/>
        <w:widowControl w:val="0"/>
        <w:kinsoku/>
        <w:wordWrap/>
        <w:overflowPunct/>
        <w:topLinePunct w:val="0"/>
        <w:bidi w:val="0"/>
        <w:adjustRightInd w:val="0"/>
        <w:snapToGrid w:val="0"/>
        <w:spacing w:before="93" w:line="576" w:lineRule="exact"/>
        <w:ind w:left="437" w:leftChars="208"/>
        <w:outlineLvl w:val="2"/>
        <w:rPr>
          <w:rFonts w:ascii="Times New Roman" w:hAnsi="Times New Roman" w:eastAsia="楷体" w:cs="Times New Roman"/>
          <w:b/>
          <w:color w:val="000000"/>
          <w:kern w:val="0"/>
          <w:sz w:val="32"/>
          <w:szCs w:val="32"/>
          <w:shd w:val="clear" w:color="auto" w:fill="auto"/>
        </w:rPr>
      </w:pPr>
      <w:r>
        <w:rPr>
          <w:rFonts w:ascii="Times New Roman" w:hAnsi="Times New Roman" w:eastAsia="楷体" w:cs="Times New Roman"/>
          <w:b/>
          <w:color w:val="000000"/>
          <w:kern w:val="0"/>
          <w:sz w:val="32"/>
          <w:szCs w:val="32"/>
          <w:shd w:val="clear" w:color="auto" w:fill="auto"/>
        </w:rPr>
        <w:t>（一）主要职能。</w:t>
      </w:r>
    </w:p>
    <w:p w14:paraId="48EF7813">
      <w:pPr>
        <w:spacing w:line="0" w:lineRule="atLeast"/>
        <w:ind w:firstLine="640" w:firstLineChars="200"/>
        <w:rPr>
          <w:rFonts w:hint="eastAsia" w:ascii="仿宋" w:eastAsia="仿宋" w:cs="仿宋"/>
          <w:sz w:val="32"/>
          <w:szCs w:val="32"/>
        </w:rPr>
      </w:pPr>
      <w:r>
        <w:rPr>
          <w:rFonts w:hint="eastAsia" w:ascii="仿宋" w:eastAsia="仿宋" w:cs="仿宋"/>
          <w:bCs/>
          <w:sz w:val="32"/>
          <w:szCs w:val="32"/>
        </w:rPr>
        <w:t>贯彻执行党和国家关于宗教工作的方针、政策、法律、法规，</w:t>
      </w:r>
      <w:r>
        <w:rPr>
          <w:rFonts w:hint="eastAsia" w:ascii="仿宋" w:eastAsia="仿宋" w:cs="仿宋"/>
          <w:sz w:val="32"/>
          <w:szCs w:val="32"/>
        </w:rPr>
        <w:t>紧紧围绕县委、政府的工作部署，落实目标责任，夯实工作基础，以铸牢中华民族共同体意识为主线，依法管理宗教事务，</w:t>
      </w:r>
      <w:r>
        <w:rPr>
          <w:rFonts w:hint="eastAsia" w:ascii="仿宋" w:eastAsia="仿宋" w:cs="仿宋"/>
          <w:bCs/>
          <w:sz w:val="32"/>
          <w:szCs w:val="32"/>
        </w:rPr>
        <w:t>组织开展</w:t>
      </w:r>
      <w:r>
        <w:rPr>
          <w:rFonts w:hint="eastAsia" w:ascii="仿宋" w:eastAsia="仿宋" w:cs="仿宋"/>
          <w:bCs/>
          <w:sz w:val="32"/>
          <w:szCs w:val="32"/>
          <w:lang w:val="en-US" w:eastAsia="zh-CN"/>
        </w:rPr>
        <w:t>民族</w:t>
      </w:r>
      <w:r>
        <w:rPr>
          <w:rFonts w:hint="eastAsia" w:ascii="仿宋" w:eastAsia="仿宋" w:cs="仿宋"/>
          <w:bCs/>
          <w:sz w:val="32"/>
          <w:szCs w:val="32"/>
        </w:rPr>
        <w:t>宗教理论、民族政策和民族宗教工作重大问题的调查研究，研究全县民族宗教现状，负责民族宗教动态和信息的汇总、分析提出有关民族宗教工作的政策建议，</w:t>
      </w:r>
      <w:r>
        <w:rPr>
          <w:rFonts w:hint="eastAsia" w:ascii="仿宋" w:eastAsia="仿宋" w:cs="仿宋"/>
          <w:bCs/>
          <w:sz w:val="32"/>
          <w:szCs w:val="32"/>
          <w:lang w:val="zh-CN"/>
        </w:rPr>
        <w:t>以推动民族团结为重点，</w:t>
      </w:r>
      <w:r>
        <w:rPr>
          <w:rFonts w:hint="eastAsia" w:ascii="仿宋" w:eastAsia="仿宋" w:cs="仿宋"/>
          <w:sz w:val="32"/>
          <w:szCs w:val="32"/>
        </w:rPr>
        <w:t>切实掌握全县佛教界寺情僧意，主动向党委政府报告寺庙及僧尼的情况，并提出合理意见建议。</w:t>
      </w:r>
    </w:p>
    <w:p w14:paraId="112489C9">
      <w:pPr>
        <w:pStyle w:val="11"/>
        <w:pageBreakBefore w:val="0"/>
        <w:widowControl w:val="0"/>
        <w:kinsoku/>
        <w:wordWrap/>
        <w:overflowPunct/>
        <w:topLinePunct w:val="0"/>
        <w:bidi w:val="0"/>
        <w:adjustRightInd w:val="0"/>
        <w:snapToGrid w:val="0"/>
        <w:spacing w:before="93" w:line="576" w:lineRule="exact"/>
        <w:ind w:firstLine="643" w:firstLineChars="200"/>
        <w:outlineLvl w:val="2"/>
        <w:rPr>
          <w:rFonts w:ascii="Times New Roman" w:hAnsi="Times New Roman" w:eastAsia="方正楷体_GBK" w:cs="Times New Roman"/>
          <w:b/>
          <w:bCs/>
          <w:color w:val="000000"/>
          <w:kern w:val="0"/>
          <w:sz w:val="32"/>
          <w:szCs w:val="32"/>
          <w:shd w:val="clear" w:color="auto" w:fill="auto"/>
        </w:rPr>
      </w:pPr>
      <w:r>
        <w:rPr>
          <w:rFonts w:ascii="Times New Roman" w:hAnsi="Times New Roman" w:eastAsia="方正楷体_GBK" w:cs="Times New Roman"/>
          <w:b/>
          <w:bCs/>
          <w:color w:val="000000"/>
          <w:kern w:val="0"/>
          <w:sz w:val="32"/>
          <w:szCs w:val="32"/>
          <w:shd w:val="clear" w:color="auto" w:fill="auto"/>
        </w:rPr>
        <w:t>（二）202</w:t>
      </w:r>
      <w:r>
        <w:rPr>
          <w:rFonts w:hint="eastAsia" w:eastAsia="方正楷体_GBK" w:cs="Times New Roman"/>
          <w:b/>
          <w:bCs/>
          <w:color w:val="000000"/>
          <w:kern w:val="0"/>
          <w:sz w:val="32"/>
          <w:szCs w:val="32"/>
          <w:shd w:val="clear" w:color="auto" w:fill="auto"/>
          <w:lang w:val="en-US" w:eastAsia="zh-CN"/>
        </w:rPr>
        <w:t>4</w:t>
      </w:r>
      <w:r>
        <w:rPr>
          <w:rFonts w:ascii="Times New Roman" w:hAnsi="Times New Roman" w:eastAsia="方正楷体_GBK" w:cs="Times New Roman"/>
          <w:b/>
          <w:bCs/>
          <w:color w:val="000000"/>
          <w:kern w:val="0"/>
          <w:sz w:val="32"/>
          <w:szCs w:val="32"/>
          <w:shd w:val="clear" w:color="auto" w:fill="auto"/>
        </w:rPr>
        <w:t>年重点工作完成情况。</w:t>
      </w:r>
    </w:p>
    <w:p w14:paraId="155BFC11">
      <w:pPr>
        <w:spacing w:line="0" w:lineRule="atLeast"/>
        <w:ind w:firstLine="640" w:firstLineChars="200"/>
        <w:rPr>
          <w:rFonts w:hint="eastAsia" w:ascii="仿宋" w:eastAsia="仿宋" w:cs="仿宋"/>
          <w:b w:val="0"/>
          <w:bCs/>
          <w:sz w:val="32"/>
          <w:szCs w:val="32"/>
        </w:rPr>
      </w:pPr>
      <w:r>
        <w:rPr>
          <w:rFonts w:hint="eastAsia" w:ascii="仿宋" w:eastAsia="仿宋" w:cs="仿宋"/>
          <w:b w:val="0"/>
          <w:bCs/>
          <w:sz w:val="32"/>
          <w:szCs w:val="32"/>
          <w:lang w:val="en-US" w:eastAsia="zh-CN"/>
        </w:rPr>
        <w:t>1、</w:t>
      </w:r>
      <w:r>
        <w:rPr>
          <w:rFonts w:hint="eastAsia" w:ascii="仿宋" w:eastAsia="仿宋" w:cs="仿宋"/>
          <w:b w:val="0"/>
          <w:bCs/>
          <w:sz w:val="32"/>
          <w:szCs w:val="32"/>
        </w:rPr>
        <w:t>加强政治学习，狠抓思想引领。政治宣传教育主要主要开展了宣讲中央、省、州、县各级党委政府召开的民族工作会议和宗教工作会议精神、习近平总书记在藏区各地调研时作出的重要指示精神及关于宗教工作的重要论述，省、州、县主要领导对民族宗教工作的讲话精神。佛教协会始终坚持把加强佛教界政治理论学习，提高政治站位当作一件大事来抓，组织僧尼开展爱党爱国爱社会主义教育，不断增进对伟大祖国、中华民族、中华文化、中国共产党、中国特色社会主义的认同，不断增强拥护中国共产党领导的思想自觉和行动自觉，坚定团结在</w:t>
      </w:r>
      <w:bookmarkStart w:id="20" w:name="_GoBack"/>
      <w:bookmarkEnd w:id="20"/>
      <w:r>
        <w:rPr>
          <w:rFonts w:hint="eastAsia" w:ascii="仿宋" w:eastAsia="仿宋" w:cs="仿宋"/>
          <w:b w:val="0"/>
          <w:bCs/>
          <w:sz w:val="32"/>
          <w:szCs w:val="32"/>
          <w:lang w:eastAsia="zh-CN"/>
        </w:rPr>
        <w:t>以习近平同志为核心的党中央</w:t>
      </w:r>
      <w:r>
        <w:rPr>
          <w:rFonts w:hint="eastAsia" w:ascii="仿宋" w:eastAsia="仿宋" w:cs="仿宋"/>
          <w:b w:val="0"/>
          <w:bCs/>
          <w:sz w:val="32"/>
          <w:szCs w:val="32"/>
        </w:rPr>
        <w:t>周围，在任何时候任何情况下都站在党和政府一边。</w:t>
      </w:r>
    </w:p>
    <w:p w14:paraId="5CD9EF53">
      <w:pPr>
        <w:spacing w:line="0" w:lineRule="atLeast"/>
        <w:ind w:firstLine="640" w:firstLineChars="200"/>
        <w:rPr>
          <w:rFonts w:hint="eastAsia" w:ascii="仿宋" w:eastAsia="仿宋" w:cs="仿宋"/>
          <w:b w:val="0"/>
          <w:bCs/>
          <w:sz w:val="32"/>
          <w:szCs w:val="32"/>
        </w:rPr>
      </w:pPr>
      <w:r>
        <w:rPr>
          <w:rFonts w:hint="eastAsia" w:ascii="仿宋" w:eastAsia="仿宋" w:cs="仿宋"/>
          <w:b w:val="0"/>
          <w:bCs/>
          <w:sz w:val="32"/>
          <w:szCs w:val="32"/>
          <w:lang w:val="en-US" w:eastAsia="zh-CN"/>
        </w:rPr>
        <w:t>2、</w:t>
      </w:r>
      <w:r>
        <w:rPr>
          <w:rFonts w:hint="eastAsia" w:ascii="仿宋" w:eastAsia="仿宋" w:cs="仿宋"/>
          <w:b w:val="0"/>
          <w:bCs/>
          <w:sz w:val="32"/>
          <w:szCs w:val="32"/>
        </w:rPr>
        <w:t>加强法治宣传，增强僧尼守法意识。法治教育主要开展了《宪法》、《宗教事务条例》、《四川省宗教事务条例》、《阿坝州宗教事务条例》、《藏传佛教活佛转世管理办法》、《藏传佛教教职人员资格认定办法》、《藏传佛教寺庙主要教职任职办法》、《藏传佛教寺庙管理办法》《互联网信息服务管理办法》等法律法规及规章的学习，切实增强广大僧尼学法、遵法、守法、用法意识。</w:t>
      </w:r>
    </w:p>
    <w:p w14:paraId="1AA5E0E2">
      <w:pPr>
        <w:spacing w:line="0" w:lineRule="atLeast"/>
        <w:ind w:firstLine="640" w:firstLineChars="200"/>
        <w:rPr>
          <w:rFonts w:hint="eastAsia" w:ascii="仿宋" w:eastAsia="仿宋" w:cs="仿宋"/>
          <w:b w:val="0"/>
          <w:bCs/>
          <w:sz w:val="32"/>
          <w:szCs w:val="32"/>
        </w:rPr>
      </w:pPr>
      <w:r>
        <w:rPr>
          <w:rFonts w:hint="eastAsia" w:ascii="仿宋" w:eastAsia="仿宋" w:cs="仿宋"/>
          <w:b w:val="0"/>
          <w:bCs/>
          <w:sz w:val="32"/>
          <w:szCs w:val="32"/>
          <w:lang w:val="en-US" w:eastAsia="zh-CN"/>
        </w:rPr>
        <w:t>3、</w:t>
      </w:r>
      <w:r>
        <w:rPr>
          <w:rFonts w:hint="eastAsia" w:ascii="仿宋" w:eastAsia="仿宋" w:cs="仿宋"/>
          <w:b w:val="0"/>
          <w:bCs/>
          <w:sz w:val="32"/>
          <w:szCs w:val="32"/>
        </w:rPr>
        <w:t>督促教规戒律落实，维护僧尼持戒学修形象。开展教规戒律学习教育内容主要有“十善”、“沙弥36戒”、“比丘253戒”、“本教净居25戒”、“本教比丘250戒”，半月说戒，夏安居重温各教派教规戒律，规范个人言行，提高道德操守和人文素养。我们始终鲜明“遵纪守法”立场，强调“以戒为师”、“闻思修”、“讲辩著”为根本，深入开展以“精进学修、守法持戒”的教规戒律教育、藏传佛教寺庙经师评聘、文明和谐平安寺庙省、州、县“三级联创”工作，大力推行正信正行、以戒为师的人间佛教思想，把佛教的传统组织制度与现行的法律法规和规章制度结合起来，狠抓教风建设，提高寺庙自我管理能力，进一步提高僧尼讲规矩、守戒律意识。</w:t>
      </w:r>
    </w:p>
    <w:p w14:paraId="1BB49FB5">
      <w:pPr>
        <w:spacing w:line="0" w:lineRule="atLeast"/>
        <w:ind w:firstLine="640" w:firstLineChars="200"/>
        <w:rPr>
          <w:rFonts w:hint="eastAsia" w:ascii="仿宋" w:eastAsia="仿宋" w:cs="仿宋"/>
          <w:b w:val="0"/>
          <w:bCs/>
          <w:sz w:val="32"/>
          <w:szCs w:val="32"/>
        </w:rPr>
      </w:pPr>
      <w:r>
        <w:rPr>
          <w:rFonts w:hint="eastAsia" w:ascii="仿宋" w:eastAsia="仿宋" w:cs="仿宋"/>
          <w:b w:val="0"/>
          <w:bCs/>
          <w:sz w:val="32"/>
          <w:szCs w:val="32"/>
          <w:lang w:val="en-US" w:eastAsia="zh-CN"/>
        </w:rPr>
        <w:t>4、</w:t>
      </w:r>
      <w:r>
        <w:rPr>
          <w:rFonts w:hint="eastAsia" w:ascii="仿宋" w:eastAsia="仿宋" w:cs="仿宋"/>
          <w:b w:val="0"/>
          <w:bCs/>
          <w:sz w:val="32"/>
          <w:szCs w:val="32"/>
        </w:rPr>
        <w:t>加强自身建设，培养合格僧才。按照“政治上靠得住、宗教上有造诣、品德上能服众、关键时起作用”的标准，深入推进活佛、理事、民管会、经师等各类培训，进一步提高佛教界政策理论水平，增强大局观和政治观。积极配合中国藏语系高级佛学院、四川藏语佛学院在我县开展学衔班招生工作，关心优秀青年僧尼的成长，把教育培养、选拔使用、日常管理结合起来，帮助他们通过工作历练提高水平，帮助他们在宗教实践中注重修为操守，做爱国爱教、守法持戒、精进修学、服务社会的表率。</w:t>
      </w:r>
    </w:p>
    <w:p w14:paraId="35F1226B">
      <w:pPr>
        <w:spacing w:line="0" w:lineRule="atLeast"/>
        <w:ind w:firstLine="630"/>
        <w:rPr>
          <w:rFonts w:hint="eastAsia" w:ascii="仿宋" w:eastAsia="仿宋" w:cs="仿宋"/>
          <w:b w:val="0"/>
          <w:bCs/>
          <w:sz w:val="32"/>
          <w:szCs w:val="32"/>
        </w:rPr>
      </w:pPr>
      <w:r>
        <w:rPr>
          <w:rFonts w:hint="eastAsia" w:ascii="仿宋" w:eastAsia="仿宋" w:cs="仿宋"/>
          <w:b w:val="0"/>
          <w:bCs/>
          <w:sz w:val="32"/>
          <w:szCs w:val="32"/>
          <w:lang w:val="en-US" w:eastAsia="zh-CN"/>
        </w:rPr>
        <w:t>5、</w:t>
      </w:r>
      <w:r>
        <w:rPr>
          <w:rFonts w:hint="eastAsia" w:ascii="仿宋" w:eastAsia="仿宋" w:cs="仿宋"/>
          <w:b w:val="0"/>
          <w:bCs/>
          <w:sz w:val="32"/>
          <w:szCs w:val="32"/>
        </w:rPr>
        <w:t>不断加强对寺庙民主管理委会的指导和引导。严格按照相关文件要求，选好、配齐、配强寺管会班子成员，对不符合换届程序的寺庙进行耐心细致的解释，对符合换届程序的民管会班子成员，严格按照相关程序进行换届选举，与县委统战部、县民宗局一起深入各寺庙，加强督导。</w:t>
      </w:r>
    </w:p>
    <w:p w14:paraId="708B1217">
      <w:pPr>
        <w:spacing w:line="0" w:lineRule="atLeast"/>
        <w:ind w:firstLine="640" w:firstLineChars="200"/>
        <w:rPr>
          <w:rFonts w:hint="eastAsia" w:ascii="仿宋" w:eastAsia="仿宋" w:cs="仿宋"/>
          <w:b w:val="0"/>
          <w:bCs/>
          <w:sz w:val="32"/>
          <w:szCs w:val="32"/>
        </w:rPr>
      </w:pPr>
      <w:r>
        <w:rPr>
          <w:rFonts w:hint="eastAsia" w:ascii="仿宋" w:eastAsia="仿宋" w:cs="仿宋"/>
          <w:b w:val="0"/>
          <w:bCs/>
          <w:sz w:val="32"/>
          <w:szCs w:val="32"/>
          <w:lang w:val="en-US" w:eastAsia="zh-CN"/>
        </w:rPr>
        <w:t>6、</w:t>
      </w:r>
      <w:r>
        <w:rPr>
          <w:rFonts w:hint="eastAsia" w:ascii="仿宋" w:eastAsia="仿宋" w:cs="仿宋"/>
          <w:b w:val="0"/>
          <w:bCs/>
          <w:sz w:val="32"/>
          <w:szCs w:val="32"/>
        </w:rPr>
        <w:t>积极发挥协同配合作用，认真开展专项工作。我会在敏感时期节点，按照县委、政府的统一安排部署，与县委统战部、县民宗局密切配合，与乡镇干部一道深入寺庙开展维稳驻寺工作。</w:t>
      </w:r>
    </w:p>
    <w:p w14:paraId="313D19EC">
      <w:pPr>
        <w:spacing w:line="0" w:lineRule="atLeast"/>
        <w:ind w:firstLine="640" w:firstLineChars="200"/>
        <w:rPr>
          <w:rFonts w:hint="eastAsia" w:ascii="仿宋" w:eastAsia="仿宋" w:cs="仿宋"/>
          <w:b w:val="0"/>
          <w:bCs/>
          <w:sz w:val="32"/>
          <w:szCs w:val="32"/>
        </w:rPr>
      </w:pPr>
      <w:r>
        <w:rPr>
          <w:rFonts w:hint="eastAsia" w:ascii="仿宋" w:eastAsia="仿宋" w:cs="仿宋"/>
          <w:b w:val="0"/>
          <w:bCs/>
          <w:sz w:val="32"/>
          <w:szCs w:val="32"/>
          <w:lang w:val="en-US" w:eastAsia="zh-CN"/>
        </w:rPr>
        <w:t>7、</w:t>
      </w:r>
      <w:r>
        <w:rPr>
          <w:rFonts w:hint="eastAsia" w:ascii="仿宋" w:eastAsia="仿宋" w:cs="仿宋"/>
          <w:b w:val="0"/>
          <w:bCs/>
          <w:sz w:val="32"/>
          <w:szCs w:val="32"/>
        </w:rPr>
        <w:t>维护合法权益，发挥桥梁纽带作用。当好桥梁和纽带是党和政府对佛协工作的要求，也是僧尼和信教群众对佛协工作的希望。深入寺庙进大殿入扎康，切实掌握全县佛教界寺情僧意，主动向党委政府报告寺庙及僧尼的情况，并提出合理意见建议。</w:t>
      </w:r>
    </w:p>
    <w:p w14:paraId="7757497E">
      <w:pPr>
        <w:spacing w:line="0" w:lineRule="atLeast"/>
        <w:ind w:firstLine="640" w:firstLineChars="200"/>
        <w:rPr>
          <w:rFonts w:hint="eastAsia" w:ascii="仿宋" w:eastAsia="仿宋" w:cs="仿宋"/>
          <w:b w:val="0"/>
          <w:bCs/>
          <w:sz w:val="32"/>
          <w:szCs w:val="32"/>
        </w:rPr>
      </w:pPr>
      <w:r>
        <w:rPr>
          <w:rFonts w:hint="eastAsia" w:ascii="仿宋" w:eastAsia="仿宋" w:cs="仿宋"/>
          <w:b w:val="0"/>
          <w:bCs/>
          <w:sz w:val="32"/>
          <w:szCs w:val="32"/>
          <w:lang w:val="en-US" w:eastAsia="zh-CN"/>
        </w:rPr>
        <w:t>8、</w:t>
      </w:r>
      <w:r>
        <w:rPr>
          <w:rFonts w:hint="eastAsia" w:ascii="仿宋" w:eastAsia="仿宋" w:cs="仿宋"/>
          <w:b w:val="0"/>
          <w:bCs/>
          <w:sz w:val="32"/>
          <w:szCs w:val="32"/>
        </w:rPr>
        <w:t>完成县委县政府领导和统战部、民宗局交办的涉及佛教方面的其他工作。</w:t>
      </w:r>
    </w:p>
    <w:p w14:paraId="65A58E09">
      <w:pPr>
        <w:pStyle w:val="4"/>
        <w:rPr>
          <w:rStyle w:val="22"/>
          <w:rFonts w:hint="eastAsia" w:ascii="Times New Roman" w:hAnsi="Times New Roman" w:eastAsia="黑体"/>
          <w:b w:val="0"/>
          <w:bCs w:val="0"/>
          <w:color w:val="auto"/>
          <w:highlight w:val="none"/>
          <w:lang w:eastAsia="zh-CN"/>
        </w:rPr>
      </w:pPr>
    </w:p>
    <w:p w14:paraId="6112985C">
      <w:pPr>
        <w:pStyle w:val="4"/>
        <w:rPr>
          <w:rStyle w:val="22"/>
          <w:rFonts w:ascii="Times New Roman" w:hAnsi="Times New Roman"/>
          <w:b w:val="0"/>
          <w:bCs w:val="0"/>
          <w:color w:val="auto"/>
          <w:highlight w:val="none"/>
        </w:rPr>
      </w:pPr>
      <w:r>
        <w:rPr>
          <w:rFonts w:hint="eastAsia" w:ascii="Times New Roman" w:hAnsi="Times New Roman" w:eastAsia="黑体"/>
          <w:b w:val="0"/>
          <w:color w:val="auto"/>
          <w:highlight w:val="none"/>
        </w:rPr>
        <w:t>二、机</w:t>
      </w:r>
      <w:r>
        <w:rPr>
          <w:rStyle w:val="22"/>
          <w:rFonts w:hint="eastAsia" w:ascii="Times New Roman" w:hAnsi="Times New Roman" w:eastAsia="黑体"/>
          <w:b w:val="0"/>
          <w:bCs w:val="0"/>
          <w:color w:val="auto"/>
          <w:highlight w:val="none"/>
        </w:rPr>
        <w:t>构设置</w:t>
      </w:r>
    </w:p>
    <w:p w14:paraId="6AB5249D">
      <w:pPr>
        <w:ind w:firstLine="800" w:firstLineChars="250"/>
        <w:rPr>
          <w:rFonts w:hint="eastAsia" w:ascii="Times New Roman" w:hAnsi="Times New Roman" w:eastAsia="仿宋_GB2312" w:cs="仿宋_GB2312"/>
          <w:color w:val="auto"/>
          <w:sz w:val="32"/>
          <w:szCs w:val="32"/>
          <w:highlight w:val="none"/>
        </w:rPr>
      </w:pPr>
      <w:r>
        <w:rPr>
          <w:rFonts w:hint="eastAsia" w:ascii="仿宋_GB2312" w:eastAsia="仿宋_GB2312" w:cs="仿宋_GB2312"/>
          <w:color w:val="auto"/>
          <w:sz w:val="32"/>
          <w:szCs w:val="32"/>
          <w:highlight w:val="none"/>
        </w:rPr>
        <w:t>金川县佛教协会(本级）</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14:paraId="77318F9C">
      <w:pPr>
        <w:pStyle w:val="7"/>
        <w:adjustRightInd w:val="0"/>
        <w:snapToGrid w:val="0"/>
        <w:spacing w:before="93" w:beforeLines="0" w:line="600" w:lineRule="exact"/>
        <w:ind w:firstLine="668" w:firstLineChars="20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金川县佛教协会(本级）</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p>
    <w:p w14:paraId="58C01BDF">
      <w:pPr>
        <w:pStyle w:val="7"/>
        <w:numPr>
          <w:ilvl w:val="0"/>
          <w:numId w:val="2"/>
        </w:numPr>
        <w:adjustRightInd w:val="0"/>
        <w:snapToGrid w:val="0"/>
        <w:spacing w:before="93" w:beforeLines="0" w:line="600" w:lineRule="exact"/>
        <w:outlineLvl w:val="2"/>
        <w:rPr>
          <w:rFonts w:hint="eastAsia" w:ascii="Times New Roman" w:hAnsi="Times New Roman" w:eastAsia="仿宋_GB2312" w:cs="仿宋_GB2312"/>
          <w:color w:val="auto"/>
          <w:sz w:val="32"/>
          <w:szCs w:val="32"/>
          <w:highlight w:val="none"/>
        </w:rPr>
      </w:pPr>
      <w:r>
        <w:rPr>
          <w:rFonts w:hint="eastAsia" w:ascii="Times New Roman" w:hAnsi="Times New Roman" w:cs="仿宋_GB2312"/>
          <w:color w:val="auto"/>
          <w:sz w:val="32"/>
          <w:szCs w:val="32"/>
          <w:highlight w:val="none"/>
          <w:lang w:val="en-US" w:eastAsia="zh-CN"/>
        </w:rPr>
        <w:t>金川县佛教协会</w:t>
      </w:r>
    </w:p>
    <w:p w14:paraId="49B39399">
      <w:pPr>
        <w:pStyle w:val="7"/>
        <w:adjustRightInd w:val="0"/>
        <w:snapToGrid w:val="0"/>
        <w:spacing w:before="93" w:beforeLines="0" w:line="600" w:lineRule="exact"/>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cs="仿宋_GB2312"/>
          <w:color w:val="auto"/>
          <w:sz w:val="32"/>
          <w:szCs w:val="32"/>
          <w:highlight w:val="none"/>
          <w:lang w:val="en-US" w:eastAsia="zh-CN"/>
        </w:rPr>
        <w:t>2.金川县佛教教规教义培训中心</w:t>
      </w:r>
    </w:p>
    <w:bookmarkEnd w:id="0"/>
    <w:bookmarkEnd w:id="1"/>
    <w:bookmarkEnd w:id="2"/>
    <w:bookmarkEnd w:id="3"/>
    <w:bookmarkEnd w:id="4"/>
    <w:bookmarkEnd w:id="5"/>
    <w:p w14:paraId="50FD1E75">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bookmarkStart w:id="6" w:name="_Toc15377205"/>
      <w:bookmarkStart w:id="7" w:name="_Toc15396603"/>
    </w:p>
    <w:p w14:paraId="0C16BB5F">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p>
    <w:p w14:paraId="371C000F">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p>
    <w:p w14:paraId="2B68B6BF">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p>
    <w:p w14:paraId="6EEEA589">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p>
    <w:p w14:paraId="43DCFA65">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p>
    <w:p w14:paraId="0ABAFA29">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p>
    <w:p w14:paraId="6189E7B9">
      <w:pPr>
        <w:pStyle w:val="3"/>
        <w:keepNext/>
        <w:keepLines/>
        <w:pageBreakBefore w:val="0"/>
        <w:widowControl w:val="0"/>
        <w:kinsoku/>
        <w:wordWrap/>
        <w:overflowPunct/>
        <w:topLinePunct w:val="0"/>
        <w:bidi w:val="0"/>
        <w:spacing w:line="576" w:lineRule="exact"/>
        <w:ind w:right="440"/>
        <w:jc w:val="center"/>
        <w:rPr>
          <w:rStyle w:val="21"/>
          <w:rFonts w:ascii="Times New Roman" w:hAnsi="Times New Roman" w:eastAsia="黑体" w:cs="Times New Roman"/>
          <w:b w:val="0"/>
          <w:bCs/>
        </w:rPr>
      </w:pPr>
      <w:bookmarkStart w:id="8" w:name="_Toc15377204"/>
      <w:bookmarkStart w:id="9" w:name="_Toc15396602"/>
      <w:bookmarkStart w:id="10" w:name="_Toc26843607"/>
      <w:r>
        <w:rPr>
          <w:rFonts w:ascii="Times New Roman" w:hAnsi="Times New Roman" w:eastAsia="黑体" w:cs="Times New Roman"/>
          <w:b w:val="0"/>
        </w:rPr>
        <w:t>第二部分 202</w:t>
      </w:r>
      <w:r>
        <w:rPr>
          <w:rFonts w:hint="eastAsia" w:eastAsia="黑体" w:cs="Times New Roman"/>
          <w:b w:val="0"/>
          <w:lang w:val="en-US" w:eastAsia="zh-CN"/>
        </w:rPr>
        <w:t>4</w:t>
      </w:r>
      <w:r>
        <w:rPr>
          <w:rFonts w:ascii="Times New Roman" w:hAnsi="Times New Roman" w:eastAsia="黑体" w:cs="Times New Roman"/>
          <w:b w:val="0"/>
        </w:rPr>
        <w:t>年度</w:t>
      </w:r>
      <w:r>
        <w:rPr>
          <w:rFonts w:ascii="Times New Roman" w:hAnsi="Times New Roman" w:eastAsia="黑体" w:cs="Times New Roman"/>
          <w:b w:val="0"/>
          <w:kern w:val="44"/>
          <w:sz w:val="44"/>
          <w:szCs w:val="44"/>
        </w:rPr>
        <w:t>部门决算情况说明</w:t>
      </w:r>
      <w:bookmarkEnd w:id="8"/>
      <w:bookmarkEnd w:id="9"/>
      <w:bookmarkEnd w:id="10"/>
    </w:p>
    <w:p w14:paraId="69D2737E">
      <w:pPr>
        <w:pageBreakBefore w:val="0"/>
        <w:widowControl w:val="0"/>
        <w:kinsoku/>
        <w:wordWrap/>
        <w:overflowPunct/>
        <w:topLinePunct w:val="0"/>
        <w:bidi w:val="0"/>
        <w:spacing w:line="576" w:lineRule="exact"/>
        <w:rPr>
          <w:rFonts w:ascii="Times New Roman" w:hAnsi="Times New Roman" w:cs="Times New Roman"/>
        </w:rPr>
      </w:pPr>
    </w:p>
    <w:p w14:paraId="6E556D5E">
      <w:pPr>
        <w:pStyle w:val="28"/>
        <w:pageBreakBefore w:val="0"/>
        <w:widowControl w:val="0"/>
        <w:numPr>
          <w:ilvl w:val="0"/>
          <w:numId w:val="3"/>
        </w:numPr>
        <w:kinsoku/>
        <w:wordWrap/>
        <w:overflowPunct/>
        <w:topLinePunct w:val="0"/>
        <w:bidi w:val="0"/>
        <w:spacing w:line="576" w:lineRule="exact"/>
        <w:ind w:firstLineChars="0"/>
        <w:outlineLvl w:val="1"/>
        <w:rPr>
          <w:rStyle w:val="22"/>
          <w:rFonts w:ascii="Times New Roman" w:hAnsi="Times New Roman" w:eastAsia="黑体" w:cs="Times New Roman"/>
          <w:b w:val="0"/>
        </w:rPr>
      </w:pPr>
      <w:bookmarkStart w:id="11" w:name="_Toc26843608"/>
      <w:r>
        <w:rPr>
          <w:rFonts w:ascii="Times New Roman" w:hAnsi="Times New Roman" w:eastAsia="黑体" w:cs="Times New Roman"/>
          <w:sz w:val="32"/>
          <w:szCs w:val="32"/>
        </w:rPr>
        <w:t>收</w:t>
      </w:r>
      <w:r>
        <w:rPr>
          <w:rStyle w:val="22"/>
          <w:rFonts w:ascii="Times New Roman" w:hAnsi="Times New Roman" w:eastAsia="黑体" w:cs="Times New Roman"/>
          <w:b w:val="0"/>
        </w:rPr>
        <w:t>入支出决算总体情况说明</w:t>
      </w:r>
      <w:bookmarkEnd w:id="11"/>
    </w:p>
    <w:p w14:paraId="50686297">
      <w:pPr>
        <w:snapToGrid w:val="0"/>
        <w:spacing w:line="520" w:lineRule="exact"/>
        <w:ind w:firstLine="632" w:firstLineChars="200"/>
        <w:rPr>
          <w:rFonts w:ascii="仿宋_GB2312" w:eastAsia="仿宋_GB2312"/>
          <w:spacing w:val="-2"/>
          <w:sz w:val="32"/>
          <w:szCs w:val="32"/>
        </w:rPr>
      </w:pPr>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年度总收入</w:t>
      </w:r>
      <w:r>
        <w:rPr>
          <w:rFonts w:hint="eastAsia" w:ascii="仿宋_GB2312" w:eastAsia="仿宋_GB2312"/>
          <w:spacing w:val="-2"/>
          <w:sz w:val="32"/>
          <w:szCs w:val="32"/>
          <w:lang w:val="en-US" w:eastAsia="zh-CN"/>
        </w:rPr>
        <w:t>175.35</w:t>
      </w:r>
      <w:r>
        <w:rPr>
          <w:rFonts w:hint="eastAsia" w:ascii="仿宋_GB2312" w:eastAsia="仿宋_GB2312"/>
          <w:spacing w:val="-2"/>
          <w:sz w:val="32"/>
          <w:szCs w:val="32"/>
        </w:rPr>
        <w:t>万元，较上年收入</w:t>
      </w:r>
      <w:r>
        <w:rPr>
          <w:rFonts w:hint="eastAsia" w:ascii="仿宋_GB2312" w:eastAsia="仿宋_GB2312"/>
          <w:spacing w:val="-2"/>
          <w:sz w:val="32"/>
          <w:szCs w:val="32"/>
          <w:lang w:val="en-US" w:eastAsia="zh-CN"/>
        </w:rPr>
        <w:t>减少4.48</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减少2.55</w:t>
      </w:r>
      <w:r>
        <w:rPr>
          <w:rFonts w:ascii="仿宋_GB2312" w:eastAsia="仿宋_GB2312"/>
          <w:spacing w:val="-2"/>
          <w:sz w:val="32"/>
          <w:szCs w:val="32"/>
        </w:rPr>
        <w:t>%</w:t>
      </w:r>
      <w:r>
        <w:rPr>
          <w:rFonts w:hint="eastAsia" w:ascii="仿宋_GB2312" w:eastAsia="仿宋_GB2312"/>
          <w:spacing w:val="-2"/>
          <w:sz w:val="32"/>
          <w:szCs w:val="32"/>
        </w:rPr>
        <w:t>。</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的主要原因是</w:t>
      </w:r>
      <w:r>
        <w:rPr>
          <w:rFonts w:hint="eastAsia" w:ascii="仿宋_GB2312" w:eastAsia="仿宋_GB2312"/>
          <w:spacing w:val="-2"/>
          <w:sz w:val="32"/>
          <w:szCs w:val="32"/>
          <w:lang w:val="en-US" w:eastAsia="zh-CN"/>
        </w:rPr>
        <w:t>去年将民宗局民族团结服务中心有一个编制纳入佛教教规教义培训中心中一起决算，本年已分开决算。</w:t>
      </w:r>
    </w:p>
    <w:p w14:paraId="412B78CD">
      <w:pPr>
        <w:spacing w:line="600" w:lineRule="exact"/>
        <w:ind w:firstLine="632" w:firstLineChars="200"/>
        <w:rPr>
          <w:rFonts w:hint="eastAsia" w:ascii="仿宋_GB2312" w:eastAsia="仿宋_GB2312"/>
          <w:spacing w:val="-2"/>
          <w:sz w:val="32"/>
          <w:szCs w:val="32"/>
        </w:rPr>
      </w:pPr>
      <w:r>
        <w:rPr>
          <w:rFonts w:hint="eastAsia" w:ascii="仿宋_GB2312" w:eastAsia="仿宋_GB2312"/>
          <w:spacing w:val="-2"/>
          <w:sz w:val="32"/>
          <w:szCs w:val="32"/>
        </w:rPr>
        <w:drawing>
          <wp:anchor distT="0" distB="0" distL="114300" distR="114300" simplePos="0" relativeHeight="251659264" behindDoc="0" locked="0" layoutInCell="1" allowOverlap="1">
            <wp:simplePos x="0" y="0"/>
            <wp:positionH relativeFrom="column">
              <wp:posOffset>443865</wp:posOffset>
            </wp:positionH>
            <wp:positionV relativeFrom="paragraph">
              <wp:posOffset>1231265</wp:posOffset>
            </wp:positionV>
            <wp:extent cx="4179570" cy="2345055"/>
            <wp:effectExtent l="0" t="0" r="0" b="0"/>
            <wp:wrapSquare wrapText="bothSides"/>
            <wp:docPr id="13"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年总支出</w:t>
      </w:r>
      <w:r>
        <w:rPr>
          <w:rFonts w:hint="eastAsia" w:ascii="仿宋_GB2312" w:eastAsia="仿宋_GB2312"/>
          <w:spacing w:val="-2"/>
          <w:sz w:val="32"/>
          <w:szCs w:val="32"/>
          <w:lang w:val="en-US" w:eastAsia="zh-CN"/>
        </w:rPr>
        <w:t>175.35</w:t>
      </w:r>
      <w:r>
        <w:rPr>
          <w:rFonts w:hint="eastAsia" w:ascii="仿宋_GB2312" w:eastAsia="仿宋_GB2312"/>
          <w:spacing w:val="-2"/>
          <w:sz w:val="32"/>
          <w:szCs w:val="32"/>
        </w:rPr>
        <w:t>万元，较上年收入</w:t>
      </w:r>
      <w:r>
        <w:rPr>
          <w:rFonts w:hint="eastAsia" w:ascii="仿宋_GB2312" w:eastAsia="仿宋_GB2312"/>
          <w:spacing w:val="-2"/>
          <w:sz w:val="32"/>
          <w:szCs w:val="32"/>
          <w:lang w:val="en-US" w:eastAsia="zh-CN"/>
        </w:rPr>
        <w:t>减少4.48</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减少2.55</w:t>
      </w:r>
      <w:r>
        <w:rPr>
          <w:rFonts w:ascii="仿宋_GB2312" w:eastAsia="仿宋_GB2312"/>
          <w:spacing w:val="-2"/>
          <w:sz w:val="32"/>
          <w:szCs w:val="32"/>
        </w:rPr>
        <w:t>%</w:t>
      </w:r>
      <w:r>
        <w:rPr>
          <w:rFonts w:hint="eastAsia" w:ascii="仿宋_GB2312" w:eastAsia="仿宋_GB2312"/>
          <w:spacing w:val="-2"/>
          <w:sz w:val="32"/>
          <w:szCs w:val="32"/>
        </w:rPr>
        <w:t>。</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的主要原因是本年项目资金</w:t>
      </w:r>
      <w:r>
        <w:rPr>
          <w:rFonts w:hint="eastAsia" w:ascii="仿宋_GB2312" w:eastAsia="仿宋_GB2312"/>
          <w:spacing w:val="-2"/>
          <w:sz w:val="32"/>
          <w:szCs w:val="32"/>
          <w:lang w:val="en-US" w:eastAsia="zh-CN"/>
        </w:rPr>
        <w:t>比往年减少</w:t>
      </w:r>
      <w:r>
        <w:rPr>
          <w:rFonts w:hint="eastAsia" w:ascii="仿宋_GB2312" w:eastAsia="仿宋_GB2312"/>
          <w:spacing w:val="-2"/>
          <w:sz w:val="32"/>
          <w:szCs w:val="32"/>
        </w:rPr>
        <w:t>，项目</w:t>
      </w:r>
      <w:r>
        <w:rPr>
          <w:rFonts w:hint="eastAsia" w:ascii="仿宋_GB2312" w:eastAsia="仿宋_GB2312"/>
          <w:spacing w:val="-2"/>
          <w:sz w:val="32"/>
          <w:szCs w:val="32"/>
          <w:lang w:val="en-US" w:eastAsia="zh-CN"/>
        </w:rPr>
        <w:t>收入减少，机构人员减少，人员经费、公用经费减少</w:t>
      </w:r>
      <w:r>
        <w:rPr>
          <w:rFonts w:hint="eastAsia" w:ascii="仿宋_GB2312" w:eastAsia="仿宋_GB2312"/>
          <w:spacing w:val="-2"/>
          <w:sz w:val="32"/>
          <w:szCs w:val="32"/>
        </w:rPr>
        <w:t>。</w:t>
      </w:r>
    </w:p>
    <w:p w14:paraId="4BD387CD">
      <w:pPr>
        <w:pStyle w:val="7"/>
        <w:pageBreakBefore w:val="0"/>
        <w:widowControl w:val="0"/>
        <w:kinsoku/>
        <w:wordWrap/>
        <w:overflowPunct/>
        <w:topLinePunct w:val="0"/>
        <w:bidi w:val="0"/>
        <w:spacing w:line="576" w:lineRule="exact"/>
        <w:rPr>
          <w:rFonts w:ascii="Times New Roman" w:hAnsi="Times New Roman" w:cs="Times New Roman"/>
        </w:rPr>
      </w:pPr>
    </w:p>
    <w:p w14:paraId="231204BE">
      <w:pPr>
        <w:pStyle w:val="28"/>
        <w:pageBreakBefore w:val="0"/>
        <w:widowControl w:val="0"/>
        <w:numPr>
          <w:ilvl w:val="0"/>
          <w:numId w:val="3"/>
        </w:numPr>
        <w:kinsoku/>
        <w:wordWrap/>
        <w:overflowPunct/>
        <w:topLinePunct w:val="0"/>
        <w:bidi w:val="0"/>
        <w:spacing w:line="576" w:lineRule="exact"/>
        <w:ind w:firstLineChars="0"/>
        <w:outlineLvl w:val="1"/>
        <w:rPr>
          <w:rStyle w:val="22"/>
          <w:rFonts w:ascii="Times New Roman" w:hAnsi="Times New Roman" w:eastAsia="黑体" w:cs="Times New Roman"/>
          <w:b w:val="0"/>
        </w:rPr>
      </w:pPr>
      <w:bookmarkStart w:id="12" w:name="_Toc26843609"/>
      <w:r>
        <w:rPr>
          <w:rFonts w:ascii="Times New Roman" w:hAnsi="Times New Roman" w:eastAsia="黑体" w:cs="Times New Roman"/>
          <w:sz w:val="32"/>
          <w:szCs w:val="32"/>
        </w:rPr>
        <w:t>收</w:t>
      </w:r>
      <w:r>
        <w:rPr>
          <w:rStyle w:val="22"/>
          <w:rFonts w:ascii="Times New Roman" w:hAnsi="Times New Roman" w:eastAsia="黑体" w:cs="Times New Roman"/>
          <w:b w:val="0"/>
        </w:rPr>
        <w:t>入决算情况说明</w:t>
      </w:r>
      <w:bookmarkEnd w:id="12"/>
    </w:p>
    <w:p w14:paraId="4862EDC7">
      <w:pPr>
        <w:snapToGrid w:val="0"/>
        <w:spacing w:line="520" w:lineRule="exact"/>
        <w:ind w:firstLine="632" w:firstLineChars="200"/>
        <w:rPr>
          <w:rFonts w:hint="eastAsia" w:ascii="仿宋_GB2312" w:eastAsia="仿宋_GB2312"/>
          <w:spacing w:val="-2"/>
          <w:sz w:val="32"/>
          <w:szCs w:val="32"/>
        </w:rPr>
      </w:pPr>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年度总收入</w:t>
      </w:r>
      <w:r>
        <w:rPr>
          <w:rFonts w:hint="eastAsia" w:ascii="仿宋_GB2312" w:eastAsia="仿宋_GB2312"/>
          <w:spacing w:val="-2"/>
          <w:sz w:val="32"/>
          <w:szCs w:val="32"/>
          <w:lang w:val="en-US" w:eastAsia="zh-CN"/>
        </w:rPr>
        <w:t>175.35</w:t>
      </w:r>
      <w:r>
        <w:rPr>
          <w:rFonts w:hint="eastAsia" w:ascii="仿宋_GB2312" w:eastAsia="仿宋_GB2312"/>
          <w:spacing w:val="-2"/>
          <w:sz w:val="32"/>
          <w:szCs w:val="32"/>
        </w:rPr>
        <w:t>万元，其中：一般公共预算财政拨款收入</w:t>
      </w:r>
      <w:r>
        <w:rPr>
          <w:rFonts w:hint="eastAsia" w:ascii="仿宋_GB2312" w:eastAsia="仿宋_GB2312"/>
          <w:spacing w:val="-2"/>
          <w:sz w:val="32"/>
          <w:szCs w:val="32"/>
          <w:lang w:val="en-US" w:eastAsia="zh-CN"/>
        </w:rPr>
        <w:t>175.35</w:t>
      </w:r>
      <w:r>
        <w:rPr>
          <w:rFonts w:hint="eastAsia" w:ascii="仿宋_GB2312" w:eastAsia="仿宋_GB2312"/>
          <w:spacing w:val="-2"/>
          <w:sz w:val="32"/>
          <w:szCs w:val="32"/>
        </w:rPr>
        <w:t>万元，占</w:t>
      </w:r>
      <w:r>
        <w:rPr>
          <w:rFonts w:ascii="仿宋_GB2312" w:eastAsia="仿宋_GB2312"/>
          <w:spacing w:val="-2"/>
          <w:sz w:val="32"/>
          <w:szCs w:val="32"/>
        </w:rPr>
        <w:t>100%</w:t>
      </w:r>
      <w:r>
        <w:rPr>
          <w:rFonts w:hint="eastAsia" w:ascii="仿宋_GB2312" w:eastAsia="仿宋_GB2312"/>
          <w:spacing w:val="-2"/>
          <w:sz w:val="32"/>
          <w:szCs w:val="32"/>
        </w:rPr>
        <w:t>；政府性基金预算财政拨款收入</w:t>
      </w:r>
      <w:r>
        <w:rPr>
          <w:rFonts w:ascii="仿宋_GB2312" w:eastAsia="仿宋_GB2312"/>
          <w:spacing w:val="-2"/>
          <w:sz w:val="32"/>
          <w:szCs w:val="32"/>
        </w:rPr>
        <w:t>0</w:t>
      </w:r>
      <w:r>
        <w:rPr>
          <w:rFonts w:hint="eastAsia" w:ascii="仿宋_GB2312" w:eastAsia="仿宋_GB2312"/>
          <w:spacing w:val="-2"/>
          <w:sz w:val="32"/>
          <w:szCs w:val="32"/>
        </w:rPr>
        <w:t>万元，占</w:t>
      </w:r>
      <w:r>
        <w:rPr>
          <w:rFonts w:ascii="仿宋_GB2312" w:eastAsia="仿宋_GB2312"/>
          <w:spacing w:val="-2"/>
          <w:sz w:val="32"/>
          <w:szCs w:val="32"/>
        </w:rPr>
        <w:t>0%</w:t>
      </w:r>
      <w:r>
        <w:rPr>
          <w:rFonts w:hint="eastAsia" w:ascii="仿宋_GB2312" w:eastAsia="仿宋_GB2312"/>
          <w:spacing w:val="-2"/>
          <w:sz w:val="32"/>
          <w:szCs w:val="32"/>
        </w:rPr>
        <w:t>；国有资本经营预算财政拨款收入</w:t>
      </w:r>
      <w:r>
        <w:rPr>
          <w:rFonts w:ascii="仿宋_GB2312" w:eastAsia="仿宋_GB2312"/>
          <w:spacing w:val="-2"/>
          <w:sz w:val="32"/>
          <w:szCs w:val="32"/>
        </w:rPr>
        <w:t>0</w:t>
      </w:r>
      <w:r>
        <w:rPr>
          <w:rFonts w:hint="eastAsia" w:ascii="仿宋_GB2312" w:eastAsia="仿宋_GB2312"/>
          <w:spacing w:val="-2"/>
          <w:sz w:val="32"/>
          <w:szCs w:val="32"/>
        </w:rPr>
        <w:t>万元，占</w:t>
      </w:r>
      <w:r>
        <w:rPr>
          <w:rFonts w:ascii="仿宋_GB2312" w:eastAsia="仿宋_GB2312"/>
          <w:spacing w:val="-2"/>
          <w:sz w:val="32"/>
          <w:szCs w:val="32"/>
        </w:rPr>
        <w:t>0%</w:t>
      </w:r>
      <w:r>
        <w:rPr>
          <w:rFonts w:hint="eastAsia" w:ascii="仿宋_GB2312" w:eastAsia="仿宋_GB2312"/>
          <w:spacing w:val="-2"/>
          <w:sz w:val="32"/>
          <w:szCs w:val="32"/>
        </w:rPr>
        <w:t>；事业收入</w:t>
      </w:r>
      <w:r>
        <w:rPr>
          <w:rFonts w:ascii="仿宋_GB2312" w:eastAsia="仿宋_GB2312"/>
          <w:spacing w:val="-2"/>
          <w:sz w:val="32"/>
          <w:szCs w:val="32"/>
        </w:rPr>
        <w:t>0</w:t>
      </w:r>
      <w:r>
        <w:rPr>
          <w:rFonts w:hint="eastAsia" w:ascii="仿宋_GB2312" w:eastAsia="仿宋_GB2312"/>
          <w:spacing w:val="-2"/>
          <w:sz w:val="32"/>
          <w:szCs w:val="32"/>
        </w:rPr>
        <w:t>万元，占</w:t>
      </w:r>
      <w:r>
        <w:rPr>
          <w:rFonts w:ascii="仿宋_GB2312" w:eastAsia="仿宋_GB2312"/>
          <w:spacing w:val="-2"/>
          <w:sz w:val="32"/>
          <w:szCs w:val="32"/>
        </w:rPr>
        <w:t>0%</w:t>
      </w:r>
      <w:r>
        <w:rPr>
          <w:rFonts w:hint="eastAsia" w:ascii="仿宋_GB2312" w:eastAsia="仿宋_GB2312"/>
          <w:spacing w:val="-2"/>
          <w:sz w:val="32"/>
          <w:szCs w:val="32"/>
        </w:rPr>
        <w:t>；经营收入</w:t>
      </w:r>
      <w:r>
        <w:rPr>
          <w:rFonts w:ascii="仿宋_GB2312" w:eastAsia="仿宋_GB2312"/>
          <w:spacing w:val="-2"/>
          <w:sz w:val="32"/>
          <w:szCs w:val="32"/>
        </w:rPr>
        <w:t>0</w:t>
      </w:r>
      <w:r>
        <w:rPr>
          <w:rFonts w:hint="eastAsia" w:ascii="仿宋_GB2312" w:eastAsia="仿宋_GB2312"/>
          <w:spacing w:val="-2"/>
          <w:sz w:val="32"/>
          <w:szCs w:val="32"/>
        </w:rPr>
        <w:t>万元，占</w:t>
      </w:r>
      <w:r>
        <w:rPr>
          <w:rFonts w:ascii="仿宋_GB2312" w:eastAsia="仿宋_GB2312"/>
          <w:spacing w:val="-2"/>
          <w:sz w:val="32"/>
          <w:szCs w:val="32"/>
        </w:rPr>
        <w:t>0%</w:t>
      </w:r>
      <w:r>
        <w:rPr>
          <w:rFonts w:hint="eastAsia" w:ascii="仿宋_GB2312" w:eastAsia="仿宋_GB2312"/>
          <w:spacing w:val="-2"/>
          <w:sz w:val="32"/>
          <w:szCs w:val="32"/>
        </w:rPr>
        <w:t>；附属单位上缴收入</w:t>
      </w:r>
      <w:r>
        <w:rPr>
          <w:rFonts w:ascii="仿宋_GB2312" w:eastAsia="仿宋_GB2312"/>
          <w:spacing w:val="-2"/>
          <w:sz w:val="32"/>
          <w:szCs w:val="32"/>
        </w:rPr>
        <w:t>0</w:t>
      </w:r>
      <w:r>
        <w:rPr>
          <w:rFonts w:hint="eastAsia" w:ascii="仿宋_GB2312" w:eastAsia="仿宋_GB2312"/>
          <w:spacing w:val="-2"/>
          <w:sz w:val="32"/>
          <w:szCs w:val="32"/>
        </w:rPr>
        <w:t>万元，占</w:t>
      </w:r>
      <w:r>
        <w:rPr>
          <w:rFonts w:ascii="仿宋_GB2312" w:eastAsia="仿宋_GB2312"/>
          <w:spacing w:val="-2"/>
          <w:sz w:val="32"/>
          <w:szCs w:val="32"/>
        </w:rPr>
        <w:t>0%</w:t>
      </w:r>
      <w:r>
        <w:rPr>
          <w:rFonts w:hint="eastAsia" w:ascii="仿宋_GB2312" w:eastAsia="仿宋_GB2312"/>
          <w:spacing w:val="-2"/>
          <w:sz w:val="32"/>
          <w:szCs w:val="32"/>
        </w:rPr>
        <w:t>；其他收入</w:t>
      </w:r>
      <w:r>
        <w:rPr>
          <w:rFonts w:ascii="仿宋_GB2312" w:eastAsia="仿宋_GB2312"/>
          <w:spacing w:val="-2"/>
          <w:sz w:val="32"/>
          <w:szCs w:val="32"/>
        </w:rPr>
        <w:t>0</w:t>
      </w:r>
      <w:r>
        <w:rPr>
          <w:rFonts w:hint="eastAsia" w:ascii="仿宋_GB2312" w:eastAsia="仿宋_GB2312"/>
          <w:spacing w:val="-2"/>
          <w:sz w:val="32"/>
          <w:szCs w:val="32"/>
        </w:rPr>
        <w:t>万元，占</w:t>
      </w:r>
      <w:r>
        <w:rPr>
          <w:rFonts w:ascii="仿宋_GB2312" w:eastAsia="仿宋_GB2312"/>
          <w:spacing w:val="-2"/>
          <w:sz w:val="32"/>
          <w:szCs w:val="32"/>
        </w:rPr>
        <w:t>0%</w:t>
      </w:r>
      <w:r>
        <w:rPr>
          <w:rFonts w:hint="eastAsia" w:ascii="仿宋_GB2312" w:eastAsia="仿宋_GB2312"/>
          <w:spacing w:val="-2"/>
          <w:sz w:val="32"/>
          <w:szCs w:val="32"/>
        </w:rPr>
        <w:t>。</w:t>
      </w:r>
    </w:p>
    <w:p w14:paraId="0E859DE5">
      <w:pPr>
        <w:snapToGrid w:val="0"/>
        <w:spacing w:line="520" w:lineRule="exact"/>
        <w:ind w:firstLine="420" w:firstLineChars="200"/>
        <w:rPr>
          <w:rFonts w:hint="eastAsia" w:ascii="仿宋_GB2312" w:eastAsia="仿宋_GB2312"/>
          <w:spacing w:val="-2"/>
          <w:sz w:val="32"/>
          <w:szCs w:val="32"/>
        </w:rPr>
      </w:pPr>
      <w:r>
        <w:drawing>
          <wp:anchor distT="0" distB="0" distL="114300" distR="114300" simplePos="0" relativeHeight="251659264" behindDoc="0" locked="0" layoutInCell="1" allowOverlap="1">
            <wp:simplePos x="0" y="0"/>
            <wp:positionH relativeFrom="column">
              <wp:posOffset>354965</wp:posOffset>
            </wp:positionH>
            <wp:positionV relativeFrom="paragraph">
              <wp:posOffset>62230</wp:posOffset>
            </wp:positionV>
            <wp:extent cx="4572635" cy="2746375"/>
            <wp:effectExtent l="0" t="0" r="0" b="0"/>
            <wp:wrapSquare wrapText="bothSides"/>
            <wp:docPr id="1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21C63918">
      <w:pPr>
        <w:spacing w:line="600" w:lineRule="exact"/>
        <w:ind w:firstLine="640" w:firstLineChars="200"/>
        <w:outlineLvl w:val="1"/>
        <w:rPr>
          <w:rFonts w:hint="eastAsia" w:ascii="黑体" w:eastAsia="黑体"/>
          <w:color w:val="000000"/>
          <w:sz w:val="32"/>
          <w:szCs w:val="32"/>
        </w:rPr>
      </w:pPr>
    </w:p>
    <w:p w14:paraId="12ED3EC3">
      <w:pPr>
        <w:spacing w:line="600" w:lineRule="exact"/>
        <w:ind w:firstLine="640" w:firstLineChars="200"/>
        <w:outlineLvl w:val="1"/>
        <w:rPr>
          <w:rFonts w:hint="eastAsia" w:ascii="黑体" w:eastAsia="黑体"/>
          <w:color w:val="000000"/>
          <w:sz w:val="32"/>
          <w:szCs w:val="32"/>
        </w:rPr>
      </w:pPr>
    </w:p>
    <w:p w14:paraId="326D1489">
      <w:pPr>
        <w:spacing w:line="600" w:lineRule="exact"/>
        <w:ind w:firstLine="640" w:firstLineChars="200"/>
        <w:outlineLvl w:val="1"/>
        <w:rPr>
          <w:rFonts w:hint="eastAsia" w:ascii="黑体" w:eastAsia="黑体"/>
          <w:color w:val="000000"/>
          <w:sz w:val="32"/>
          <w:szCs w:val="32"/>
        </w:rPr>
      </w:pPr>
    </w:p>
    <w:p w14:paraId="5E1EF9CF">
      <w:pPr>
        <w:spacing w:line="600" w:lineRule="exact"/>
        <w:ind w:firstLine="640" w:firstLineChars="200"/>
        <w:outlineLvl w:val="1"/>
        <w:rPr>
          <w:rFonts w:hint="eastAsia" w:ascii="黑体" w:eastAsia="黑体"/>
          <w:color w:val="000000"/>
          <w:sz w:val="32"/>
          <w:szCs w:val="32"/>
        </w:rPr>
      </w:pPr>
    </w:p>
    <w:p w14:paraId="52C558FE">
      <w:pPr>
        <w:spacing w:line="600" w:lineRule="exact"/>
        <w:ind w:firstLine="640" w:firstLineChars="200"/>
        <w:outlineLvl w:val="1"/>
        <w:rPr>
          <w:rFonts w:hint="eastAsia" w:ascii="黑体" w:eastAsia="黑体"/>
          <w:color w:val="000000"/>
          <w:sz w:val="32"/>
          <w:szCs w:val="32"/>
        </w:rPr>
      </w:pPr>
    </w:p>
    <w:p w14:paraId="37E760E4">
      <w:pPr>
        <w:spacing w:line="600" w:lineRule="exact"/>
        <w:ind w:firstLine="640" w:firstLineChars="200"/>
        <w:outlineLvl w:val="1"/>
        <w:rPr>
          <w:rFonts w:hint="eastAsia" w:ascii="黑体" w:eastAsia="黑体"/>
          <w:color w:val="000000"/>
          <w:sz w:val="32"/>
          <w:szCs w:val="32"/>
        </w:rPr>
      </w:pPr>
    </w:p>
    <w:p w14:paraId="5BE29963">
      <w:pPr>
        <w:spacing w:line="600" w:lineRule="exact"/>
        <w:ind w:firstLine="640" w:firstLineChars="200"/>
        <w:outlineLvl w:val="1"/>
        <w:rPr>
          <w:rFonts w:hint="eastAsia" w:ascii="黑体" w:eastAsia="黑体"/>
          <w:color w:val="000000"/>
          <w:sz w:val="32"/>
          <w:szCs w:val="32"/>
        </w:rPr>
      </w:pPr>
    </w:p>
    <w:p w14:paraId="7E49B947">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p>
    <w:p w14:paraId="27F581D4">
      <w:pPr>
        <w:pStyle w:val="28"/>
        <w:pageBreakBefore w:val="0"/>
        <w:widowControl w:val="0"/>
        <w:numPr>
          <w:ilvl w:val="0"/>
          <w:numId w:val="3"/>
        </w:numPr>
        <w:kinsoku/>
        <w:wordWrap/>
        <w:overflowPunct/>
        <w:topLinePunct w:val="0"/>
        <w:bidi w:val="0"/>
        <w:spacing w:line="576" w:lineRule="exact"/>
        <w:ind w:firstLineChars="0"/>
        <w:outlineLvl w:val="1"/>
        <w:rPr>
          <w:rStyle w:val="22"/>
          <w:rFonts w:ascii="Times New Roman" w:hAnsi="Times New Roman" w:eastAsia="黑体" w:cs="Times New Roman"/>
          <w:b w:val="0"/>
        </w:rPr>
      </w:pPr>
      <w:bookmarkStart w:id="13" w:name="_Toc26843612"/>
      <w:r>
        <w:rPr>
          <w:rFonts w:ascii="Times New Roman" w:hAnsi="Times New Roman" w:eastAsia="黑体" w:cs="Times New Roman"/>
          <w:sz w:val="32"/>
          <w:szCs w:val="32"/>
        </w:rPr>
        <w:t>支</w:t>
      </w:r>
      <w:r>
        <w:rPr>
          <w:rStyle w:val="22"/>
          <w:rFonts w:ascii="Times New Roman" w:hAnsi="Times New Roman" w:eastAsia="黑体" w:cs="Times New Roman"/>
          <w:b w:val="0"/>
        </w:rPr>
        <w:t>出决算情况说明</w:t>
      </w:r>
      <w:bookmarkEnd w:id="13"/>
    </w:p>
    <w:p w14:paraId="04F4E578">
      <w:pPr>
        <w:snapToGrid w:val="0"/>
        <w:spacing w:line="520" w:lineRule="exact"/>
        <w:ind w:firstLine="632" w:firstLineChars="200"/>
        <w:rPr>
          <w:rFonts w:ascii="仿宋_GB2312" w:eastAsia="仿宋_GB2312"/>
          <w:spacing w:val="-2"/>
          <w:sz w:val="32"/>
          <w:szCs w:val="32"/>
        </w:rPr>
      </w:pPr>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年总支出</w:t>
      </w:r>
      <w:r>
        <w:rPr>
          <w:rFonts w:hint="eastAsia" w:ascii="仿宋_GB2312" w:eastAsia="仿宋_GB2312"/>
          <w:spacing w:val="-2"/>
          <w:sz w:val="32"/>
          <w:szCs w:val="32"/>
          <w:lang w:val="en-US" w:eastAsia="zh-CN"/>
        </w:rPr>
        <w:t>175.35</w:t>
      </w:r>
      <w:r>
        <w:rPr>
          <w:rFonts w:hint="eastAsia" w:ascii="仿宋_GB2312" w:eastAsia="仿宋_GB2312"/>
          <w:spacing w:val="-2"/>
          <w:sz w:val="32"/>
          <w:szCs w:val="32"/>
        </w:rPr>
        <w:t>万元</w:t>
      </w:r>
      <w:r>
        <w:rPr>
          <w:rFonts w:hint="eastAsia" w:ascii="仿宋" w:eastAsia="仿宋"/>
          <w:color w:val="000000"/>
          <w:sz w:val="32"/>
          <w:szCs w:val="32"/>
        </w:rPr>
        <w:t>，其中：基本支出</w:t>
      </w:r>
      <w:r>
        <w:rPr>
          <w:rFonts w:hint="eastAsia" w:ascii="仿宋" w:eastAsia="仿宋"/>
          <w:color w:val="000000"/>
          <w:sz w:val="32"/>
          <w:szCs w:val="32"/>
          <w:lang w:val="en-US" w:eastAsia="zh-CN"/>
        </w:rPr>
        <w:t>170.2</w:t>
      </w:r>
      <w:r>
        <w:rPr>
          <w:rFonts w:hint="eastAsia" w:ascii="仿宋" w:eastAsia="仿宋"/>
          <w:color w:val="000000"/>
          <w:sz w:val="32"/>
          <w:szCs w:val="32"/>
        </w:rPr>
        <w:t>万元，占</w:t>
      </w:r>
      <w:r>
        <w:rPr>
          <w:rFonts w:hint="eastAsia" w:ascii="仿宋" w:eastAsia="仿宋"/>
          <w:color w:val="000000"/>
          <w:sz w:val="32"/>
          <w:szCs w:val="32"/>
          <w:lang w:val="en-US" w:eastAsia="zh-CN"/>
        </w:rPr>
        <w:t>97.06</w:t>
      </w:r>
      <w:r>
        <w:rPr>
          <w:rFonts w:ascii="仿宋" w:eastAsia="仿宋"/>
          <w:color w:val="000000"/>
          <w:sz w:val="32"/>
          <w:szCs w:val="32"/>
        </w:rPr>
        <w:t>%</w:t>
      </w:r>
      <w:r>
        <w:rPr>
          <w:rFonts w:hint="eastAsia" w:ascii="仿宋" w:eastAsia="仿宋"/>
          <w:color w:val="000000"/>
          <w:sz w:val="32"/>
          <w:szCs w:val="32"/>
        </w:rPr>
        <w:t>；项目支出</w:t>
      </w:r>
      <w:r>
        <w:rPr>
          <w:rFonts w:hint="eastAsia" w:ascii="仿宋" w:eastAsia="仿宋"/>
          <w:color w:val="000000"/>
          <w:sz w:val="32"/>
          <w:szCs w:val="32"/>
          <w:lang w:val="en-US" w:eastAsia="zh-CN"/>
        </w:rPr>
        <w:t>5.15</w:t>
      </w:r>
      <w:r>
        <w:rPr>
          <w:rFonts w:hint="eastAsia" w:ascii="仿宋" w:eastAsia="仿宋"/>
          <w:color w:val="000000"/>
          <w:sz w:val="32"/>
          <w:szCs w:val="32"/>
        </w:rPr>
        <w:t>万元，占</w:t>
      </w:r>
      <w:r>
        <w:rPr>
          <w:rFonts w:hint="eastAsia" w:ascii="仿宋" w:eastAsia="仿宋"/>
          <w:color w:val="000000"/>
          <w:sz w:val="32"/>
          <w:szCs w:val="32"/>
          <w:lang w:val="en-US" w:eastAsia="zh-CN"/>
        </w:rPr>
        <w:t>2.94</w:t>
      </w:r>
      <w:r>
        <w:rPr>
          <w:rFonts w:ascii="仿宋" w:eastAsia="仿宋"/>
          <w:color w:val="000000"/>
          <w:sz w:val="32"/>
          <w:szCs w:val="32"/>
        </w:rPr>
        <w:t>%</w:t>
      </w:r>
      <w:r>
        <w:rPr>
          <w:rFonts w:hint="eastAsia" w:ascii="仿宋" w:eastAsia="仿宋"/>
          <w:color w:val="000000"/>
          <w:sz w:val="32"/>
          <w:szCs w:val="32"/>
        </w:rPr>
        <w:t>；</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的主要原因是</w:t>
      </w:r>
      <w:r>
        <w:rPr>
          <w:rFonts w:hint="eastAsia" w:ascii="仿宋_GB2312" w:eastAsia="仿宋_GB2312"/>
          <w:spacing w:val="-2"/>
          <w:sz w:val="32"/>
          <w:szCs w:val="32"/>
          <w:lang w:val="en-US" w:eastAsia="zh-CN"/>
        </w:rPr>
        <w:t>去年将民宗局民族团结服务中心有一个编制纳入佛教教规教义培训中心中一起决算，本年已分开决算。</w:t>
      </w:r>
    </w:p>
    <w:p w14:paraId="7A733E6A">
      <w:pPr>
        <w:spacing w:line="600" w:lineRule="exact"/>
        <w:ind w:firstLine="640"/>
        <w:rPr>
          <w:rFonts w:ascii="仿宋" w:eastAsia="仿宋"/>
          <w:color w:val="000000"/>
          <w:sz w:val="32"/>
          <w:szCs w:val="32"/>
        </w:rPr>
      </w:pPr>
      <w:r>
        <w:rPr>
          <w:rFonts w:hint="eastAsia" w:ascii="仿宋" w:eastAsia="仿宋"/>
          <w:color w:val="000000"/>
          <w:sz w:val="32"/>
          <w:szCs w:val="32"/>
        </w:rPr>
        <w:t>上缴上级支出</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；经营支出</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；对附属单位补助支出</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w:t>
      </w:r>
    </w:p>
    <w:p w14:paraId="36AFA19E">
      <w:pPr>
        <w:pageBreakBefore w:val="0"/>
        <w:widowControl w:val="0"/>
        <w:kinsoku/>
        <w:wordWrap/>
        <w:overflowPunct/>
        <w:topLinePunct w:val="0"/>
        <w:bidi w:val="0"/>
        <w:spacing w:line="576" w:lineRule="exact"/>
        <w:ind w:firstLine="640"/>
        <w:rPr>
          <w:rFonts w:ascii="Times New Roman" w:hAnsi="Times New Roman" w:eastAsia="仿宋" w:cs="Times New Roman"/>
          <w:sz w:val="32"/>
          <w:szCs w:val="32"/>
          <w:shd w:val="pct10" w:color="auto" w:fill="FFFFFF"/>
        </w:rPr>
      </w:pPr>
      <w:r>
        <w:rPr>
          <w:rFonts w:hint="eastAsia" w:ascii="仿宋" w:eastAsia="仿宋"/>
          <w:color w:val="FF0000"/>
          <w:sz w:val="32"/>
          <w:szCs w:val="32"/>
          <w:lang w:eastAsia="zh-CN"/>
        </w:rPr>
        <w:drawing>
          <wp:anchor distT="0" distB="0" distL="114300" distR="114300" simplePos="0" relativeHeight="251659264" behindDoc="0" locked="0" layoutInCell="1" allowOverlap="1">
            <wp:simplePos x="0" y="0"/>
            <wp:positionH relativeFrom="column">
              <wp:posOffset>55245</wp:posOffset>
            </wp:positionH>
            <wp:positionV relativeFrom="paragraph">
              <wp:posOffset>106045</wp:posOffset>
            </wp:positionV>
            <wp:extent cx="4923790" cy="2207895"/>
            <wp:effectExtent l="0" t="0" r="0" b="0"/>
            <wp:wrapSquare wrapText="bothSides"/>
            <wp:docPr id="1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0B13E23D">
      <w:pPr>
        <w:pageBreakBefore w:val="0"/>
        <w:widowControl w:val="0"/>
        <w:kinsoku/>
        <w:wordWrap/>
        <w:overflowPunct/>
        <w:topLinePunct w:val="0"/>
        <w:bidi w:val="0"/>
        <w:spacing w:line="576" w:lineRule="exact"/>
        <w:ind w:firstLine="640" w:firstLineChars="200"/>
        <w:outlineLvl w:val="1"/>
        <w:rPr>
          <w:rStyle w:val="22"/>
          <w:rFonts w:ascii="Times New Roman" w:hAnsi="Times New Roman" w:eastAsia="黑体" w:cs="Times New Roman"/>
          <w:b w:val="0"/>
        </w:rPr>
      </w:pPr>
      <w:bookmarkStart w:id="14" w:name="_Toc26843615"/>
      <w:r>
        <w:rPr>
          <w:rFonts w:ascii="Times New Roman" w:hAnsi="Times New Roman" w:eastAsia="黑体" w:cs="Times New Roman"/>
          <w:sz w:val="32"/>
          <w:szCs w:val="32"/>
        </w:rPr>
        <w:t>四、财</w:t>
      </w:r>
      <w:r>
        <w:rPr>
          <w:rStyle w:val="22"/>
          <w:rFonts w:ascii="Times New Roman" w:hAnsi="Times New Roman" w:eastAsia="黑体" w:cs="Times New Roman"/>
          <w:b w:val="0"/>
        </w:rPr>
        <w:t>政拨款收入支出决算总体情况说明</w:t>
      </w:r>
      <w:bookmarkEnd w:id="14"/>
    </w:p>
    <w:p w14:paraId="74E69B79">
      <w:pPr>
        <w:snapToGrid w:val="0"/>
        <w:spacing w:line="520" w:lineRule="exact"/>
        <w:ind w:firstLine="632" w:firstLineChars="200"/>
        <w:rPr>
          <w:rFonts w:ascii="仿宋_GB2312" w:eastAsia="仿宋_GB2312"/>
          <w:spacing w:val="-2"/>
          <w:sz w:val="32"/>
          <w:szCs w:val="32"/>
        </w:rPr>
      </w:pPr>
      <w:bookmarkStart w:id="15" w:name="_Toc26843616"/>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年度总收入</w:t>
      </w:r>
      <w:r>
        <w:rPr>
          <w:rFonts w:hint="eastAsia" w:ascii="仿宋_GB2312" w:eastAsia="仿宋_GB2312"/>
          <w:spacing w:val="-2"/>
          <w:sz w:val="32"/>
          <w:szCs w:val="32"/>
          <w:lang w:val="en-US" w:eastAsia="zh-CN"/>
        </w:rPr>
        <w:t>175.35</w:t>
      </w:r>
      <w:r>
        <w:rPr>
          <w:rFonts w:hint="eastAsia" w:ascii="仿宋_GB2312" w:eastAsia="仿宋_GB2312"/>
          <w:spacing w:val="-2"/>
          <w:sz w:val="32"/>
          <w:szCs w:val="32"/>
        </w:rPr>
        <w:t>万元，较上年收入</w:t>
      </w:r>
      <w:r>
        <w:rPr>
          <w:rFonts w:hint="eastAsia" w:ascii="仿宋_GB2312" w:eastAsia="仿宋_GB2312"/>
          <w:spacing w:val="-2"/>
          <w:sz w:val="32"/>
          <w:szCs w:val="32"/>
          <w:lang w:val="en-US" w:eastAsia="zh-CN"/>
        </w:rPr>
        <w:t>179.83</w:t>
      </w:r>
      <w:r>
        <w:rPr>
          <w:rFonts w:hint="eastAsia" w:ascii="仿宋_GB2312" w:eastAsia="仿宋_GB2312"/>
          <w:spacing w:val="-2"/>
          <w:sz w:val="32"/>
          <w:szCs w:val="32"/>
        </w:rPr>
        <w:t>万元，较上年收入</w:t>
      </w:r>
      <w:r>
        <w:rPr>
          <w:rFonts w:hint="eastAsia" w:ascii="仿宋_GB2312" w:eastAsia="仿宋_GB2312"/>
          <w:spacing w:val="-2"/>
          <w:sz w:val="32"/>
          <w:szCs w:val="32"/>
          <w:lang w:val="en-US" w:eastAsia="zh-CN"/>
        </w:rPr>
        <w:t>减少4.48</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减少2.55</w:t>
      </w:r>
      <w:r>
        <w:rPr>
          <w:rFonts w:ascii="仿宋_GB2312" w:eastAsia="仿宋_GB2312"/>
          <w:spacing w:val="-2"/>
          <w:sz w:val="32"/>
          <w:szCs w:val="32"/>
        </w:rPr>
        <w:t>%</w:t>
      </w:r>
      <w:r>
        <w:rPr>
          <w:rFonts w:hint="eastAsia" w:ascii="仿宋_GB2312" w:eastAsia="仿宋_GB2312"/>
          <w:spacing w:val="-2"/>
          <w:sz w:val="32"/>
          <w:szCs w:val="32"/>
        </w:rPr>
        <w:t>。</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的主要原因是</w:t>
      </w:r>
      <w:r>
        <w:rPr>
          <w:rFonts w:hint="eastAsia" w:ascii="仿宋_GB2312" w:eastAsia="仿宋_GB2312"/>
          <w:spacing w:val="-2"/>
          <w:sz w:val="32"/>
          <w:szCs w:val="32"/>
          <w:lang w:val="en-US" w:eastAsia="zh-CN"/>
        </w:rPr>
        <w:t>去年将民宗局民族团结服务中心有一个编制纳入佛教教规教义培训中心中一起决算，本年已分开决算。</w:t>
      </w:r>
    </w:p>
    <w:p w14:paraId="0743E967">
      <w:pPr>
        <w:snapToGrid w:val="0"/>
        <w:spacing w:line="520" w:lineRule="exact"/>
        <w:ind w:firstLine="632" w:firstLineChars="200"/>
        <w:rPr>
          <w:rFonts w:ascii="仿宋_GB2312" w:eastAsia="仿宋_GB2312"/>
          <w:spacing w:val="-2"/>
          <w:sz w:val="32"/>
          <w:szCs w:val="32"/>
        </w:rPr>
      </w:pPr>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年总支出</w:t>
      </w:r>
      <w:r>
        <w:rPr>
          <w:rFonts w:hint="eastAsia" w:ascii="仿宋_GB2312" w:eastAsia="仿宋_GB2312"/>
          <w:spacing w:val="-2"/>
          <w:sz w:val="32"/>
          <w:szCs w:val="32"/>
          <w:lang w:val="en-US" w:eastAsia="zh-CN"/>
        </w:rPr>
        <w:t>175.35</w:t>
      </w:r>
      <w:r>
        <w:rPr>
          <w:rFonts w:hint="eastAsia" w:ascii="仿宋_GB2312" w:eastAsia="仿宋_GB2312"/>
          <w:spacing w:val="-2"/>
          <w:sz w:val="32"/>
          <w:szCs w:val="32"/>
        </w:rPr>
        <w:t>万元，较上年收入</w:t>
      </w:r>
      <w:r>
        <w:rPr>
          <w:rFonts w:hint="eastAsia" w:ascii="仿宋_GB2312" w:eastAsia="仿宋_GB2312"/>
          <w:spacing w:val="-2"/>
          <w:sz w:val="32"/>
          <w:szCs w:val="32"/>
          <w:lang w:val="en-US" w:eastAsia="zh-CN"/>
        </w:rPr>
        <w:t>减少4.48</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减少2.55</w:t>
      </w:r>
      <w:r>
        <w:rPr>
          <w:rFonts w:ascii="仿宋_GB2312" w:eastAsia="仿宋_GB2312"/>
          <w:spacing w:val="-2"/>
          <w:sz w:val="32"/>
          <w:szCs w:val="32"/>
        </w:rPr>
        <w:t>%</w:t>
      </w:r>
      <w:r>
        <w:rPr>
          <w:rFonts w:hint="eastAsia" w:ascii="仿宋_GB2312" w:eastAsia="仿宋_GB2312"/>
          <w:spacing w:val="-2"/>
          <w:sz w:val="32"/>
          <w:szCs w:val="32"/>
        </w:rPr>
        <w:t>。</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的主要原因是</w:t>
      </w:r>
      <w:r>
        <w:rPr>
          <w:rFonts w:hint="eastAsia" w:ascii="仿宋_GB2312" w:eastAsia="仿宋_GB2312"/>
          <w:spacing w:val="-2"/>
          <w:sz w:val="32"/>
          <w:szCs w:val="32"/>
          <w:lang w:val="en-US" w:eastAsia="zh-CN"/>
        </w:rPr>
        <w:t>去年将民宗局民族团结服务中心有一个编制纳入佛教教规教义培训中心中一起决算，本年已分开决算。</w:t>
      </w:r>
    </w:p>
    <w:p w14:paraId="66F57ED7">
      <w:pPr>
        <w:snapToGrid w:val="0"/>
        <w:spacing w:line="520" w:lineRule="exact"/>
        <w:ind w:firstLine="632" w:firstLineChars="200"/>
        <w:rPr>
          <w:rFonts w:ascii="仿宋_GB2312" w:eastAsia="仿宋_GB2312"/>
          <w:spacing w:val="-2"/>
          <w:sz w:val="32"/>
          <w:szCs w:val="32"/>
        </w:rPr>
      </w:pPr>
    </w:p>
    <w:p w14:paraId="282B31AC">
      <w:pPr>
        <w:spacing w:line="600" w:lineRule="exact"/>
        <w:ind w:firstLine="640" w:firstLineChars="200"/>
        <w:rPr>
          <w:rFonts w:hint="eastAsia" w:ascii="黑体" w:eastAsia="黑体"/>
          <w:color w:val="000000"/>
          <w:sz w:val="32"/>
          <w:szCs w:val="32"/>
        </w:rPr>
      </w:pPr>
    </w:p>
    <w:p w14:paraId="485B511F">
      <w:pPr>
        <w:spacing w:line="600" w:lineRule="exact"/>
        <w:ind w:firstLine="632" w:firstLineChars="200"/>
        <w:rPr>
          <w:rFonts w:hint="eastAsia" w:ascii="黑体" w:eastAsia="黑体"/>
          <w:color w:val="000000"/>
          <w:sz w:val="32"/>
          <w:szCs w:val="32"/>
        </w:rPr>
      </w:pPr>
      <w:r>
        <w:rPr>
          <w:rFonts w:hint="eastAsia" w:ascii="仿宋_GB2312" w:eastAsia="仿宋_GB2312"/>
          <w:spacing w:val="-2"/>
          <w:sz w:val="32"/>
          <w:szCs w:val="32"/>
        </w:rPr>
        <w:drawing>
          <wp:anchor distT="0" distB="0" distL="114300" distR="114300" simplePos="0" relativeHeight="251659264" behindDoc="0" locked="0" layoutInCell="1" allowOverlap="1">
            <wp:simplePos x="0" y="0"/>
            <wp:positionH relativeFrom="column">
              <wp:posOffset>593725</wp:posOffset>
            </wp:positionH>
            <wp:positionV relativeFrom="paragraph">
              <wp:posOffset>20320</wp:posOffset>
            </wp:positionV>
            <wp:extent cx="4179570" cy="2345055"/>
            <wp:effectExtent l="0" t="0" r="0" b="0"/>
            <wp:wrapSquare wrapText="bothSides"/>
            <wp:docPr id="1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3A5F5327">
      <w:pPr>
        <w:spacing w:line="600" w:lineRule="exact"/>
        <w:ind w:firstLine="640" w:firstLineChars="200"/>
        <w:rPr>
          <w:rFonts w:hint="eastAsia" w:ascii="黑体" w:eastAsia="黑体"/>
          <w:color w:val="000000"/>
          <w:sz w:val="32"/>
          <w:szCs w:val="32"/>
        </w:rPr>
      </w:pPr>
    </w:p>
    <w:p w14:paraId="43549CBD">
      <w:pPr>
        <w:spacing w:line="600" w:lineRule="exact"/>
        <w:ind w:firstLine="640" w:firstLineChars="200"/>
        <w:rPr>
          <w:rFonts w:hint="eastAsia" w:ascii="黑体" w:eastAsia="黑体"/>
          <w:color w:val="000000"/>
          <w:sz w:val="32"/>
          <w:szCs w:val="32"/>
        </w:rPr>
      </w:pPr>
    </w:p>
    <w:p w14:paraId="37ECD429">
      <w:pPr>
        <w:spacing w:line="600" w:lineRule="exact"/>
        <w:ind w:firstLine="640" w:firstLineChars="200"/>
        <w:rPr>
          <w:rFonts w:hint="eastAsia" w:ascii="黑体" w:eastAsia="黑体"/>
          <w:color w:val="000000"/>
          <w:sz w:val="32"/>
          <w:szCs w:val="32"/>
        </w:rPr>
      </w:pPr>
    </w:p>
    <w:p w14:paraId="375BBD11">
      <w:pPr>
        <w:spacing w:line="600" w:lineRule="exact"/>
        <w:ind w:firstLine="640" w:firstLineChars="200"/>
        <w:rPr>
          <w:rFonts w:hint="eastAsia" w:ascii="黑体" w:eastAsia="黑体"/>
          <w:color w:val="000000"/>
          <w:sz w:val="32"/>
          <w:szCs w:val="32"/>
        </w:rPr>
      </w:pPr>
    </w:p>
    <w:p w14:paraId="2CCFB2A2">
      <w:pPr>
        <w:spacing w:line="600" w:lineRule="exact"/>
        <w:ind w:firstLine="640" w:firstLineChars="200"/>
        <w:rPr>
          <w:rFonts w:hint="eastAsia" w:ascii="黑体" w:eastAsia="黑体"/>
          <w:color w:val="000000"/>
          <w:sz w:val="32"/>
          <w:szCs w:val="32"/>
        </w:rPr>
      </w:pPr>
    </w:p>
    <w:p w14:paraId="70DE32E6">
      <w:pPr>
        <w:spacing w:line="600" w:lineRule="exact"/>
        <w:ind w:firstLine="640" w:firstLineChars="200"/>
        <w:rPr>
          <w:rFonts w:hint="eastAsia" w:ascii="黑体" w:eastAsia="黑体"/>
          <w:color w:val="000000"/>
          <w:sz w:val="32"/>
          <w:szCs w:val="32"/>
        </w:rPr>
      </w:pPr>
    </w:p>
    <w:p w14:paraId="76F07BF7">
      <w:pPr>
        <w:pageBreakBefore w:val="0"/>
        <w:widowControl w:val="0"/>
        <w:kinsoku/>
        <w:wordWrap/>
        <w:overflowPunct/>
        <w:topLinePunct w:val="0"/>
        <w:bidi w:val="0"/>
        <w:spacing w:line="576" w:lineRule="exact"/>
        <w:ind w:firstLine="640" w:firstLineChars="200"/>
        <w:rPr>
          <w:rFonts w:ascii="Times New Roman" w:hAnsi="Times New Roman" w:eastAsia="黑体" w:cs="Times New Roman"/>
          <w:sz w:val="32"/>
          <w:szCs w:val="32"/>
        </w:rPr>
      </w:pPr>
    </w:p>
    <w:p w14:paraId="0F5E8FF9">
      <w:pPr>
        <w:pageBreakBefore w:val="0"/>
        <w:widowControl w:val="0"/>
        <w:kinsoku/>
        <w:wordWrap/>
        <w:overflowPunct/>
        <w:topLinePunct w:val="0"/>
        <w:bidi w:val="0"/>
        <w:spacing w:line="576" w:lineRule="exact"/>
        <w:ind w:firstLine="640" w:firstLineChars="200"/>
        <w:outlineLvl w:val="1"/>
        <w:rPr>
          <w:rStyle w:val="22"/>
          <w:rFonts w:ascii="Times New Roman" w:hAnsi="Times New Roman" w:eastAsia="黑体" w:cs="Times New Roman"/>
          <w:b w:val="0"/>
        </w:rPr>
      </w:pPr>
      <w:r>
        <w:rPr>
          <w:rFonts w:ascii="Times New Roman" w:hAnsi="Times New Roman" w:eastAsia="黑体" w:cs="Times New Roman"/>
          <w:sz w:val="32"/>
          <w:szCs w:val="32"/>
        </w:rPr>
        <w:t>五、</w:t>
      </w:r>
      <w:r>
        <w:rPr>
          <w:rFonts w:ascii="Times New Roman" w:hAnsi="Times New Roman" w:eastAsia="黑体" w:cs="Times New Roman"/>
          <w:b/>
          <w:sz w:val="32"/>
          <w:szCs w:val="32"/>
        </w:rPr>
        <w:t>一</w:t>
      </w:r>
      <w:r>
        <w:rPr>
          <w:rStyle w:val="22"/>
          <w:rFonts w:ascii="Times New Roman" w:hAnsi="Times New Roman" w:eastAsia="黑体" w:cs="Times New Roman"/>
          <w:b w:val="0"/>
        </w:rPr>
        <w:t>般公共预算财政拨款支出决算情况说明</w:t>
      </w:r>
      <w:bookmarkEnd w:id="15"/>
    </w:p>
    <w:p w14:paraId="2A1FF1D3">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b/>
          <w:sz w:val="32"/>
          <w:szCs w:val="32"/>
        </w:rPr>
      </w:pPr>
      <w:r>
        <w:rPr>
          <w:rFonts w:ascii="Times New Roman" w:hAnsi="Times New Roman" w:eastAsia="仿宋" w:cs="Times New Roman"/>
          <w:b/>
          <w:sz w:val="32"/>
          <w:szCs w:val="32"/>
        </w:rPr>
        <w:t>（一）一般公共预算财政拨款支出决算总体情况</w:t>
      </w:r>
    </w:p>
    <w:p w14:paraId="20E8FC56">
      <w:pPr>
        <w:snapToGrid w:val="0"/>
        <w:spacing w:line="520" w:lineRule="exact"/>
        <w:ind w:firstLine="632" w:firstLineChars="200"/>
        <w:rPr>
          <w:rFonts w:ascii="仿宋_GB2312" w:eastAsia="仿宋_GB2312"/>
          <w:spacing w:val="-2"/>
          <w:sz w:val="32"/>
          <w:szCs w:val="32"/>
        </w:rPr>
      </w:pPr>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年总支出</w:t>
      </w:r>
      <w:r>
        <w:rPr>
          <w:rFonts w:hint="eastAsia" w:ascii="仿宋_GB2312" w:eastAsia="仿宋_GB2312"/>
          <w:spacing w:val="-2"/>
          <w:sz w:val="32"/>
          <w:szCs w:val="32"/>
          <w:lang w:val="en-US" w:eastAsia="zh-CN"/>
        </w:rPr>
        <w:t>175.35</w:t>
      </w:r>
      <w:r>
        <w:rPr>
          <w:rFonts w:hint="eastAsia" w:ascii="仿宋_GB2312" w:eastAsia="仿宋_GB2312"/>
          <w:spacing w:val="-2"/>
          <w:sz w:val="32"/>
          <w:szCs w:val="32"/>
        </w:rPr>
        <w:t>万元，较上年收入</w:t>
      </w:r>
      <w:r>
        <w:rPr>
          <w:rFonts w:hint="eastAsia" w:ascii="仿宋_GB2312" w:eastAsia="仿宋_GB2312"/>
          <w:spacing w:val="-2"/>
          <w:sz w:val="32"/>
          <w:szCs w:val="32"/>
          <w:lang w:val="en-US" w:eastAsia="zh-CN"/>
        </w:rPr>
        <w:t>减少4.48</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减少2.55</w:t>
      </w:r>
      <w:r>
        <w:rPr>
          <w:rFonts w:ascii="仿宋_GB2312" w:eastAsia="仿宋_GB2312"/>
          <w:spacing w:val="-2"/>
          <w:sz w:val="32"/>
          <w:szCs w:val="32"/>
        </w:rPr>
        <w:t>%</w:t>
      </w:r>
      <w:r>
        <w:rPr>
          <w:rFonts w:hint="eastAsia" w:ascii="仿宋_GB2312" w:eastAsia="仿宋_GB2312"/>
          <w:spacing w:val="-2"/>
          <w:sz w:val="32"/>
          <w:szCs w:val="32"/>
        </w:rPr>
        <w:t>。</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的主要原因是</w:t>
      </w:r>
      <w:r>
        <w:rPr>
          <w:rFonts w:hint="eastAsia" w:ascii="仿宋_GB2312" w:eastAsia="仿宋_GB2312"/>
          <w:spacing w:val="-2"/>
          <w:sz w:val="32"/>
          <w:szCs w:val="32"/>
          <w:lang w:val="en-US" w:eastAsia="zh-CN"/>
        </w:rPr>
        <w:t>去年将民宗局民族团结服务中心有一个编制纳入佛教教规教义培训中心中一起决算，本年已分开决算。</w:t>
      </w:r>
    </w:p>
    <w:p w14:paraId="501566CD">
      <w:pPr>
        <w:snapToGrid w:val="0"/>
        <w:spacing w:line="520" w:lineRule="exact"/>
        <w:ind w:firstLine="640" w:firstLineChars="200"/>
        <w:rPr>
          <w:rFonts w:ascii="Times New Roman" w:hAnsi="Times New Roman" w:eastAsia="仿宋" w:cs="Times New Roman"/>
          <w:sz w:val="32"/>
          <w:szCs w:val="32"/>
        </w:rPr>
      </w:pPr>
    </w:p>
    <w:p w14:paraId="1DF8AAE5">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b/>
          <w:sz w:val="32"/>
          <w:szCs w:val="32"/>
        </w:rPr>
      </w:pPr>
      <w:r>
        <w:rPr>
          <w:rFonts w:ascii="Times New Roman" w:hAnsi="Times New Roman" w:eastAsia="仿宋" w:cs="Times New Roman"/>
          <w:b/>
          <w:sz w:val="32"/>
          <w:szCs w:val="32"/>
        </w:rPr>
        <w:t>（二）一般公共预算财政拨款支出决算结构情况</w:t>
      </w:r>
    </w:p>
    <w:p w14:paraId="732CE2D7">
      <w:pPr>
        <w:spacing w:line="600" w:lineRule="exact"/>
        <w:ind w:firstLine="640"/>
        <w:rPr>
          <w:rFonts w:ascii="仿宋_GB2312" w:eastAsia="仿宋_GB2312"/>
          <w:spacing w:val="-2"/>
          <w:sz w:val="32"/>
          <w:szCs w:val="32"/>
          <w:lang w:val="en-US" w:eastAsia="zh-CN"/>
        </w:rPr>
      </w:pPr>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年一般公共预算财政拨款支出</w:t>
      </w:r>
      <w:r>
        <w:rPr>
          <w:rFonts w:hint="eastAsia" w:ascii="仿宋_GB2312" w:eastAsia="仿宋_GB2312"/>
          <w:spacing w:val="-2"/>
          <w:sz w:val="32"/>
          <w:szCs w:val="32"/>
          <w:lang w:val="en-US" w:eastAsia="zh-CN"/>
        </w:rPr>
        <w:t>175.35</w:t>
      </w:r>
      <w:r>
        <w:rPr>
          <w:rFonts w:hint="eastAsia" w:ascii="仿宋_GB2312" w:eastAsia="仿宋_GB2312"/>
          <w:spacing w:val="-2"/>
          <w:sz w:val="32"/>
          <w:szCs w:val="32"/>
        </w:rPr>
        <w:t>万元，主要用于以下方面</w:t>
      </w:r>
      <w:r>
        <w:rPr>
          <w:rFonts w:ascii="仿宋_GB2312" w:eastAsia="仿宋_GB2312"/>
          <w:spacing w:val="-2"/>
          <w:sz w:val="32"/>
          <w:szCs w:val="32"/>
        </w:rPr>
        <w:t>:</w:t>
      </w:r>
      <w:r>
        <w:rPr>
          <w:rFonts w:hint="eastAsia" w:ascii="仿宋_GB2312" w:eastAsia="仿宋_GB2312"/>
          <w:spacing w:val="-2"/>
          <w:sz w:val="32"/>
          <w:szCs w:val="32"/>
        </w:rPr>
        <w:t>一般公共服务支出（类）支出</w:t>
      </w:r>
      <w:r>
        <w:rPr>
          <w:rFonts w:hint="eastAsia" w:ascii="仿宋_GB2312" w:eastAsia="仿宋_GB2312"/>
          <w:spacing w:val="-2"/>
          <w:sz w:val="32"/>
          <w:szCs w:val="32"/>
          <w:lang w:val="en-US" w:eastAsia="zh-CN"/>
        </w:rPr>
        <w:t>125.35</w:t>
      </w:r>
      <w:r>
        <w:rPr>
          <w:rFonts w:hint="eastAsia" w:ascii="仿宋_GB2312" w:eastAsia="仿宋_GB2312"/>
          <w:spacing w:val="-2"/>
          <w:sz w:val="32"/>
          <w:szCs w:val="32"/>
          <w:lang w:eastAsia="zh-CN"/>
        </w:rPr>
        <w:t>万元，占</w:t>
      </w:r>
      <w:r>
        <w:rPr>
          <w:rFonts w:hint="eastAsia" w:ascii="仿宋_GB2312" w:eastAsia="仿宋_GB2312"/>
          <w:spacing w:val="-2"/>
          <w:sz w:val="32"/>
          <w:szCs w:val="32"/>
          <w:lang w:val="en-US" w:eastAsia="zh-CN"/>
        </w:rPr>
        <w:t>71.48%；</w:t>
      </w:r>
      <w:r>
        <w:rPr>
          <w:rFonts w:hint="eastAsia" w:ascii="仿宋_GB2312" w:eastAsia="仿宋_GB2312"/>
          <w:spacing w:val="-2"/>
          <w:sz w:val="32"/>
          <w:szCs w:val="32"/>
        </w:rPr>
        <w:t>社会保障和就业（类）支出</w:t>
      </w:r>
      <w:r>
        <w:rPr>
          <w:rFonts w:hint="eastAsia" w:ascii="仿宋_GB2312" w:eastAsia="仿宋_GB2312"/>
          <w:spacing w:val="-2"/>
          <w:sz w:val="32"/>
          <w:szCs w:val="32"/>
          <w:lang w:val="en-US" w:eastAsia="zh-CN"/>
        </w:rPr>
        <w:t>23.35</w:t>
      </w:r>
      <w:r>
        <w:rPr>
          <w:rFonts w:hint="eastAsia" w:ascii="仿宋_GB2312" w:eastAsia="仿宋_GB2312"/>
          <w:spacing w:val="-2"/>
          <w:sz w:val="32"/>
          <w:szCs w:val="32"/>
        </w:rPr>
        <w:t>万元，占</w:t>
      </w:r>
      <w:r>
        <w:rPr>
          <w:rFonts w:hint="eastAsia" w:ascii="仿宋_GB2312" w:eastAsia="仿宋_GB2312"/>
          <w:spacing w:val="-2"/>
          <w:sz w:val="32"/>
          <w:szCs w:val="32"/>
          <w:lang w:val="en-US" w:eastAsia="zh-CN"/>
        </w:rPr>
        <w:t>13.31</w:t>
      </w:r>
      <w:r>
        <w:rPr>
          <w:rFonts w:ascii="仿宋_GB2312" w:eastAsia="仿宋_GB2312"/>
          <w:spacing w:val="-2"/>
          <w:sz w:val="32"/>
          <w:szCs w:val="32"/>
        </w:rPr>
        <w:t>%</w:t>
      </w:r>
      <w:r>
        <w:rPr>
          <w:rFonts w:hint="eastAsia" w:ascii="仿宋_GB2312" w:eastAsia="仿宋_GB2312"/>
          <w:spacing w:val="-2"/>
          <w:sz w:val="32"/>
          <w:szCs w:val="32"/>
        </w:rPr>
        <w:t>；卫生健康支出</w:t>
      </w:r>
      <w:r>
        <w:rPr>
          <w:rFonts w:hint="eastAsia" w:ascii="仿宋_GB2312" w:eastAsia="仿宋_GB2312"/>
          <w:spacing w:val="-2"/>
          <w:sz w:val="32"/>
          <w:szCs w:val="32"/>
          <w:lang w:val="en-US" w:eastAsia="zh-CN"/>
        </w:rPr>
        <w:t>9.67</w:t>
      </w:r>
      <w:r>
        <w:rPr>
          <w:rFonts w:hint="eastAsia" w:ascii="仿宋_GB2312" w:eastAsia="仿宋_GB2312"/>
          <w:spacing w:val="-2"/>
          <w:sz w:val="32"/>
          <w:szCs w:val="32"/>
        </w:rPr>
        <w:t>万元，占</w:t>
      </w:r>
      <w:r>
        <w:rPr>
          <w:rFonts w:hint="eastAsia" w:ascii="仿宋_GB2312" w:eastAsia="仿宋_GB2312"/>
          <w:spacing w:val="-2"/>
          <w:sz w:val="32"/>
          <w:szCs w:val="32"/>
          <w:lang w:val="en-US" w:eastAsia="zh-CN"/>
        </w:rPr>
        <w:t>5.51</w:t>
      </w:r>
      <w:r>
        <w:rPr>
          <w:rFonts w:ascii="仿宋_GB2312" w:eastAsia="仿宋_GB2312"/>
          <w:spacing w:val="-2"/>
          <w:sz w:val="32"/>
          <w:szCs w:val="32"/>
        </w:rPr>
        <w:t>%</w:t>
      </w:r>
      <w:r>
        <w:rPr>
          <w:rFonts w:hint="eastAsia" w:ascii="仿宋_GB2312" w:eastAsia="仿宋_GB2312"/>
          <w:spacing w:val="-2"/>
          <w:sz w:val="32"/>
          <w:szCs w:val="32"/>
        </w:rPr>
        <w:t>；</w:t>
      </w:r>
      <w:r>
        <w:rPr>
          <w:rFonts w:hint="eastAsia" w:ascii="仿宋_GB2312" w:eastAsia="仿宋_GB2312"/>
          <w:spacing w:val="-2"/>
          <w:sz w:val="32"/>
          <w:szCs w:val="32"/>
          <w:lang w:val="en-US" w:eastAsia="zh-CN"/>
        </w:rPr>
        <w:t>教育支出</w:t>
      </w:r>
      <w:r>
        <w:rPr>
          <w:rFonts w:hint="eastAsia" w:ascii="仿宋_GB2312" w:eastAsia="仿宋_GB2312"/>
          <w:spacing w:val="-2"/>
          <w:sz w:val="32"/>
          <w:szCs w:val="32"/>
        </w:rPr>
        <w:t>（类）支出</w:t>
      </w:r>
      <w:r>
        <w:rPr>
          <w:rFonts w:hint="eastAsia" w:ascii="仿宋_GB2312" w:eastAsia="仿宋_GB2312"/>
          <w:spacing w:val="-2"/>
          <w:sz w:val="32"/>
          <w:szCs w:val="32"/>
          <w:lang w:val="en-US" w:eastAsia="zh-CN"/>
        </w:rPr>
        <w:t>4.4</w:t>
      </w:r>
      <w:r>
        <w:rPr>
          <w:rFonts w:hint="eastAsia" w:ascii="仿宋_GB2312" w:eastAsia="仿宋_GB2312"/>
          <w:spacing w:val="-2"/>
          <w:sz w:val="32"/>
          <w:szCs w:val="32"/>
        </w:rPr>
        <w:t>万元，占</w:t>
      </w:r>
      <w:r>
        <w:rPr>
          <w:rFonts w:hint="eastAsia" w:ascii="仿宋_GB2312" w:eastAsia="仿宋_GB2312"/>
          <w:spacing w:val="-2"/>
          <w:sz w:val="32"/>
          <w:szCs w:val="32"/>
          <w:lang w:val="en-US" w:eastAsia="zh-CN"/>
        </w:rPr>
        <w:t>2.51</w:t>
      </w:r>
      <w:r>
        <w:rPr>
          <w:rFonts w:ascii="仿宋_GB2312" w:eastAsia="仿宋_GB2312"/>
          <w:spacing w:val="-2"/>
          <w:sz w:val="32"/>
          <w:szCs w:val="32"/>
        </w:rPr>
        <w:t>%</w:t>
      </w:r>
      <w:r>
        <w:rPr>
          <w:rFonts w:hint="eastAsia" w:ascii="仿宋_GB2312" w:eastAsia="仿宋_GB2312"/>
          <w:spacing w:val="-2"/>
          <w:sz w:val="32"/>
          <w:szCs w:val="32"/>
        </w:rPr>
        <w:t>；住房保障支出</w:t>
      </w:r>
      <w:r>
        <w:rPr>
          <w:rFonts w:hint="eastAsia" w:ascii="仿宋_GB2312" w:eastAsia="仿宋_GB2312"/>
          <w:spacing w:val="-2"/>
          <w:sz w:val="32"/>
          <w:szCs w:val="32"/>
          <w:lang w:val="en-US" w:eastAsia="zh-CN"/>
        </w:rPr>
        <w:t>12.58</w:t>
      </w:r>
      <w:r>
        <w:rPr>
          <w:rFonts w:hint="eastAsia" w:ascii="仿宋_GB2312" w:eastAsia="仿宋_GB2312"/>
          <w:spacing w:val="-2"/>
          <w:sz w:val="32"/>
          <w:szCs w:val="32"/>
        </w:rPr>
        <w:t>万元，占</w:t>
      </w:r>
      <w:r>
        <w:rPr>
          <w:rFonts w:hint="eastAsia" w:ascii="仿宋_GB2312" w:eastAsia="仿宋_GB2312"/>
          <w:spacing w:val="-2"/>
          <w:sz w:val="32"/>
          <w:szCs w:val="32"/>
          <w:lang w:val="en-US" w:eastAsia="zh-CN"/>
        </w:rPr>
        <w:t>7.17</w:t>
      </w:r>
      <w:r>
        <w:rPr>
          <w:rFonts w:ascii="仿宋_GB2312" w:eastAsia="仿宋_GB2312"/>
          <w:spacing w:val="-2"/>
          <w:sz w:val="32"/>
          <w:szCs w:val="32"/>
        </w:rPr>
        <w:t>%</w:t>
      </w:r>
      <w:r>
        <w:rPr>
          <w:rFonts w:hint="eastAsia" w:ascii="仿宋_GB2312" w:eastAsia="仿宋_GB2312"/>
          <w:spacing w:val="-2"/>
          <w:sz w:val="32"/>
          <w:szCs w:val="32"/>
          <w:lang w:val="en-US" w:eastAsia="zh-CN"/>
        </w:rPr>
        <w:t>。</w:t>
      </w:r>
    </w:p>
    <w:p w14:paraId="51DDE838">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lang w:eastAsia="zh-CN"/>
        </w:rPr>
        <w:drawing>
          <wp:anchor distT="0" distB="0" distL="114300" distR="114300" simplePos="0" relativeHeight="251659264" behindDoc="0" locked="0" layoutInCell="1" allowOverlap="1">
            <wp:simplePos x="0" y="0"/>
            <wp:positionH relativeFrom="column">
              <wp:posOffset>194310</wp:posOffset>
            </wp:positionH>
            <wp:positionV relativeFrom="paragraph">
              <wp:posOffset>8255</wp:posOffset>
            </wp:positionV>
            <wp:extent cx="4586605" cy="2986405"/>
            <wp:effectExtent l="0" t="0" r="0" b="0"/>
            <wp:wrapSquare wrapText="bothSides"/>
            <wp:docPr id="1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20BCBF30">
      <w:pPr>
        <w:spacing w:line="600" w:lineRule="exact"/>
        <w:ind w:firstLine="640"/>
        <w:rPr>
          <w:rFonts w:hint="eastAsia" w:ascii="仿宋_GB2312" w:eastAsia="仿宋_GB2312"/>
          <w:color w:val="000000"/>
          <w:sz w:val="32"/>
          <w:szCs w:val="32"/>
        </w:rPr>
      </w:pPr>
    </w:p>
    <w:p w14:paraId="415D3FFB">
      <w:pPr>
        <w:spacing w:line="600" w:lineRule="exact"/>
        <w:ind w:firstLine="640"/>
        <w:rPr>
          <w:rFonts w:hint="eastAsia" w:ascii="仿宋_GB2312" w:eastAsia="仿宋_GB2312"/>
          <w:color w:val="000000"/>
          <w:sz w:val="32"/>
          <w:szCs w:val="32"/>
        </w:rPr>
      </w:pPr>
    </w:p>
    <w:p w14:paraId="2EED5778">
      <w:pPr>
        <w:spacing w:line="600" w:lineRule="exact"/>
        <w:ind w:firstLine="640"/>
        <w:rPr>
          <w:rFonts w:hint="eastAsia" w:ascii="仿宋_GB2312" w:eastAsia="仿宋_GB2312"/>
          <w:color w:val="000000"/>
          <w:sz w:val="32"/>
          <w:szCs w:val="32"/>
          <w:lang w:eastAsia="zh-CN"/>
        </w:rPr>
      </w:pPr>
    </w:p>
    <w:p w14:paraId="320A00F7">
      <w:pPr>
        <w:spacing w:line="600" w:lineRule="exact"/>
        <w:ind w:firstLine="640"/>
        <w:rPr>
          <w:rFonts w:hint="eastAsia" w:ascii="仿宋_GB2312" w:eastAsia="仿宋_GB2312"/>
          <w:color w:val="000000"/>
          <w:sz w:val="32"/>
          <w:szCs w:val="32"/>
        </w:rPr>
      </w:pPr>
    </w:p>
    <w:p w14:paraId="0A7DE173">
      <w:pPr>
        <w:spacing w:line="600" w:lineRule="exact"/>
        <w:ind w:firstLine="640"/>
        <w:rPr>
          <w:rFonts w:hint="eastAsia" w:ascii="仿宋_GB2312" w:eastAsia="仿宋_GB2312"/>
          <w:color w:val="000000"/>
          <w:sz w:val="32"/>
          <w:szCs w:val="32"/>
        </w:rPr>
      </w:pPr>
    </w:p>
    <w:p w14:paraId="53270D45">
      <w:pPr>
        <w:spacing w:line="600" w:lineRule="exact"/>
        <w:ind w:firstLine="640"/>
        <w:rPr>
          <w:rFonts w:hint="eastAsia" w:ascii="仿宋_GB2312" w:eastAsia="仿宋_GB2312"/>
          <w:color w:val="000000"/>
          <w:sz w:val="32"/>
          <w:szCs w:val="32"/>
        </w:rPr>
      </w:pPr>
    </w:p>
    <w:p w14:paraId="1EEE48D8">
      <w:pPr>
        <w:spacing w:line="600" w:lineRule="exact"/>
        <w:ind w:firstLine="640"/>
        <w:rPr>
          <w:rFonts w:ascii="仿宋" w:eastAsia="仿宋"/>
          <w:b/>
          <w:color w:val="000000"/>
          <w:sz w:val="32"/>
          <w:szCs w:val="32"/>
        </w:rPr>
      </w:pPr>
    </w:p>
    <w:p w14:paraId="1E7B8082">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b/>
          <w:sz w:val="32"/>
          <w:szCs w:val="32"/>
        </w:rPr>
      </w:pPr>
      <w:r>
        <w:rPr>
          <w:rFonts w:ascii="Times New Roman" w:hAnsi="Times New Roman" w:eastAsia="仿宋" w:cs="Times New Roman"/>
          <w:b/>
          <w:sz w:val="32"/>
          <w:szCs w:val="32"/>
        </w:rPr>
        <w:t>（三）一般公共预算财政拨款支出决算具体情况</w:t>
      </w:r>
    </w:p>
    <w:p w14:paraId="4853113C">
      <w:pPr>
        <w:spacing w:line="600" w:lineRule="exact"/>
        <w:ind w:firstLine="640" w:firstLineChars="200"/>
        <w:outlineLvl w:val="2"/>
        <w:rPr>
          <w:rFonts w:hint="eastAsia" w:ascii="仿宋" w:eastAsia="仿宋" w:cs="Times New Roman"/>
          <w:bCs/>
          <w:color w:val="000000"/>
          <w:sz w:val="32"/>
          <w:szCs w:val="32"/>
        </w:rPr>
      </w:pPr>
      <w:r>
        <w:rPr>
          <w:rFonts w:ascii="仿宋" w:eastAsia="仿宋"/>
          <w:bCs/>
          <w:color w:val="000000"/>
          <w:sz w:val="32"/>
          <w:szCs w:val="32"/>
        </w:rPr>
        <w:t>202</w:t>
      </w:r>
      <w:r>
        <w:rPr>
          <w:rFonts w:hint="eastAsia" w:ascii="仿宋" w:eastAsia="仿宋" w:cs="Times New Roman"/>
          <w:bCs/>
          <w:color w:val="000000"/>
          <w:sz w:val="32"/>
          <w:szCs w:val="32"/>
          <w:lang w:val="en-US" w:eastAsia="zh-CN"/>
        </w:rPr>
        <w:t>4</w:t>
      </w:r>
      <w:r>
        <w:rPr>
          <w:rFonts w:hint="eastAsia" w:ascii="仿宋" w:eastAsia="仿宋" w:cs="Times New Roman"/>
          <w:bCs/>
          <w:color w:val="000000"/>
          <w:sz w:val="32"/>
          <w:szCs w:val="32"/>
        </w:rPr>
        <w:t>年一般公共预算数为</w:t>
      </w:r>
      <w:r>
        <w:rPr>
          <w:rFonts w:hint="eastAsia" w:ascii="仿宋_GB2312" w:eastAsia="仿宋_GB2312"/>
          <w:spacing w:val="-2"/>
          <w:sz w:val="32"/>
          <w:szCs w:val="32"/>
          <w:lang w:val="en-US" w:eastAsia="zh-CN"/>
        </w:rPr>
        <w:t>175.35</w:t>
      </w:r>
      <w:r>
        <w:rPr>
          <w:rFonts w:hint="eastAsia" w:ascii="仿宋" w:eastAsia="仿宋" w:cs="Times New Roman"/>
          <w:bCs/>
          <w:color w:val="000000"/>
          <w:sz w:val="32"/>
          <w:szCs w:val="32"/>
        </w:rPr>
        <w:t>万元，支出决算数为</w:t>
      </w:r>
      <w:r>
        <w:rPr>
          <w:rFonts w:hint="eastAsia" w:ascii="仿宋_GB2312" w:eastAsia="仿宋_GB2312"/>
          <w:spacing w:val="-2"/>
          <w:sz w:val="32"/>
          <w:szCs w:val="32"/>
          <w:lang w:val="en-US" w:eastAsia="zh-CN"/>
        </w:rPr>
        <w:t>175.35</w:t>
      </w:r>
      <w:r>
        <w:rPr>
          <w:rFonts w:hint="eastAsia" w:ascii="仿宋" w:eastAsia="仿宋" w:cs="Times New Roman"/>
          <w:bCs/>
          <w:color w:val="000000"/>
          <w:sz w:val="32"/>
          <w:szCs w:val="32"/>
        </w:rPr>
        <w:t>万元，完成预算100%。其中：</w:t>
      </w:r>
    </w:p>
    <w:p w14:paraId="19BA27E7">
      <w:pPr>
        <w:spacing w:line="600" w:lineRule="exact"/>
        <w:ind w:firstLine="640" w:firstLineChars="200"/>
        <w:outlineLvl w:val="2"/>
        <w:rPr>
          <w:rFonts w:hint="eastAsia" w:ascii="仿宋" w:eastAsia="仿宋" w:cs="Times New Roman"/>
          <w:bCs/>
          <w:color w:val="000000"/>
          <w:sz w:val="32"/>
          <w:szCs w:val="32"/>
          <w:lang w:val="en-US" w:eastAsia="zh-CN"/>
        </w:rPr>
      </w:pPr>
      <w:r>
        <w:rPr>
          <w:rFonts w:hint="eastAsia" w:ascii="仿宋" w:eastAsia="仿宋" w:cs="Times New Roman"/>
          <w:bCs/>
          <w:color w:val="000000"/>
          <w:sz w:val="32"/>
          <w:szCs w:val="32"/>
          <w:lang w:val="en-US" w:eastAsia="zh-CN"/>
        </w:rPr>
        <w:t>1.</w:t>
      </w:r>
      <w:r>
        <w:rPr>
          <w:rFonts w:hint="eastAsia" w:ascii="仿宋" w:eastAsia="仿宋" w:cs="Times New Roman"/>
          <w:bCs/>
          <w:color w:val="000000"/>
          <w:sz w:val="32"/>
          <w:szCs w:val="32"/>
        </w:rPr>
        <w:t>一般公共服务（类）</w:t>
      </w:r>
      <w:r>
        <w:rPr>
          <w:rFonts w:hint="eastAsia" w:ascii="仿宋" w:eastAsia="仿宋" w:cs="Times New Roman"/>
          <w:bCs/>
          <w:color w:val="000000"/>
          <w:sz w:val="32"/>
          <w:szCs w:val="32"/>
          <w:lang w:val="en-US" w:eastAsia="zh-CN"/>
        </w:rPr>
        <w:t>民族事务</w:t>
      </w:r>
      <w:r>
        <w:rPr>
          <w:rFonts w:hint="eastAsia" w:ascii="仿宋" w:eastAsia="仿宋" w:cs="Times New Roman"/>
          <w:bCs/>
          <w:color w:val="000000"/>
          <w:sz w:val="32"/>
          <w:szCs w:val="32"/>
        </w:rPr>
        <w:t>（款）</w:t>
      </w:r>
      <w:r>
        <w:rPr>
          <w:rFonts w:hint="eastAsia" w:ascii="仿宋" w:eastAsia="仿宋" w:cs="Times New Roman"/>
          <w:bCs/>
          <w:color w:val="000000"/>
          <w:sz w:val="32"/>
          <w:szCs w:val="32"/>
          <w:lang w:val="en-US" w:eastAsia="zh-CN"/>
        </w:rPr>
        <w:t>行政运行</w:t>
      </w:r>
      <w:r>
        <w:rPr>
          <w:rFonts w:hint="eastAsia" w:ascii="仿宋" w:eastAsia="仿宋" w:cs="Times New Roman"/>
          <w:bCs/>
          <w:color w:val="000000"/>
          <w:sz w:val="32"/>
          <w:szCs w:val="32"/>
        </w:rPr>
        <w:t>（项）: 支出决算为</w:t>
      </w:r>
      <w:r>
        <w:rPr>
          <w:rFonts w:hint="eastAsia" w:ascii="仿宋" w:eastAsia="仿宋" w:cs="Times New Roman"/>
          <w:bCs/>
          <w:color w:val="000000"/>
          <w:sz w:val="32"/>
          <w:szCs w:val="32"/>
          <w:lang w:val="en-US" w:eastAsia="zh-CN"/>
        </w:rPr>
        <w:t>78.78</w:t>
      </w:r>
      <w:r>
        <w:rPr>
          <w:rFonts w:hint="eastAsia" w:ascii="仿宋" w:eastAsia="仿宋" w:cs="Times New Roman"/>
          <w:bCs/>
          <w:color w:val="000000"/>
          <w:sz w:val="32"/>
          <w:szCs w:val="32"/>
        </w:rPr>
        <w:t>万元</w:t>
      </w:r>
      <w:r>
        <w:rPr>
          <w:rFonts w:hint="eastAsia" w:ascii="仿宋" w:eastAsia="仿宋" w:cs="Times New Roman"/>
          <w:bCs/>
          <w:color w:val="000000"/>
          <w:sz w:val="32"/>
          <w:szCs w:val="32"/>
          <w:lang w:eastAsia="zh-CN"/>
        </w:rPr>
        <w:t>。</w:t>
      </w:r>
    </w:p>
    <w:p w14:paraId="5A7AEF24">
      <w:pPr>
        <w:pStyle w:val="2"/>
        <w:ind w:left="0" w:leftChars="0" w:firstLine="640" w:firstLineChars="200"/>
        <w:rPr>
          <w:rFonts w:hint="eastAsia" w:ascii="仿宋" w:eastAsia="仿宋" w:cs="Times New Roman"/>
          <w:bCs/>
          <w:color w:val="000000"/>
          <w:sz w:val="32"/>
          <w:szCs w:val="32"/>
          <w:lang w:eastAsia="zh-CN"/>
        </w:rPr>
      </w:pPr>
      <w:r>
        <w:rPr>
          <w:rFonts w:hint="eastAsia" w:ascii="仿宋" w:eastAsia="仿宋" w:cs="Times New Roman"/>
          <w:bCs/>
          <w:color w:val="000000"/>
          <w:sz w:val="32"/>
          <w:szCs w:val="32"/>
        </w:rPr>
        <w:t>2.一般公共服务（类）</w:t>
      </w:r>
      <w:r>
        <w:rPr>
          <w:rFonts w:hint="eastAsia" w:ascii="仿宋" w:eastAsia="仿宋" w:cs="Times New Roman"/>
          <w:bCs/>
          <w:color w:val="000000"/>
          <w:sz w:val="32"/>
          <w:szCs w:val="32"/>
          <w:lang w:val="en-US" w:eastAsia="zh-CN"/>
        </w:rPr>
        <w:t>民族事务</w:t>
      </w:r>
      <w:r>
        <w:rPr>
          <w:rFonts w:hint="eastAsia" w:ascii="仿宋" w:eastAsia="仿宋" w:cs="Times New Roman"/>
          <w:bCs/>
          <w:color w:val="000000"/>
          <w:sz w:val="32"/>
          <w:szCs w:val="32"/>
        </w:rPr>
        <w:t>（款）</w:t>
      </w:r>
      <w:r>
        <w:rPr>
          <w:rFonts w:hint="eastAsia" w:ascii="仿宋" w:eastAsia="仿宋" w:cs="Times New Roman"/>
          <w:bCs/>
          <w:color w:val="000000"/>
          <w:sz w:val="32"/>
          <w:szCs w:val="32"/>
          <w:lang w:val="en-US" w:eastAsia="zh-CN"/>
        </w:rPr>
        <w:t>一般行政管理事务</w:t>
      </w:r>
      <w:r>
        <w:rPr>
          <w:rFonts w:hint="eastAsia" w:ascii="仿宋" w:eastAsia="仿宋" w:cs="Times New Roman"/>
          <w:bCs/>
          <w:color w:val="000000"/>
          <w:sz w:val="32"/>
          <w:szCs w:val="32"/>
        </w:rPr>
        <w:t>（项）: 支出决算为</w:t>
      </w:r>
      <w:r>
        <w:rPr>
          <w:rFonts w:hint="eastAsia" w:ascii="仿宋" w:eastAsia="仿宋" w:cs="Times New Roman"/>
          <w:bCs/>
          <w:color w:val="000000"/>
          <w:sz w:val="32"/>
          <w:szCs w:val="32"/>
          <w:lang w:val="en-US" w:eastAsia="zh-CN"/>
        </w:rPr>
        <w:t>0.75</w:t>
      </w:r>
      <w:r>
        <w:rPr>
          <w:rFonts w:hint="eastAsia" w:ascii="仿宋" w:eastAsia="仿宋" w:cs="Times New Roman"/>
          <w:bCs/>
          <w:color w:val="000000"/>
          <w:sz w:val="32"/>
          <w:szCs w:val="32"/>
        </w:rPr>
        <w:t>万元</w:t>
      </w:r>
      <w:r>
        <w:rPr>
          <w:rFonts w:hint="eastAsia" w:ascii="仿宋" w:eastAsia="仿宋" w:cs="Times New Roman"/>
          <w:bCs/>
          <w:color w:val="000000"/>
          <w:sz w:val="32"/>
          <w:szCs w:val="32"/>
          <w:lang w:eastAsia="zh-CN"/>
        </w:rPr>
        <w:t>。</w:t>
      </w:r>
    </w:p>
    <w:p w14:paraId="685CF61E">
      <w:pPr>
        <w:spacing w:line="600" w:lineRule="exact"/>
        <w:ind w:firstLine="640" w:firstLineChars="200"/>
        <w:outlineLvl w:val="2"/>
        <w:rPr>
          <w:rFonts w:hint="eastAsia" w:ascii="仿宋" w:eastAsia="仿宋" w:cs="Times New Roman"/>
          <w:bCs/>
          <w:color w:val="000000"/>
          <w:sz w:val="32"/>
          <w:szCs w:val="32"/>
          <w:lang w:val="en-US" w:eastAsia="zh-CN"/>
        </w:rPr>
      </w:pPr>
      <w:r>
        <w:rPr>
          <w:rFonts w:hint="eastAsia" w:ascii="仿宋" w:eastAsia="仿宋" w:cs="Times New Roman"/>
          <w:bCs/>
          <w:color w:val="000000"/>
          <w:sz w:val="32"/>
          <w:szCs w:val="32"/>
          <w:lang w:val="en-US" w:eastAsia="zh-CN"/>
        </w:rPr>
        <w:t>3.</w:t>
      </w:r>
      <w:r>
        <w:rPr>
          <w:rFonts w:hint="eastAsia" w:ascii="仿宋" w:eastAsia="仿宋" w:cs="Times New Roman"/>
          <w:bCs/>
          <w:color w:val="000000"/>
          <w:sz w:val="32"/>
          <w:szCs w:val="32"/>
        </w:rPr>
        <w:t>一般公共服务（类）</w:t>
      </w:r>
      <w:r>
        <w:rPr>
          <w:rFonts w:hint="eastAsia" w:ascii="仿宋" w:eastAsia="仿宋" w:cs="Times New Roman"/>
          <w:bCs/>
          <w:color w:val="000000"/>
          <w:sz w:val="32"/>
          <w:szCs w:val="32"/>
          <w:lang w:val="en-US" w:eastAsia="zh-CN"/>
        </w:rPr>
        <w:t>民族事务</w:t>
      </w:r>
      <w:r>
        <w:rPr>
          <w:rFonts w:hint="eastAsia" w:ascii="仿宋" w:eastAsia="仿宋" w:cs="Times New Roman"/>
          <w:bCs/>
          <w:color w:val="000000"/>
          <w:sz w:val="32"/>
          <w:szCs w:val="32"/>
        </w:rPr>
        <w:t>（款）</w:t>
      </w:r>
      <w:r>
        <w:rPr>
          <w:rFonts w:hint="eastAsia" w:ascii="仿宋" w:eastAsia="仿宋" w:cs="Times New Roman"/>
          <w:bCs/>
          <w:color w:val="000000"/>
          <w:sz w:val="32"/>
          <w:szCs w:val="32"/>
          <w:lang w:val="en-US" w:eastAsia="zh-CN"/>
        </w:rPr>
        <w:t>事业运行</w:t>
      </w:r>
      <w:r>
        <w:rPr>
          <w:rFonts w:hint="eastAsia" w:ascii="仿宋" w:eastAsia="仿宋" w:cs="Times New Roman"/>
          <w:bCs/>
          <w:color w:val="000000"/>
          <w:sz w:val="32"/>
          <w:szCs w:val="32"/>
        </w:rPr>
        <w:t>（项）: 支出决算为</w:t>
      </w:r>
      <w:r>
        <w:rPr>
          <w:rFonts w:hint="eastAsia" w:ascii="仿宋" w:eastAsia="仿宋" w:cs="Times New Roman"/>
          <w:bCs/>
          <w:color w:val="000000"/>
          <w:sz w:val="32"/>
          <w:szCs w:val="32"/>
          <w:lang w:val="en-US" w:eastAsia="zh-CN"/>
        </w:rPr>
        <w:t>45.82</w:t>
      </w:r>
      <w:r>
        <w:rPr>
          <w:rFonts w:hint="eastAsia" w:ascii="仿宋" w:eastAsia="仿宋" w:cs="Times New Roman"/>
          <w:bCs/>
          <w:color w:val="000000"/>
          <w:sz w:val="32"/>
          <w:szCs w:val="32"/>
        </w:rPr>
        <w:t>元</w:t>
      </w:r>
      <w:r>
        <w:rPr>
          <w:rFonts w:hint="eastAsia" w:ascii="仿宋" w:eastAsia="仿宋" w:cs="Times New Roman"/>
          <w:bCs/>
          <w:color w:val="000000"/>
          <w:sz w:val="32"/>
          <w:szCs w:val="32"/>
          <w:lang w:eastAsia="zh-CN"/>
        </w:rPr>
        <w:t>。</w:t>
      </w:r>
    </w:p>
    <w:p w14:paraId="5A6A5B0A">
      <w:pPr>
        <w:spacing w:line="600" w:lineRule="exact"/>
        <w:ind w:firstLine="640" w:firstLineChars="200"/>
        <w:outlineLvl w:val="2"/>
        <w:rPr>
          <w:rFonts w:hint="eastAsia" w:ascii="仿宋" w:eastAsia="仿宋" w:cs="Times New Roman"/>
          <w:bCs/>
          <w:color w:val="000000"/>
          <w:sz w:val="32"/>
          <w:szCs w:val="32"/>
          <w:lang w:eastAsia="zh-CN"/>
        </w:rPr>
      </w:pPr>
      <w:r>
        <w:rPr>
          <w:rFonts w:hint="eastAsia" w:ascii="仿宋" w:eastAsia="仿宋" w:cs="Times New Roman"/>
          <w:bCs/>
          <w:color w:val="000000"/>
          <w:sz w:val="32"/>
          <w:szCs w:val="32"/>
          <w:lang w:val="en-US" w:eastAsia="zh-CN"/>
        </w:rPr>
        <w:t>4.</w:t>
      </w:r>
      <w:r>
        <w:rPr>
          <w:rFonts w:hint="eastAsia" w:ascii="仿宋" w:eastAsia="仿宋" w:cs="Times New Roman"/>
          <w:bCs/>
          <w:color w:val="000000"/>
          <w:sz w:val="32"/>
          <w:szCs w:val="32"/>
        </w:rPr>
        <w:t>社会保障和就业（类）行政事业单位养老支出（款）机关事业单位基本养老保险缴费支出（项）: 支出决算为</w:t>
      </w:r>
      <w:r>
        <w:rPr>
          <w:rFonts w:hint="eastAsia" w:ascii="仿宋" w:eastAsia="仿宋" w:cs="Times New Roman"/>
          <w:bCs/>
          <w:color w:val="000000"/>
          <w:sz w:val="32"/>
          <w:szCs w:val="32"/>
          <w:lang w:val="en-US" w:eastAsia="zh-CN"/>
        </w:rPr>
        <w:t>15.57</w:t>
      </w:r>
      <w:r>
        <w:rPr>
          <w:rFonts w:hint="eastAsia" w:ascii="仿宋" w:eastAsia="仿宋" w:cs="Times New Roman"/>
          <w:bCs/>
          <w:color w:val="000000"/>
          <w:sz w:val="32"/>
          <w:szCs w:val="32"/>
        </w:rPr>
        <w:t>万元。</w:t>
      </w:r>
    </w:p>
    <w:p w14:paraId="57407FE4">
      <w:pPr>
        <w:spacing w:line="600" w:lineRule="exact"/>
        <w:ind w:firstLine="640" w:firstLineChars="200"/>
        <w:outlineLvl w:val="2"/>
        <w:rPr>
          <w:rFonts w:hint="eastAsia" w:ascii="仿宋" w:eastAsia="仿宋" w:cs="Times New Roman"/>
          <w:bCs/>
          <w:color w:val="000000"/>
          <w:sz w:val="32"/>
          <w:szCs w:val="32"/>
        </w:rPr>
      </w:pPr>
      <w:r>
        <w:rPr>
          <w:rFonts w:hint="eastAsia" w:ascii="仿宋" w:eastAsia="仿宋" w:cs="Times New Roman"/>
          <w:bCs/>
          <w:color w:val="000000"/>
          <w:sz w:val="32"/>
          <w:szCs w:val="32"/>
          <w:lang w:val="en-US" w:eastAsia="zh-CN"/>
        </w:rPr>
        <w:t>5</w:t>
      </w:r>
      <w:r>
        <w:rPr>
          <w:rFonts w:hint="eastAsia" w:ascii="仿宋" w:eastAsia="仿宋" w:cs="Times New Roman"/>
          <w:bCs/>
          <w:color w:val="000000"/>
          <w:sz w:val="32"/>
          <w:szCs w:val="32"/>
        </w:rPr>
        <w:t>. 社会保障和就业（类）行政事业单位养老支出（款）机关事业单位职业年金缴费支出（项）: 支出决算为</w:t>
      </w:r>
      <w:r>
        <w:rPr>
          <w:rFonts w:hint="eastAsia" w:ascii="仿宋" w:eastAsia="仿宋" w:cs="Times New Roman"/>
          <w:bCs/>
          <w:color w:val="000000"/>
          <w:sz w:val="32"/>
          <w:szCs w:val="32"/>
          <w:lang w:val="en-US" w:eastAsia="zh-CN"/>
        </w:rPr>
        <w:t>7.78</w:t>
      </w:r>
      <w:r>
        <w:rPr>
          <w:rFonts w:hint="eastAsia" w:ascii="仿宋" w:eastAsia="仿宋" w:cs="Times New Roman"/>
          <w:bCs/>
          <w:color w:val="000000"/>
          <w:sz w:val="32"/>
          <w:szCs w:val="32"/>
        </w:rPr>
        <w:t>万元。</w:t>
      </w:r>
    </w:p>
    <w:p w14:paraId="475E318C">
      <w:pPr>
        <w:spacing w:line="600" w:lineRule="exact"/>
        <w:ind w:firstLine="640" w:firstLineChars="200"/>
        <w:outlineLvl w:val="2"/>
        <w:rPr>
          <w:rFonts w:hint="eastAsia" w:ascii="仿宋" w:eastAsia="仿宋" w:cs="Times New Roman"/>
          <w:bCs/>
          <w:color w:val="000000"/>
          <w:sz w:val="32"/>
          <w:szCs w:val="32"/>
        </w:rPr>
      </w:pPr>
      <w:r>
        <w:rPr>
          <w:rFonts w:hint="eastAsia" w:ascii="仿宋" w:eastAsia="仿宋" w:cs="Times New Roman"/>
          <w:bCs/>
          <w:color w:val="000000"/>
          <w:sz w:val="32"/>
          <w:szCs w:val="32"/>
          <w:lang w:val="en-US" w:eastAsia="zh-CN"/>
        </w:rPr>
        <w:t>6</w:t>
      </w:r>
      <w:r>
        <w:rPr>
          <w:rFonts w:hint="eastAsia" w:ascii="仿宋" w:eastAsia="仿宋" w:cs="Times New Roman"/>
          <w:bCs/>
          <w:color w:val="000000"/>
          <w:sz w:val="32"/>
          <w:szCs w:val="32"/>
        </w:rPr>
        <w:t>.卫生健康支出（类）行政事业单位医疗（款）行政单位医疗（项）:支出决算为</w:t>
      </w:r>
      <w:r>
        <w:rPr>
          <w:rFonts w:hint="eastAsia" w:ascii="仿宋" w:eastAsia="仿宋" w:cs="Times New Roman"/>
          <w:bCs/>
          <w:color w:val="000000"/>
          <w:sz w:val="32"/>
          <w:szCs w:val="32"/>
          <w:lang w:val="en-US" w:eastAsia="zh-CN"/>
        </w:rPr>
        <w:t>4.55</w:t>
      </w:r>
      <w:r>
        <w:rPr>
          <w:rFonts w:hint="eastAsia" w:ascii="仿宋" w:eastAsia="仿宋" w:cs="Times New Roman"/>
          <w:bCs/>
          <w:color w:val="000000"/>
          <w:sz w:val="32"/>
          <w:szCs w:val="32"/>
        </w:rPr>
        <w:t>万元。</w:t>
      </w:r>
    </w:p>
    <w:p w14:paraId="46B79936">
      <w:pPr>
        <w:pStyle w:val="2"/>
        <w:ind w:left="0" w:leftChars="0" w:firstLine="640" w:firstLineChars="200"/>
        <w:rPr>
          <w:rFonts w:hint="eastAsia"/>
        </w:rPr>
      </w:pPr>
      <w:r>
        <w:rPr>
          <w:rFonts w:hint="eastAsia" w:ascii="仿宋" w:eastAsia="仿宋" w:cs="Times New Roman"/>
          <w:bCs/>
          <w:color w:val="000000"/>
          <w:sz w:val="32"/>
          <w:szCs w:val="32"/>
          <w:lang w:val="en-US" w:eastAsia="zh-CN"/>
        </w:rPr>
        <w:t>7.</w:t>
      </w:r>
      <w:r>
        <w:rPr>
          <w:rFonts w:hint="eastAsia" w:ascii="仿宋" w:eastAsia="仿宋" w:cs="Times New Roman"/>
          <w:bCs/>
          <w:color w:val="000000"/>
          <w:sz w:val="32"/>
          <w:szCs w:val="32"/>
        </w:rPr>
        <w:t>卫生健康支出（类）行政事业单位医疗（款）</w:t>
      </w:r>
      <w:r>
        <w:rPr>
          <w:rFonts w:hint="eastAsia" w:ascii="仿宋" w:eastAsia="仿宋" w:cs="Times New Roman"/>
          <w:bCs/>
          <w:color w:val="000000"/>
          <w:sz w:val="32"/>
          <w:szCs w:val="32"/>
          <w:lang w:val="en-US" w:eastAsia="zh-CN"/>
        </w:rPr>
        <w:t>事业</w:t>
      </w:r>
      <w:r>
        <w:rPr>
          <w:rFonts w:hint="eastAsia" w:ascii="仿宋" w:eastAsia="仿宋" w:cs="Times New Roman"/>
          <w:bCs/>
          <w:color w:val="000000"/>
          <w:sz w:val="32"/>
          <w:szCs w:val="32"/>
        </w:rPr>
        <w:t>单位医疗（项）:支出决算为</w:t>
      </w:r>
      <w:r>
        <w:rPr>
          <w:rFonts w:hint="eastAsia" w:ascii="仿宋" w:eastAsia="仿宋" w:cs="Times New Roman"/>
          <w:bCs/>
          <w:color w:val="000000"/>
          <w:sz w:val="32"/>
          <w:szCs w:val="32"/>
          <w:lang w:val="en-US" w:eastAsia="zh-CN"/>
        </w:rPr>
        <w:t>2.91</w:t>
      </w:r>
      <w:r>
        <w:rPr>
          <w:rFonts w:hint="eastAsia" w:ascii="仿宋" w:eastAsia="仿宋" w:cs="Times New Roman"/>
          <w:bCs/>
          <w:color w:val="000000"/>
          <w:sz w:val="32"/>
          <w:szCs w:val="32"/>
        </w:rPr>
        <w:t>万元。</w:t>
      </w:r>
    </w:p>
    <w:p w14:paraId="392C11A6">
      <w:pPr>
        <w:spacing w:line="600" w:lineRule="exact"/>
        <w:ind w:firstLine="640" w:firstLineChars="200"/>
        <w:outlineLvl w:val="2"/>
        <w:rPr>
          <w:rFonts w:hint="eastAsia" w:ascii="仿宋" w:eastAsia="仿宋" w:cs="Times New Roman"/>
          <w:bCs/>
          <w:color w:val="000000"/>
          <w:sz w:val="32"/>
          <w:szCs w:val="32"/>
        </w:rPr>
      </w:pPr>
      <w:r>
        <w:rPr>
          <w:rFonts w:hint="eastAsia" w:ascii="仿宋" w:eastAsia="仿宋" w:cs="Times New Roman"/>
          <w:bCs/>
          <w:color w:val="000000"/>
          <w:sz w:val="32"/>
          <w:szCs w:val="32"/>
          <w:lang w:val="en-US" w:eastAsia="zh-CN"/>
        </w:rPr>
        <w:t>8</w:t>
      </w:r>
      <w:r>
        <w:rPr>
          <w:rFonts w:hint="eastAsia" w:ascii="仿宋" w:eastAsia="仿宋" w:cs="Times New Roman"/>
          <w:bCs/>
          <w:color w:val="000000"/>
          <w:sz w:val="32"/>
          <w:szCs w:val="32"/>
        </w:rPr>
        <w:t>.卫生健康支出（类）行政事业单位医疗（款）公务员医疗补助（项）:支出决算为</w:t>
      </w:r>
      <w:r>
        <w:rPr>
          <w:rFonts w:hint="eastAsia" w:ascii="仿宋" w:eastAsia="仿宋" w:cs="Times New Roman"/>
          <w:bCs/>
          <w:color w:val="000000"/>
          <w:sz w:val="32"/>
          <w:szCs w:val="32"/>
          <w:lang w:val="en-US" w:eastAsia="zh-CN"/>
        </w:rPr>
        <w:t>1.55</w:t>
      </w:r>
      <w:r>
        <w:rPr>
          <w:rFonts w:hint="eastAsia" w:ascii="仿宋" w:eastAsia="仿宋" w:cs="Times New Roman"/>
          <w:bCs/>
          <w:color w:val="000000"/>
          <w:sz w:val="32"/>
          <w:szCs w:val="32"/>
        </w:rPr>
        <w:t>万元。</w:t>
      </w:r>
    </w:p>
    <w:p w14:paraId="4A36DFB8">
      <w:pPr>
        <w:pStyle w:val="2"/>
        <w:ind w:left="0" w:leftChars="0" w:firstLine="640" w:firstLineChars="200"/>
        <w:rPr>
          <w:rFonts w:hint="eastAsia"/>
        </w:rPr>
      </w:pPr>
      <w:r>
        <w:rPr>
          <w:rFonts w:hint="eastAsia" w:ascii="仿宋" w:eastAsia="仿宋" w:cs="Times New Roman"/>
          <w:bCs/>
          <w:color w:val="000000"/>
          <w:sz w:val="32"/>
          <w:szCs w:val="32"/>
          <w:lang w:val="en-US" w:eastAsia="zh-CN"/>
        </w:rPr>
        <w:t>9.</w:t>
      </w:r>
      <w:r>
        <w:rPr>
          <w:rFonts w:hint="eastAsia" w:ascii="仿宋" w:eastAsia="仿宋" w:cs="Times New Roman"/>
          <w:bCs/>
          <w:color w:val="000000"/>
          <w:sz w:val="32"/>
          <w:szCs w:val="32"/>
        </w:rPr>
        <w:t>卫生健康支出（类）行政事业单位医疗（款）其他行政事业单位医疗支出（项）:支出决算为</w:t>
      </w:r>
      <w:r>
        <w:rPr>
          <w:rFonts w:hint="eastAsia" w:ascii="仿宋" w:eastAsia="仿宋" w:cs="Times New Roman"/>
          <w:bCs/>
          <w:color w:val="000000"/>
          <w:sz w:val="32"/>
          <w:szCs w:val="32"/>
          <w:lang w:val="en-US" w:eastAsia="zh-CN"/>
        </w:rPr>
        <w:t>0.66</w:t>
      </w:r>
      <w:r>
        <w:rPr>
          <w:rFonts w:hint="eastAsia" w:ascii="仿宋" w:eastAsia="仿宋" w:cs="Times New Roman"/>
          <w:bCs/>
          <w:color w:val="000000"/>
          <w:sz w:val="32"/>
          <w:szCs w:val="32"/>
        </w:rPr>
        <w:t>万元。</w:t>
      </w:r>
    </w:p>
    <w:p w14:paraId="30DBE6B1">
      <w:pPr>
        <w:pStyle w:val="2"/>
        <w:ind w:left="0" w:leftChars="0" w:firstLine="640" w:firstLineChars="200"/>
        <w:rPr>
          <w:rFonts w:hint="eastAsia" w:ascii="仿宋" w:eastAsia="仿宋" w:cs="Times New Roman"/>
          <w:bCs/>
          <w:color w:val="000000"/>
          <w:sz w:val="32"/>
          <w:szCs w:val="32"/>
        </w:rPr>
      </w:pPr>
      <w:r>
        <w:rPr>
          <w:rFonts w:hint="eastAsia" w:ascii="仿宋" w:eastAsia="仿宋" w:cs="Times New Roman"/>
          <w:bCs/>
          <w:color w:val="000000"/>
          <w:sz w:val="32"/>
          <w:szCs w:val="32"/>
          <w:lang w:val="en-US" w:eastAsia="zh-CN"/>
        </w:rPr>
        <w:t>10.教育支出</w:t>
      </w:r>
      <w:r>
        <w:rPr>
          <w:rFonts w:hint="eastAsia" w:ascii="仿宋" w:eastAsia="仿宋" w:cs="Times New Roman"/>
          <w:bCs/>
          <w:color w:val="000000"/>
          <w:sz w:val="32"/>
          <w:szCs w:val="32"/>
        </w:rPr>
        <w:t>（类）</w:t>
      </w:r>
      <w:r>
        <w:rPr>
          <w:rFonts w:hint="eastAsia" w:ascii="仿宋" w:eastAsia="仿宋" w:cs="Times New Roman"/>
          <w:bCs/>
          <w:color w:val="000000"/>
          <w:sz w:val="32"/>
          <w:szCs w:val="32"/>
          <w:lang w:val="en-US" w:eastAsia="zh-CN"/>
        </w:rPr>
        <w:t>进修及培训</w:t>
      </w:r>
      <w:r>
        <w:rPr>
          <w:rFonts w:hint="eastAsia" w:ascii="仿宋" w:eastAsia="仿宋" w:cs="Times New Roman"/>
          <w:bCs/>
          <w:color w:val="000000"/>
          <w:sz w:val="32"/>
          <w:szCs w:val="32"/>
        </w:rPr>
        <w:t>（款）</w:t>
      </w:r>
      <w:r>
        <w:rPr>
          <w:rFonts w:hint="eastAsia" w:ascii="仿宋" w:eastAsia="仿宋" w:cs="Times New Roman"/>
          <w:bCs/>
          <w:color w:val="000000"/>
          <w:sz w:val="32"/>
          <w:szCs w:val="32"/>
          <w:lang w:val="en-US" w:eastAsia="zh-CN"/>
        </w:rPr>
        <w:t>培训支出</w:t>
      </w:r>
      <w:r>
        <w:rPr>
          <w:rFonts w:hint="eastAsia" w:ascii="仿宋" w:eastAsia="仿宋" w:cs="Times New Roman"/>
          <w:bCs/>
          <w:color w:val="000000"/>
          <w:sz w:val="32"/>
          <w:szCs w:val="32"/>
        </w:rPr>
        <w:t>（项）：支出决算为</w:t>
      </w:r>
      <w:r>
        <w:rPr>
          <w:rFonts w:hint="eastAsia" w:ascii="仿宋" w:eastAsia="仿宋" w:cs="Times New Roman"/>
          <w:bCs/>
          <w:color w:val="000000"/>
          <w:sz w:val="32"/>
          <w:szCs w:val="32"/>
          <w:lang w:val="en-US" w:eastAsia="zh-CN"/>
        </w:rPr>
        <w:t>4.4</w:t>
      </w:r>
      <w:r>
        <w:rPr>
          <w:rFonts w:hint="eastAsia" w:ascii="仿宋" w:eastAsia="仿宋" w:cs="Times New Roman"/>
          <w:bCs/>
          <w:color w:val="000000"/>
          <w:sz w:val="32"/>
          <w:szCs w:val="32"/>
        </w:rPr>
        <w:t>万元。</w:t>
      </w:r>
    </w:p>
    <w:p w14:paraId="36C30DBA">
      <w:pPr>
        <w:spacing w:line="600" w:lineRule="exact"/>
        <w:ind w:firstLine="640" w:firstLineChars="200"/>
        <w:outlineLvl w:val="2"/>
        <w:rPr>
          <w:rFonts w:hint="eastAsia" w:ascii="仿宋" w:eastAsia="仿宋" w:cs="Times New Roman"/>
          <w:bCs/>
          <w:color w:val="000000"/>
          <w:sz w:val="32"/>
          <w:szCs w:val="32"/>
        </w:rPr>
      </w:pPr>
      <w:r>
        <w:rPr>
          <w:rFonts w:hint="eastAsia" w:ascii="仿宋" w:eastAsia="仿宋" w:cs="Times New Roman"/>
          <w:bCs/>
          <w:color w:val="000000"/>
          <w:sz w:val="32"/>
          <w:szCs w:val="32"/>
          <w:lang w:val="en-US" w:eastAsia="zh-CN"/>
        </w:rPr>
        <w:t>12</w:t>
      </w:r>
      <w:r>
        <w:rPr>
          <w:rFonts w:hint="eastAsia" w:ascii="仿宋" w:eastAsia="仿宋" w:cs="Times New Roman"/>
          <w:bCs/>
          <w:color w:val="000000"/>
          <w:sz w:val="32"/>
          <w:szCs w:val="32"/>
        </w:rPr>
        <w:t>.住房保障（类）住房改革支出（款）住房公积金（项）：支出决算为</w:t>
      </w:r>
      <w:r>
        <w:rPr>
          <w:rFonts w:hint="eastAsia" w:ascii="仿宋" w:eastAsia="仿宋" w:cs="Times New Roman"/>
          <w:bCs/>
          <w:color w:val="000000"/>
          <w:sz w:val="32"/>
          <w:szCs w:val="32"/>
          <w:lang w:val="en-US" w:eastAsia="zh-CN"/>
        </w:rPr>
        <w:t>12.58</w:t>
      </w:r>
      <w:r>
        <w:rPr>
          <w:rFonts w:hint="eastAsia" w:ascii="仿宋" w:eastAsia="仿宋" w:cs="Times New Roman"/>
          <w:bCs/>
          <w:color w:val="000000"/>
          <w:sz w:val="32"/>
          <w:szCs w:val="32"/>
        </w:rPr>
        <w:t>万元。</w:t>
      </w:r>
    </w:p>
    <w:bookmarkEnd w:id="6"/>
    <w:bookmarkEnd w:id="7"/>
    <w:p w14:paraId="6E657A6C">
      <w:pPr>
        <w:spacing w:line="600" w:lineRule="exact"/>
        <w:ind w:firstLine="640" w:firstLineChars="200"/>
        <w:outlineLvl w:val="2"/>
        <w:rPr>
          <w:rStyle w:val="22"/>
          <w:rFonts w:ascii="Times New Roman" w:hAnsi="Times New Roman" w:cs="Times New Roman"/>
        </w:rPr>
      </w:pPr>
      <w:r>
        <w:rPr>
          <w:rFonts w:ascii="Times New Roman" w:hAnsi="Times New Roman" w:eastAsia="黑体" w:cs="Times New Roman"/>
          <w:sz w:val="32"/>
          <w:szCs w:val="32"/>
        </w:rPr>
        <w:t>六</w:t>
      </w:r>
      <w:r>
        <w:rPr>
          <w:rFonts w:ascii="Times New Roman" w:hAnsi="Times New Roman" w:eastAsia="黑体" w:cs="Times New Roman"/>
          <w:b/>
          <w:sz w:val="32"/>
          <w:szCs w:val="32"/>
        </w:rPr>
        <w:t>、一</w:t>
      </w:r>
      <w:r>
        <w:rPr>
          <w:rStyle w:val="22"/>
          <w:rFonts w:ascii="Times New Roman" w:hAnsi="Times New Roman" w:eastAsia="黑体" w:cs="Times New Roman"/>
          <w:b w:val="0"/>
        </w:rPr>
        <w:t>般公共预算财政拨款基本支出决算情况说明</w:t>
      </w:r>
      <w:r>
        <w:rPr>
          <w:rStyle w:val="22"/>
          <w:rFonts w:ascii="Times New Roman" w:hAnsi="Times New Roman" w:eastAsia="黑体" w:cs="Times New Roman"/>
          <w:b w:val="0"/>
        </w:rPr>
        <w:tab/>
      </w:r>
    </w:p>
    <w:p w14:paraId="2878C9CD">
      <w:pPr>
        <w:spacing w:line="600" w:lineRule="exact"/>
        <w:ind w:firstLine="645"/>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lang w:val="en-US" w:eastAsia="zh-CN"/>
        </w:rPr>
        <w:t>4</w:t>
      </w:r>
      <w:r>
        <w:rPr>
          <w:rFonts w:hint="eastAsia" w:ascii="仿宋" w:eastAsia="仿宋"/>
          <w:color w:val="000000"/>
          <w:sz w:val="32"/>
          <w:szCs w:val="32"/>
        </w:rPr>
        <w:t>年一般公共预算财政拨款基本支出</w:t>
      </w:r>
      <w:r>
        <w:rPr>
          <w:rFonts w:hint="eastAsia" w:ascii="仿宋_GB2312" w:eastAsia="仿宋_GB2312"/>
          <w:spacing w:val="-2"/>
          <w:sz w:val="32"/>
          <w:szCs w:val="32"/>
          <w:lang w:val="en-US" w:eastAsia="zh-CN"/>
        </w:rPr>
        <w:t>170.2</w:t>
      </w:r>
      <w:r>
        <w:rPr>
          <w:rFonts w:hint="eastAsia" w:ascii="仿宋" w:eastAsia="仿宋"/>
          <w:color w:val="000000"/>
          <w:sz w:val="32"/>
          <w:szCs w:val="32"/>
        </w:rPr>
        <w:t>万元，其中：</w:t>
      </w:r>
    </w:p>
    <w:p w14:paraId="6E015EBA">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157.3</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31.57</w:t>
      </w:r>
      <w:r>
        <w:rPr>
          <w:rFonts w:hint="eastAsia" w:ascii="仿宋" w:eastAsia="仿宋"/>
          <w:color w:val="000000"/>
          <w:sz w:val="32"/>
          <w:szCs w:val="32"/>
        </w:rPr>
        <w:t>万元、津贴补贴</w:t>
      </w:r>
      <w:r>
        <w:rPr>
          <w:rFonts w:hint="eastAsia" w:ascii="仿宋" w:eastAsia="仿宋"/>
          <w:color w:val="000000"/>
          <w:sz w:val="32"/>
          <w:szCs w:val="32"/>
          <w:lang w:val="en-US" w:eastAsia="zh-CN"/>
        </w:rPr>
        <w:t>32.23</w:t>
      </w:r>
      <w:r>
        <w:rPr>
          <w:rFonts w:hint="eastAsia" w:ascii="仿宋" w:eastAsia="仿宋"/>
          <w:color w:val="000000"/>
          <w:sz w:val="32"/>
          <w:szCs w:val="32"/>
        </w:rPr>
        <w:t>万元、奖金</w:t>
      </w:r>
      <w:r>
        <w:rPr>
          <w:rFonts w:hint="eastAsia" w:ascii="仿宋" w:eastAsia="仿宋"/>
          <w:color w:val="000000"/>
          <w:sz w:val="32"/>
          <w:szCs w:val="32"/>
          <w:lang w:val="en-US" w:eastAsia="zh-CN"/>
        </w:rPr>
        <w:t>37.3</w:t>
      </w:r>
      <w:r>
        <w:rPr>
          <w:rFonts w:hint="eastAsia" w:ascii="仿宋" w:eastAsia="仿宋"/>
          <w:color w:val="000000"/>
          <w:sz w:val="32"/>
          <w:szCs w:val="32"/>
        </w:rPr>
        <w:t>万元、</w:t>
      </w:r>
      <w:r>
        <w:rPr>
          <w:rFonts w:hint="eastAsia" w:ascii="仿宋" w:eastAsia="仿宋"/>
          <w:color w:val="000000"/>
          <w:sz w:val="32"/>
          <w:szCs w:val="32"/>
          <w:lang w:val="en-US" w:eastAsia="zh-CN"/>
        </w:rPr>
        <w:t>绩效工资8.64万元、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15.57</w:t>
      </w:r>
      <w:r>
        <w:rPr>
          <w:rFonts w:hint="eastAsia" w:ascii="仿宋" w:eastAsia="仿宋"/>
          <w:color w:val="000000"/>
          <w:sz w:val="32"/>
          <w:szCs w:val="32"/>
        </w:rPr>
        <w:t>万元、职业年金缴费</w:t>
      </w:r>
      <w:r>
        <w:rPr>
          <w:rFonts w:hint="eastAsia" w:ascii="仿宋" w:eastAsia="仿宋"/>
          <w:color w:val="000000"/>
          <w:sz w:val="32"/>
          <w:szCs w:val="32"/>
          <w:lang w:val="en-US" w:eastAsia="zh-CN"/>
        </w:rPr>
        <w:t>7.78</w:t>
      </w:r>
      <w:r>
        <w:rPr>
          <w:rFonts w:hint="eastAsia" w:ascii="仿宋" w:eastAsia="仿宋"/>
          <w:color w:val="000000"/>
          <w:sz w:val="32"/>
          <w:szCs w:val="32"/>
        </w:rPr>
        <w:t>万元、职工基本医疗保险缴费</w:t>
      </w:r>
      <w:r>
        <w:rPr>
          <w:rFonts w:hint="eastAsia" w:ascii="仿宋" w:eastAsia="仿宋"/>
          <w:color w:val="000000"/>
          <w:sz w:val="32"/>
          <w:szCs w:val="32"/>
          <w:lang w:val="en-US" w:eastAsia="zh-CN"/>
        </w:rPr>
        <w:t>7.46</w:t>
      </w:r>
      <w:r>
        <w:rPr>
          <w:rFonts w:hint="eastAsia" w:ascii="仿宋" w:eastAsia="仿宋"/>
          <w:color w:val="000000"/>
          <w:sz w:val="32"/>
          <w:szCs w:val="32"/>
        </w:rPr>
        <w:t>万元、公务员医疗补助缴费</w:t>
      </w:r>
      <w:r>
        <w:rPr>
          <w:rFonts w:hint="eastAsia" w:ascii="仿宋" w:eastAsia="仿宋"/>
          <w:color w:val="000000"/>
          <w:sz w:val="32"/>
          <w:szCs w:val="32"/>
          <w:lang w:val="en-US" w:eastAsia="zh-CN"/>
        </w:rPr>
        <w:t>1.55</w:t>
      </w:r>
      <w:r>
        <w:rPr>
          <w:rFonts w:hint="eastAsia" w:ascii="仿宋" w:eastAsia="仿宋"/>
          <w:color w:val="000000"/>
          <w:sz w:val="32"/>
          <w:szCs w:val="32"/>
        </w:rPr>
        <w:t>万元、其他社会保障缴费</w:t>
      </w:r>
      <w:r>
        <w:rPr>
          <w:rFonts w:hint="eastAsia" w:ascii="仿宋" w:eastAsia="仿宋"/>
          <w:color w:val="000000"/>
          <w:sz w:val="32"/>
          <w:szCs w:val="32"/>
          <w:lang w:val="en-US" w:eastAsia="zh-CN"/>
        </w:rPr>
        <w:t>2.62</w:t>
      </w:r>
      <w:r>
        <w:rPr>
          <w:rFonts w:hint="eastAsia" w:ascii="仿宋" w:eastAsia="仿宋"/>
          <w:color w:val="000000"/>
          <w:sz w:val="32"/>
          <w:szCs w:val="32"/>
        </w:rPr>
        <w:t>万元、住房公积金</w:t>
      </w:r>
      <w:r>
        <w:rPr>
          <w:rFonts w:hint="eastAsia" w:ascii="仿宋" w:eastAsia="仿宋"/>
          <w:color w:val="000000"/>
          <w:sz w:val="32"/>
          <w:szCs w:val="32"/>
          <w:lang w:val="en-US" w:eastAsia="zh-CN"/>
        </w:rPr>
        <w:t>12.58</w:t>
      </w:r>
      <w:r>
        <w:rPr>
          <w:rFonts w:hint="eastAsia" w:ascii="仿宋" w:eastAsia="仿宋"/>
          <w:color w:val="000000"/>
          <w:sz w:val="32"/>
          <w:szCs w:val="32"/>
        </w:rPr>
        <w:t>万元等。</w:t>
      </w:r>
    </w:p>
    <w:p w14:paraId="59F126C7">
      <w:pPr>
        <w:pageBreakBefore w:val="0"/>
        <w:widowControl w:val="0"/>
        <w:kinsoku/>
        <w:wordWrap/>
        <w:overflowPunct/>
        <w:topLinePunct w:val="0"/>
        <w:bidi w:val="0"/>
        <w:spacing w:line="576" w:lineRule="exact"/>
        <w:ind w:firstLine="640"/>
        <w:outlineLvl w:val="1"/>
        <w:rPr>
          <w:rFonts w:hint="eastAsia" w:ascii="仿宋" w:eastAsia="仿宋"/>
          <w:color w:val="000000"/>
          <w:sz w:val="32"/>
          <w:szCs w:val="32"/>
        </w:rPr>
      </w:pPr>
      <w:r>
        <w:rPr>
          <w:rFonts w:hint="eastAsia" w:ascii="仿宋" w:eastAsia="仿宋"/>
          <w:color w:val="000000"/>
          <w:sz w:val="32"/>
          <w:szCs w:val="32"/>
        </w:rPr>
        <w:t>公用经费</w:t>
      </w:r>
      <w:r>
        <w:rPr>
          <w:rFonts w:hint="eastAsia" w:ascii="仿宋" w:eastAsia="仿宋"/>
          <w:color w:val="000000"/>
          <w:sz w:val="32"/>
          <w:szCs w:val="32"/>
          <w:lang w:val="en-US" w:eastAsia="zh-CN"/>
        </w:rPr>
        <w:t>10.07</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3.29</w:t>
      </w:r>
      <w:r>
        <w:rPr>
          <w:rFonts w:hint="eastAsia" w:ascii="仿宋" w:eastAsia="仿宋"/>
          <w:color w:val="000000"/>
          <w:sz w:val="32"/>
          <w:szCs w:val="32"/>
        </w:rPr>
        <w:t>万元、</w:t>
      </w:r>
      <w:r>
        <w:rPr>
          <w:rFonts w:hint="eastAsia" w:ascii="仿宋" w:eastAsia="仿宋"/>
          <w:color w:val="000000"/>
          <w:sz w:val="32"/>
          <w:szCs w:val="32"/>
          <w:lang w:val="en-US" w:eastAsia="zh-CN"/>
        </w:rPr>
        <w:t>水费0.11万元、邮电费0.2万元、</w:t>
      </w:r>
      <w:r>
        <w:rPr>
          <w:rFonts w:hint="eastAsia" w:ascii="仿宋" w:eastAsia="仿宋"/>
          <w:color w:val="000000"/>
          <w:sz w:val="32"/>
          <w:szCs w:val="32"/>
        </w:rPr>
        <w:t>差旅费</w:t>
      </w:r>
      <w:r>
        <w:rPr>
          <w:rFonts w:hint="eastAsia" w:ascii="仿宋" w:eastAsia="仿宋"/>
          <w:color w:val="000000"/>
          <w:sz w:val="32"/>
          <w:szCs w:val="32"/>
          <w:lang w:val="en-US" w:eastAsia="zh-CN"/>
        </w:rPr>
        <w:t>2.75</w:t>
      </w:r>
      <w:r>
        <w:rPr>
          <w:rFonts w:hint="eastAsia" w:ascii="仿宋" w:eastAsia="仿宋"/>
          <w:color w:val="000000"/>
          <w:sz w:val="32"/>
          <w:szCs w:val="32"/>
        </w:rPr>
        <w:t>万元、</w:t>
      </w:r>
      <w:r>
        <w:rPr>
          <w:rFonts w:hint="eastAsia" w:ascii="仿宋" w:eastAsia="仿宋"/>
          <w:color w:val="000000"/>
          <w:sz w:val="32"/>
          <w:szCs w:val="32"/>
          <w:lang w:val="en-US" w:eastAsia="zh-CN"/>
        </w:rPr>
        <w:t>印刷费1.68</w:t>
      </w:r>
      <w:r>
        <w:rPr>
          <w:rFonts w:hint="eastAsia" w:ascii="仿宋" w:eastAsia="仿宋"/>
          <w:color w:val="000000"/>
          <w:sz w:val="32"/>
          <w:szCs w:val="32"/>
        </w:rPr>
        <w:t>万元、</w:t>
      </w:r>
      <w:r>
        <w:rPr>
          <w:rFonts w:hint="eastAsia" w:ascii="仿宋" w:eastAsia="仿宋"/>
          <w:color w:val="000000"/>
          <w:sz w:val="32"/>
          <w:szCs w:val="32"/>
          <w:lang w:val="en-US" w:eastAsia="zh-CN"/>
        </w:rPr>
        <w:t>电费0.4万元、租赁费1.64</w:t>
      </w:r>
      <w:r>
        <w:rPr>
          <w:rFonts w:hint="eastAsia" w:ascii="仿宋" w:eastAsia="仿宋"/>
          <w:color w:val="000000"/>
          <w:sz w:val="32"/>
          <w:szCs w:val="32"/>
        </w:rPr>
        <w:t>万元。</w:t>
      </w:r>
    </w:p>
    <w:p w14:paraId="2FD128F5">
      <w:pPr>
        <w:pageBreakBefore w:val="0"/>
        <w:widowControl w:val="0"/>
        <w:kinsoku/>
        <w:wordWrap/>
        <w:overflowPunct/>
        <w:topLinePunct w:val="0"/>
        <w:bidi w:val="0"/>
        <w:spacing w:line="576" w:lineRule="exact"/>
        <w:ind w:firstLine="640"/>
        <w:outlineLvl w:val="1"/>
        <w:rPr>
          <w:rStyle w:val="22"/>
          <w:rFonts w:ascii="Times New Roman" w:hAnsi="Times New Roman" w:eastAsia="黑体" w:cs="Times New Roman"/>
          <w:b w:val="0"/>
        </w:rPr>
      </w:pPr>
      <w:r>
        <w:rPr>
          <w:rFonts w:ascii="Times New Roman" w:hAnsi="Times New Roman" w:eastAsia="黑体" w:cs="Times New Roman"/>
          <w:sz w:val="32"/>
          <w:szCs w:val="32"/>
        </w:rPr>
        <w:t>七、</w:t>
      </w:r>
      <w:r>
        <w:rPr>
          <w:rStyle w:val="22"/>
          <w:rFonts w:ascii="Times New Roman" w:hAnsi="Times New Roman" w:eastAsia="黑体" w:cs="Times New Roman"/>
        </w:rPr>
        <w:t>“</w:t>
      </w:r>
      <w:r>
        <w:rPr>
          <w:rStyle w:val="22"/>
          <w:rFonts w:ascii="Times New Roman" w:hAnsi="Times New Roman" w:eastAsia="黑体" w:cs="Times New Roman"/>
          <w:b w:val="0"/>
        </w:rPr>
        <w:t>三公”经费财政拨款支出决算情况说明</w:t>
      </w:r>
    </w:p>
    <w:p w14:paraId="71CD506D">
      <w:pPr>
        <w:pageBreakBefore w:val="0"/>
        <w:widowControl w:val="0"/>
        <w:kinsoku/>
        <w:wordWrap/>
        <w:overflowPunct/>
        <w:topLinePunct w:val="0"/>
        <w:bidi w:val="0"/>
        <w:spacing w:line="576" w:lineRule="exact"/>
        <w:ind w:firstLine="640"/>
        <w:outlineLvl w:val="2"/>
        <w:rPr>
          <w:rFonts w:ascii="Times New Roman" w:hAnsi="Times New Roman" w:eastAsia="仿宋" w:cs="Times New Roman"/>
          <w:b/>
          <w:sz w:val="32"/>
          <w:szCs w:val="32"/>
        </w:rPr>
      </w:pPr>
      <w:r>
        <w:rPr>
          <w:rFonts w:ascii="Times New Roman" w:hAnsi="Times New Roman" w:eastAsia="仿宋" w:cs="Times New Roman"/>
          <w:b/>
          <w:sz w:val="32"/>
          <w:szCs w:val="32"/>
        </w:rPr>
        <w:t>（一）“三公”经费财政拨款支出决算总体情况说明</w:t>
      </w:r>
    </w:p>
    <w:p w14:paraId="6D448B0C">
      <w:pPr>
        <w:pageBreakBefore w:val="0"/>
        <w:widowControl w:val="0"/>
        <w:kinsoku/>
        <w:wordWrap/>
        <w:overflowPunct/>
        <w:topLinePunct w:val="0"/>
        <w:bidi w:val="0"/>
        <w:spacing w:line="576" w:lineRule="exact"/>
        <w:ind w:firstLine="640"/>
        <w:rPr>
          <w:rFonts w:ascii="Times New Roman" w:hAnsi="Times New Roman" w:eastAsia="仿宋_GB2312" w:cs="Times New Roman"/>
          <w:sz w:val="32"/>
          <w:szCs w:val="32"/>
        </w:rPr>
      </w:pPr>
      <w:r>
        <w:rPr>
          <w:rFonts w:ascii="仿宋" w:eastAsia="仿宋"/>
          <w:color w:val="000000"/>
          <w:sz w:val="32"/>
          <w:szCs w:val="32"/>
        </w:rPr>
        <w:t>202</w:t>
      </w:r>
      <w:r>
        <w:rPr>
          <w:rFonts w:hint="eastAsia" w:ascii="仿宋" w:eastAsia="仿宋"/>
          <w:color w:val="000000"/>
          <w:sz w:val="32"/>
          <w:szCs w:val="32"/>
          <w:lang w:val="en-US" w:eastAsia="zh-CN"/>
        </w:rPr>
        <w:t>4</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0</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14:paraId="1C8DFD31">
      <w:pPr>
        <w:pageBreakBefore w:val="0"/>
        <w:widowControl w:val="0"/>
        <w:kinsoku/>
        <w:wordWrap/>
        <w:overflowPunct/>
        <w:topLinePunct w:val="0"/>
        <w:bidi w:val="0"/>
        <w:spacing w:line="576" w:lineRule="exact"/>
        <w:ind w:firstLine="640"/>
        <w:outlineLvl w:val="2"/>
        <w:rPr>
          <w:rFonts w:ascii="Times New Roman" w:hAnsi="Times New Roman" w:eastAsia="仿宋" w:cs="Times New Roman"/>
          <w:b/>
          <w:sz w:val="32"/>
          <w:szCs w:val="32"/>
        </w:rPr>
      </w:pPr>
      <w:r>
        <w:rPr>
          <w:rFonts w:ascii="Times New Roman" w:hAnsi="Times New Roman" w:eastAsia="仿宋" w:cs="Times New Roman"/>
          <w:b/>
          <w:sz w:val="32"/>
          <w:szCs w:val="32"/>
        </w:rPr>
        <w:t>（二）“三公”经费财政拨款支出决算具体情况说明</w:t>
      </w:r>
    </w:p>
    <w:p w14:paraId="033965E6">
      <w:pPr>
        <w:spacing w:line="600" w:lineRule="exact"/>
        <w:ind w:firstLine="640"/>
        <w:rPr>
          <w:rFonts w:hint="eastAsia"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lang w:val="en-US" w:eastAsia="zh-CN"/>
        </w:rPr>
        <w:t>4</w:t>
      </w:r>
      <w:r>
        <w:rPr>
          <w:rFonts w:hint="eastAsia" w:ascii="仿宋" w:eastAsia="仿宋"/>
          <w:color w:val="000000"/>
          <w:sz w:val="32"/>
          <w:szCs w:val="32"/>
        </w:rPr>
        <w:t>年“三公”经费财政拨款支出</w:t>
      </w:r>
      <w:r>
        <w:rPr>
          <w:rFonts w:hint="eastAsia" w:ascii="仿宋" w:eastAsia="仿宋"/>
          <w:sz w:val="32"/>
          <w:szCs w:val="32"/>
        </w:rPr>
        <w:t>决算</w:t>
      </w:r>
      <w:r>
        <w:rPr>
          <w:rFonts w:hint="eastAsia" w:ascii="仿宋" w:eastAsia="仿宋"/>
          <w:sz w:val="32"/>
          <w:szCs w:val="32"/>
          <w:lang w:val="en-US" w:eastAsia="zh-CN"/>
        </w:rPr>
        <w:t>0</w:t>
      </w:r>
      <w:r>
        <w:rPr>
          <w:rFonts w:hint="eastAsia" w:ascii="仿宋" w:eastAsia="仿宋"/>
          <w:sz w:val="32"/>
          <w:szCs w:val="32"/>
        </w:rPr>
        <w:t>万元</w:t>
      </w:r>
      <w:r>
        <w:rPr>
          <w:rFonts w:hint="eastAsia" w:ascii="仿宋" w:eastAsia="仿宋"/>
          <w:color w:val="000000"/>
          <w:sz w:val="32"/>
          <w:szCs w:val="32"/>
        </w:rPr>
        <w:t>，其中：因公出国（境）费支出决算</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。具体情况如下：</w:t>
      </w:r>
    </w:p>
    <w:p w14:paraId="0356B8EC">
      <w:pPr>
        <w:pStyle w:val="2"/>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59264" behindDoc="1" locked="0" layoutInCell="1" allowOverlap="1">
            <wp:simplePos x="0" y="0"/>
            <wp:positionH relativeFrom="column">
              <wp:posOffset>425450</wp:posOffset>
            </wp:positionH>
            <wp:positionV relativeFrom="paragraph">
              <wp:posOffset>6350</wp:posOffset>
            </wp:positionV>
            <wp:extent cx="4138295" cy="1816100"/>
            <wp:effectExtent l="0" t="0" r="0" b="0"/>
            <wp:wrapNone/>
            <wp:docPr id="18"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36B6F43C">
      <w:pPr>
        <w:rPr>
          <w:rFonts w:hint="eastAsia" w:ascii="仿宋" w:eastAsia="仿宋"/>
          <w:color w:val="000000"/>
          <w:sz w:val="32"/>
          <w:szCs w:val="32"/>
        </w:rPr>
      </w:pPr>
    </w:p>
    <w:p w14:paraId="2F07BAD4">
      <w:pPr>
        <w:pStyle w:val="2"/>
        <w:rPr>
          <w:rFonts w:hint="eastAsia" w:ascii="仿宋" w:eastAsia="仿宋"/>
          <w:color w:val="000000"/>
          <w:sz w:val="32"/>
          <w:szCs w:val="32"/>
        </w:rPr>
      </w:pPr>
    </w:p>
    <w:p w14:paraId="0FB535FA">
      <w:pPr>
        <w:rPr>
          <w:rFonts w:hint="eastAsia"/>
        </w:rPr>
      </w:pPr>
    </w:p>
    <w:p w14:paraId="383DD155">
      <w:pPr>
        <w:spacing w:line="600" w:lineRule="exact"/>
        <w:ind w:firstLine="640"/>
        <w:rPr>
          <w:rFonts w:hint="eastAsia" w:ascii="仿宋_GB2312" w:eastAsia="仿宋_GB2312"/>
          <w:b/>
          <w:color w:val="000000"/>
          <w:sz w:val="32"/>
          <w:szCs w:val="32"/>
        </w:rPr>
      </w:pPr>
    </w:p>
    <w:p w14:paraId="5DB2C228">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9"/>
          <w:rFonts w:hint="eastAsia" w:ascii="仿宋" w:eastAsia="仿宋"/>
          <w:bCs/>
          <w:color w:val="000000"/>
          <w:sz w:val="32"/>
          <w:szCs w:val="32"/>
        </w:rPr>
        <w:t>完成预算</w:t>
      </w:r>
      <w:r>
        <w:rPr>
          <w:rStyle w:val="19"/>
          <w:rFonts w:ascii="仿宋" w:eastAsia="仿宋"/>
          <w:bCs/>
          <w:color w:val="000000"/>
          <w:sz w:val="32"/>
          <w:szCs w:val="32"/>
        </w:rPr>
        <w:t>0%</w:t>
      </w:r>
      <w:r>
        <w:rPr>
          <w:rStyle w:val="19"/>
          <w:rFonts w:hint="eastAsia" w:ascii="仿宋" w:eastAsia="仿宋"/>
          <w:bCs/>
          <w:color w:val="000000"/>
          <w:sz w:val="32"/>
          <w:szCs w:val="32"/>
        </w:rPr>
        <w:t>。</w:t>
      </w:r>
      <w:r>
        <w:rPr>
          <w:rFonts w:hint="eastAsia" w:ascii="仿宋_GB2312" w:eastAsia="仿宋_GB2312"/>
          <w:sz w:val="32"/>
          <w:szCs w:val="32"/>
        </w:rPr>
        <w:t>全年安排因公出国（境）团组</w:t>
      </w:r>
      <w:r>
        <w:rPr>
          <w:rFonts w:ascii="仿宋_GB2312" w:eastAsia="仿宋_GB2312"/>
          <w:sz w:val="32"/>
          <w:szCs w:val="32"/>
        </w:rPr>
        <w:t>0</w:t>
      </w:r>
      <w:r>
        <w:rPr>
          <w:rFonts w:hint="eastAsia" w:ascii="仿宋_GB2312" w:eastAsia="仿宋_GB2312"/>
          <w:sz w:val="32"/>
          <w:szCs w:val="32"/>
        </w:rPr>
        <w:t>次，出国（境）</w:t>
      </w:r>
      <w:r>
        <w:rPr>
          <w:rFonts w:ascii="仿宋_GB2312" w:eastAsia="仿宋_GB2312"/>
          <w:sz w:val="32"/>
          <w:szCs w:val="32"/>
        </w:rPr>
        <w:t>0</w:t>
      </w:r>
      <w:r>
        <w:rPr>
          <w:rFonts w:hint="eastAsia" w:ascii="仿宋_GB2312" w:eastAsia="仿宋_GB2312"/>
          <w:sz w:val="32"/>
          <w:szCs w:val="32"/>
        </w:rPr>
        <w:t>人。因</w:t>
      </w:r>
      <w:r>
        <w:rPr>
          <w:rFonts w:hint="eastAsia" w:ascii="仿宋_GB2312" w:eastAsia="仿宋_GB2312"/>
          <w:color w:val="000000"/>
          <w:sz w:val="32"/>
          <w:szCs w:val="32"/>
        </w:rPr>
        <w:t>公出国（境）支出决算比202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s="仿宋"/>
          <w:color w:val="000000"/>
          <w:sz w:val="32"/>
          <w:szCs w:val="32"/>
        </w:rPr>
        <w:t>增加</w:t>
      </w:r>
      <w:r>
        <w:rPr>
          <w:rFonts w:ascii="仿宋_GB2312" w:eastAsia="仿宋_GB2312" w:cs="仿宋"/>
          <w:color w:val="000000"/>
          <w:sz w:val="32"/>
          <w:szCs w:val="32"/>
        </w:rPr>
        <w:t>0</w:t>
      </w:r>
      <w:r>
        <w:rPr>
          <w:rFonts w:hint="eastAsia" w:ascii="仿宋_GB2312" w:eastAsia="仿宋_GB2312" w:cs="仿宋"/>
          <w:color w:val="000000"/>
          <w:sz w:val="32"/>
          <w:szCs w:val="32"/>
        </w:rPr>
        <w:t>万元。</w:t>
      </w:r>
    </w:p>
    <w:p w14:paraId="4CA4F616">
      <w:pPr>
        <w:spacing w:line="600" w:lineRule="exact"/>
        <w:ind w:firstLine="640"/>
        <w:rPr>
          <w:rFonts w:hint="eastAsia" w:ascii="仿宋_GB2312" w:eastAsia="仿宋_GB2312"/>
          <w:b/>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19"/>
          <w:rFonts w:hint="eastAsia" w:ascii="仿宋" w:eastAsia="仿宋"/>
          <w:bCs/>
          <w:color w:val="000000"/>
          <w:sz w:val="32"/>
          <w:szCs w:val="32"/>
        </w:rPr>
        <w:t>完成预算</w:t>
      </w:r>
      <w:r>
        <w:rPr>
          <w:rStyle w:val="19"/>
          <w:rFonts w:hint="eastAsia" w:ascii="仿宋" w:eastAsia="仿宋"/>
          <w:bCs/>
          <w:color w:val="000000"/>
          <w:sz w:val="32"/>
          <w:szCs w:val="32"/>
          <w:lang w:val="en-US" w:eastAsia="zh-CN"/>
        </w:rPr>
        <w:t>0</w:t>
      </w:r>
      <w:r>
        <w:rPr>
          <w:rStyle w:val="19"/>
          <w:rFonts w:ascii="仿宋" w:eastAsia="仿宋"/>
          <w:bCs/>
          <w:color w:val="000000"/>
          <w:sz w:val="32"/>
          <w:szCs w:val="32"/>
        </w:rPr>
        <w:t>%</w:t>
      </w:r>
      <w:r>
        <w:rPr>
          <w:rStyle w:val="19"/>
          <w:rFonts w:hint="eastAsia" w:ascii="仿宋" w:eastAsia="仿宋"/>
          <w:bCs/>
          <w:color w:val="000000"/>
          <w:sz w:val="32"/>
          <w:szCs w:val="32"/>
        </w:rPr>
        <w:t>。</w:t>
      </w:r>
      <w:r>
        <w:rPr>
          <w:rFonts w:hint="eastAsia" w:ascii="仿宋_GB2312" w:eastAsia="仿宋_GB2312"/>
          <w:color w:val="000000"/>
          <w:sz w:val="32"/>
          <w:szCs w:val="32"/>
        </w:rPr>
        <w:t>公务用车购置及运行维护费支出决算比202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w:t>
      </w:r>
      <w:r>
        <w:rPr>
          <w:rFonts w:hint="eastAsia" w:asci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w:t>
      </w:r>
    </w:p>
    <w:p w14:paraId="65B21395">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今年购置公务用车0辆</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辆，其中：部级领导干部用车</w:t>
      </w:r>
      <w:r>
        <w:rPr>
          <w:rFonts w:ascii="仿宋_GB2312" w:eastAsia="仿宋_GB2312"/>
          <w:color w:val="000000"/>
          <w:sz w:val="32"/>
          <w:szCs w:val="32"/>
        </w:rPr>
        <w:t>0</w:t>
      </w:r>
      <w:r>
        <w:rPr>
          <w:rFonts w:hint="eastAsia" w:ascii="仿宋_GB2312" w:eastAsia="仿宋_GB2312"/>
          <w:color w:val="000000"/>
          <w:sz w:val="32"/>
          <w:szCs w:val="32"/>
        </w:rPr>
        <w:t>辆、主要领导干部用车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辆、应急保障用车辆、执法执勤用车</w:t>
      </w:r>
      <w:r>
        <w:rPr>
          <w:rFonts w:ascii="仿宋_GB2312" w:eastAsia="仿宋_GB2312"/>
          <w:color w:val="000000"/>
          <w:sz w:val="32"/>
          <w:szCs w:val="32"/>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辆、离退休干部用车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14:paraId="1E2E0281">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0</w:t>
      </w:r>
      <w:r>
        <w:rPr>
          <w:rFonts w:hint="eastAsia" w:ascii="仿宋_GB2312" w:eastAsia="仿宋_GB2312"/>
          <w:sz w:val="32"/>
          <w:szCs w:val="32"/>
        </w:rPr>
        <w:t>万元。</w:t>
      </w:r>
    </w:p>
    <w:p w14:paraId="284AA2F0">
      <w:pPr>
        <w:spacing w:line="600" w:lineRule="exact"/>
        <w:ind w:firstLine="643" w:firstLineChars="200"/>
        <w:rPr>
          <w:rFonts w:hint="eastAsia" w:ascii="仿宋_GB2312" w:eastAsia="仿宋_GB2312"/>
          <w:color w:val="000000"/>
          <w:sz w:val="32"/>
          <w:szCs w:val="32"/>
          <w:lang w:val="en-US" w:eastAsia="zh-CN"/>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s="仿宋"/>
          <w:color w:val="000000"/>
          <w:sz w:val="32"/>
          <w:szCs w:val="32"/>
        </w:rPr>
        <w:t>公务接待费</w:t>
      </w:r>
      <w:r>
        <w:rPr>
          <w:rFonts w:hint="eastAsia" w:ascii="仿宋_GB2312" w:eastAsia="仿宋_GB2312" w:cs="仿宋"/>
          <w:color w:val="000000"/>
          <w:sz w:val="32"/>
          <w:szCs w:val="32"/>
          <w:lang w:val="en-US" w:eastAsia="zh-CN"/>
        </w:rPr>
        <w:t>0</w:t>
      </w:r>
      <w:r>
        <w:rPr>
          <w:rFonts w:hint="eastAsia" w:ascii="仿宋_GB2312" w:eastAsia="仿宋_GB2312" w:cs="仿宋"/>
          <w:color w:val="000000"/>
          <w:sz w:val="32"/>
          <w:szCs w:val="32"/>
        </w:rPr>
        <w:t>万元</w:t>
      </w:r>
      <w:r>
        <w:rPr>
          <w:rFonts w:hint="eastAsia" w:ascii="仿宋_GB2312" w:eastAsia="仿宋_GB2312" w:cs="仿宋"/>
          <w:color w:val="000000"/>
          <w:sz w:val="32"/>
          <w:szCs w:val="32"/>
          <w:lang w:eastAsia="zh-CN"/>
        </w:rPr>
        <w:t>。</w:t>
      </w:r>
    </w:p>
    <w:p w14:paraId="2C34FD75">
      <w:pPr>
        <w:pageBreakBefore w:val="0"/>
        <w:widowControl w:val="0"/>
        <w:kinsoku/>
        <w:wordWrap/>
        <w:overflowPunct/>
        <w:topLinePunct w:val="0"/>
        <w:bidi w:val="0"/>
        <w:spacing w:line="576" w:lineRule="exact"/>
        <w:ind w:firstLine="640"/>
        <w:outlineLvl w:val="1"/>
        <w:rPr>
          <w:rFonts w:hint="eastAsia" w:ascii="仿宋_GB2312" w:eastAsia="仿宋_GB2312"/>
          <w:color w:val="000000"/>
          <w:sz w:val="32"/>
          <w:szCs w:val="32"/>
        </w:rPr>
      </w:pPr>
      <w:r>
        <w:rPr>
          <w:rFonts w:hint="eastAsia" w:ascii="仿宋" w:eastAsia="仿宋"/>
          <w:b/>
          <w:color w:val="000000"/>
          <w:sz w:val="32"/>
          <w:szCs w:val="32"/>
        </w:rPr>
        <w:t>外事接待支出</w:t>
      </w:r>
      <w:r>
        <w:rPr>
          <w:rFonts w:asci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p>
    <w:p w14:paraId="31E1D27A">
      <w:pPr>
        <w:pageBreakBefore w:val="0"/>
        <w:widowControl w:val="0"/>
        <w:kinsoku/>
        <w:wordWrap/>
        <w:overflowPunct/>
        <w:topLinePunct w:val="0"/>
        <w:bidi w:val="0"/>
        <w:spacing w:line="576" w:lineRule="exact"/>
        <w:ind w:firstLine="640"/>
        <w:outlineLvl w:val="1"/>
        <w:rPr>
          <w:rStyle w:val="22"/>
          <w:rFonts w:ascii="Times New Roman" w:hAnsi="Times New Roman" w:eastAsia="黑体" w:cs="Times New Roman"/>
        </w:rPr>
      </w:pPr>
      <w:r>
        <w:rPr>
          <w:rFonts w:ascii="Times New Roman" w:hAnsi="Times New Roman" w:eastAsia="黑体" w:cs="Times New Roman"/>
          <w:sz w:val="32"/>
          <w:szCs w:val="32"/>
        </w:rPr>
        <w:t>八、</w:t>
      </w:r>
      <w:r>
        <w:rPr>
          <w:rStyle w:val="22"/>
          <w:rFonts w:ascii="Times New Roman" w:hAnsi="Times New Roman" w:eastAsia="黑体" w:cs="Times New Roman"/>
          <w:b w:val="0"/>
        </w:rPr>
        <w:t>政府性基金预算支出决算情况说明</w:t>
      </w:r>
    </w:p>
    <w:p w14:paraId="19890B7A">
      <w:pPr>
        <w:pageBreakBefore w:val="0"/>
        <w:widowControl w:val="0"/>
        <w:kinsoku/>
        <w:wordWrap/>
        <w:overflowPunct/>
        <w:topLinePunct w:val="0"/>
        <w:bidi w:val="0"/>
        <w:spacing w:line="576"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ascii="Times New Roman" w:hAnsi="Times New Roman" w:eastAsia="仿宋_GB2312" w:cs="Times New Roman"/>
          <w:sz w:val="32"/>
          <w:szCs w:val="32"/>
        </w:rPr>
        <w:t>年政府性基金预算财政拨款支出0万元。</w:t>
      </w:r>
    </w:p>
    <w:p w14:paraId="2B5DB123">
      <w:pPr>
        <w:pageBreakBefore w:val="0"/>
        <w:widowControl w:val="0"/>
        <w:numPr>
          <w:ilvl w:val="0"/>
          <w:numId w:val="4"/>
        </w:numPr>
        <w:kinsoku/>
        <w:wordWrap/>
        <w:overflowPunct/>
        <w:topLinePunct w:val="0"/>
        <w:bidi w:val="0"/>
        <w:spacing w:line="576" w:lineRule="exact"/>
        <w:ind w:left="0" w:firstLine="640"/>
        <w:outlineLvl w:val="1"/>
        <w:rPr>
          <w:rStyle w:val="22"/>
          <w:rFonts w:ascii="Times New Roman" w:hAnsi="Times New Roman" w:eastAsia="黑体" w:cs="Times New Roman"/>
          <w:b w:val="0"/>
        </w:rPr>
      </w:pPr>
      <w:r>
        <w:rPr>
          <w:rStyle w:val="22"/>
          <w:rFonts w:ascii="Times New Roman" w:hAnsi="Times New Roman" w:eastAsia="黑体" w:cs="Times New Roman"/>
          <w:b w:val="0"/>
        </w:rPr>
        <w:t>国有资本经营预算支出决算情况说明</w:t>
      </w:r>
    </w:p>
    <w:p w14:paraId="3A5770EF">
      <w:pPr>
        <w:pageBreakBefore w:val="0"/>
        <w:widowControl w:val="0"/>
        <w:kinsoku/>
        <w:wordWrap/>
        <w:overflowPunct/>
        <w:topLinePunct w:val="0"/>
        <w:bidi w:val="0"/>
        <w:spacing w:line="576" w:lineRule="exact"/>
        <w:ind w:firstLine="640"/>
        <w:rPr>
          <w:rFonts w:ascii="Times New Roman" w:hAnsi="Times New Roman" w:eastAsia="方正小标宋简体" w:cs="Times New Roman"/>
          <w:sz w:val="44"/>
          <w:szCs w:val="44"/>
        </w:rPr>
      </w:pPr>
      <w:r>
        <w:rPr>
          <w:rFonts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ascii="Times New Roman" w:hAnsi="Times New Roman" w:eastAsia="仿宋_GB2312" w:cs="Times New Roman"/>
          <w:sz w:val="32"/>
          <w:szCs w:val="32"/>
        </w:rPr>
        <w:t>年国有资本经营预算财政拨款支出0万元。</w:t>
      </w:r>
    </w:p>
    <w:p w14:paraId="532AF83F">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sz w:val="32"/>
          <w:szCs w:val="32"/>
        </w:rPr>
      </w:pPr>
      <w:r>
        <w:rPr>
          <w:rFonts w:ascii="Times New Roman" w:hAnsi="Times New Roman" w:eastAsia="仿宋" w:cs="Times New Roman"/>
          <w:b/>
          <w:sz w:val="32"/>
          <w:szCs w:val="32"/>
        </w:rPr>
        <w:t>（一）机关运行经费支出情况</w:t>
      </w:r>
    </w:p>
    <w:p w14:paraId="13D97603">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eastAsia="zh-CN"/>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年，我局运行经费支出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14:paraId="5FC18ED4">
      <w:pPr>
        <w:pageBreakBefore w:val="0"/>
        <w:widowControl w:val="0"/>
        <w:kinsoku/>
        <w:wordWrap/>
        <w:overflowPunct/>
        <w:topLinePunct w:val="0"/>
        <w:autoSpaceDE w:val="0"/>
        <w:autoSpaceDN w:val="0"/>
        <w:bidi w:val="0"/>
        <w:adjustRightInd w:val="0"/>
        <w:spacing w:line="576" w:lineRule="exact"/>
        <w:ind w:firstLine="643" w:firstLineChars="200"/>
        <w:jc w:val="left"/>
        <w:outlineLvl w:val="2"/>
        <w:rPr>
          <w:rFonts w:ascii="Times New Roman" w:hAnsi="Times New Roman" w:eastAsia="仿宋" w:cs="Times New Roman"/>
          <w:b/>
          <w:sz w:val="32"/>
          <w:szCs w:val="32"/>
        </w:rPr>
      </w:pPr>
      <w:r>
        <w:rPr>
          <w:rFonts w:ascii="Times New Roman" w:hAnsi="Times New Roman" w:eastAsia="仿宋" w:cs="Times New Roman"/>
          <w:b/>
          <w:sz w:val="32"/>
          <w:szCs w:val="32"/>
        </w:rPr>
        <w:t>（二）政府采购支出情况</w:t>
      </w:r>
    </w:p>
    <w:p w14:paraId="6EAEB1E8">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政府采购工程支出0万元、政府采购服务支出0万元</w:t>
      </w:r>
      <w:r>
        <w:rPr>
          <w:rFonts w:hint="eastAsia" w:ascii="仿宋_GB2312" w:eastAsia="仿宋_GB2312"/>
          <w:color w:val="000000"/>
          <w:sz w:val="32"/>
          <w:szCs w:val="32"/>
          <w:lang w:eastAsia="zh-CN"/>
        </w:rPr>
        <w:t>。</w:t>
      </w:r>
    </w:p>
    <w:p w14:paraId="5B01CFAA">
      <w:pPr>
        <w:pageBreakBefore w:val="0"/>
        <w:widowControl w:val="0"/>
        <w:kinsoku/>
        <w:wordWrap/>
        <w:overflowPunct/>
        <w:topLinePunct w:val="0"/>
        <w:autoSpaceDE w:val="0"/>
        <w:autoSpaceDN w:val="0"/>
        <w:bidi w:val="0"/>
        <w:adjustRightInd w:val="0"/>
        <w:spacing w:line="576" w:lineRule="exact"/>
        <w:ind w:firstLine="643" w:firstLineChars="200"/>
        <w:jc w:val="left"/>
        <w:outlineLvl w:val="2"/>
        <w:rPr>
          <w:rFonts w:ascii="Times New Roman" w:hAnsi="Times New Roman" w:eastAsia="仿宋" w:cs="Times New Roman"/>
          <w:b/>
          <w:sz w:val="32"/>
          <w:szCs w:val="32"/>
        </w:rPr>
      </w:pPr>
      <w:r>
        <w:rPr>
          <w:rFonts w:ascii="Times New Roman" w:hAnsi="Times New Roman" w:eastAsia="仿宋" w:cs="Times New Roman"/>
          <w:b/>
          <w:sz w:val="32"/>
          <w:szCs w:val="32"/>
        </w:rPr>
        <w:t>（三）国有资产占有使用情况</w:t>
      </w:r>
    </w:p>
    <w:p w14:paraId="63D5F08D">
      <w:pPr>
        <w:pageBreakBefore w:val="0"/>
        <w:widowControl w:val="0"/>
        <w:kinsoku/>
        <w:wordWrap/>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为今年新购置公务用车</w:t>
      </w:r>
      <w:r>
        <w:rPr>
          <w:rFonts w:hint="eastAsia" w:ascii="仿宋_GB2312" w:eastAsia="仿宋_GB2312"/>
          <w:color w:val="000000"/>
          <w:sz w:val="32"/>
          <w:szCs w:val="32"/>
        </w:rPr>
        <w:t>。</w:t>
      </w:r>
    </w:p>
    <w:p w14:paraId="115B0B65">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p>
    <w:p w14:paraId="7C580C72">
      <w:pPr>
        <w:pStyle w:val="2"/>
        <w:ind w:left="840" w:leftChars="300" w:hanging="210" w:hangingChars="100"/>
        <w:rPr>
          <w:rFonts w:hint="eastAsia" w:eastAsia="宋体"/>
          <w:lang w:eastAsia="zh-CN"/>
        </w:rPr>
      </w:pPr>
      <w:r>
        <w:rPr>
          <w:rFonts w:hint="eastAsia"/>
          <w:lang w:eastAsia="zh-CN"/>
        </w:rPr>
        <w:t>无</w:t>
      </w:r>
    </w:p>
    <w:p w14:paraId="199DA795">
      <w:pPr>
        <w:pStyle w:val="2"/>
        <w:rPr>
          <w:rFonts w:hint="eastAsia" w:ascii="仿宋_GB2312" w:eastAsia="仿宋_GB2312"/>
          <w:color w:val="000000"/>
          <w:sz w:val="32"/>
          <w:szCs w:val="32"/>
        </w:rPr>
      </w:pPr>
    </w:p>
    <w:p w14:paraId="40AC8792">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4EE3D26D">
      <w:pPr>
        <w:numPr>
          <w:ilvl w:val="0"/>
          <w:numId w:val="5"/>
        </w:numPr>
        <w:spacing w:line="600" w:lineRule="exact"/>
        <w:jc w:val="center"/>
        <w:outlineLvl w:val="0"/>
        <w:rPr>
          <w:rFonts w:hint="eastAsia" w:ascii="Times New Roman" w:hAnsi="Times New Roman" w:eastAsia="黑体"/>
          <w:color w:val="auto"/>
          <w:sz w:val="44"/>
          <w:szCs w:val="44"/>
          <w:highlight w:val="none"/>
        </w:rPr>
      </w:pPr>
      <w:bookmarkStart w:id="16" w:name="_Toc15396613"/>
      <w:bookmarkStart w:id="17" w:name="_Toc15377225"/>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16"/>
      <w:bookmarkEnd w:id="17"/>
    </w:p>
    <w:p w14:paraId="3FB8E611">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1.财政拨款收入：指单位从同级财政部门取得的财政预算资金。</w:t>
      </w:r>
    </w:p>
    <w:p w14:paraId="00559791">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2.事业收入：指事业单位开展专业业务活动及辅助活动取得的收入。</w:t>
      </w:r>
    </w:p>
    <w:p w14:paraId="6A8AC20C">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3.经营收入：指事业单位在专业业务活动及其辅助活动之外开展非独立核算经营活动取得的收入</w:t>
      </w:r>
    </w:p>
    <w:p w14:paraId="3AD4A5FC">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4.其他收入：指单位取得的除上述收入以外的各项收入。主要是利息收入等。 </w:t>
      </w:r>
    </w:p>
    <w:p w14:paraId="6E7473A7">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5.使用非财政拨款结余：指事业单位使用以前年度积累的非财政拨款结余弥补当年收支差额的金额。 </w:t>
      </w:r>
    </w:p>
    <w:p w14:paraId="70AB205F">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6.年初结转和结余：指以前年度尚未完成、结转到本年按有关规定继续使用的资金。 </w:t>
      </w:r>
    </w:p>
    <w:p w14:paraId="168E323F">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7.结余分配：指事业单位按照会计制度规定缴纳的所得税、提取的专用结余以及转入非财政拨款结余的金额等。</w:t>
      </w:r>
    </w:p>
    <w:p w14:paraId="0CCAEACE">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8、年末结转和结余：指单位按有关规定结转到下年或以后年度继续使用的资金。</w:t>
      </w:r>
    </w:p>
    <w:p w14:paraId="1487C896">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w:t>
      </w:r>
      <w:r>
        <w:rPr>
          <w:rFonts w:ascii="Times New Roman" w:hAnsi="Times New Roman" w:eastAsia="仿宋_GB2312" w:cs="Times New Roman"/>
          <w:bCs/>
          <w:kern w:val="0"/>
          <w:sz w:val="32"/>
          <w:szCs w:val="32"/>
        </w:rPr>
        <w:t>一般公共服务：行政运行</w:t>
      </w:r>
      <w:r>
        <w:rPr>
          <w:rFonts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反映党委办公厅（室）及相关机构的支出；一般行政管理事务</w:t>
      </w:r>
      <w:r>
        <w:rPr>
          <w:rFonts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反映行政单位（包括实行公务员管理的事业单位）未单独设置项级科目的其他项目支出。</w:t>
      </w:r>
    </w:p>
    <w:p w14:paraId="6A3AB960">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w:t>
      </w:r>
      <w:r>
        <w:rPr>
          <w:rFonts w:ascii="Times New Roman" w:hAnsi="Times New Roman" w:eastAsia="仿宋_GB2312" w:cs="Times New Roman"/>
          <w:bCs/>
          <w:kern w:val="0"/>
          <w:sz w:val="32"/>
          <w:szCs w:val="32"/>
        </w:rPr>
        <w:t>社会保障和就业：反映政府在社会保障与就业方面的支出</w:t>
      </w:r>
      <w:r>
        <w:rPr>
          <w:rFonts w:ascii="Times New Roman" w:hAnsi="Times New Roman" w:eastAsia="仿宋_GB2312" w:cs="Times New Roman"/>
          <w:bCs/>
          <w:kern w:val="0"/>
          <w:sz w:val="32"/>
          <w:szCs w:val="32"/>
          <w:lang w:eastAsia="zh-CN"/>
        </w:rPr>
        <w:t>。</w:t>
      </w:r>
    </w:p>
    <w:p w14:paraId="6BBADDBF">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w:t>
      </w:r>
      <w:r>
        <w:rPr>
          <w:rFonts w:ascii="Times New Roman" w:hAnsi="Times New Roman" w:eastAsia="仿宋_GB2312" w:cs="Times New Roman"/>
          <w:bCs/>
          <w:sz w:val="32"/>
          <w:szCs w:val="32"/>
        </w:rPr>
        <w:t>医疗卫生与计划生育：反映政府医疗卫生计划生育管理方面的支出</w:t>
      </w:r>
      <w:r>
        <w:rPr>
          <w:rFonts w:ascii="Times New Roman" w:hAnsi="Times New Roman" w:eastAsia="仿宋_GB2312" w:cs="Times New Roman"/>
          <w:bCs/>
          <w:sz w:val="32"/>
          <w:szCs w:val="32"/>
          <w:lang w:eastAsia="zh-CN"/>
        </w:rPr>
        <w:t>。</w:t>
      </w:r>
    </w:p>
    <w:p w14:paraId="5F6D4AFE">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12.住房保障支出：集中反映政府用于住房方面的支出。</w:t>
      </w:r>
    </w:p>
    <w:p w14:paraId="3281ADAD">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13.基本支出：指为保障机构正常运转、完成日常工作任务而发生的人员支出和公用支出。</w:t>
      </w:r>
    </w:p>
    <w:p w14:paraId="1B6B8D7F">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14.项目支出：指在基本支出之外为完成特定行政任务和事业发展目标所发生的支出。 </w:t>
      </w:r>
    </w:p>
    <w:p w14:paraId="73203741">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15.经营支出：指事业单位在专业业务活动及其辅助活动之外开展非独立核算经营活动发生的支出。</w:t>
      </w:r>
    </w:p>
    <w:p w14:paraId="3496D36A">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B19226C">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8F6ED9F">
      <w:pPr>
        <w:spacing w:line="600" w:lineRule="exact"/>
        <w:ind w:firstLine="2640" w:firstLineChars="600"/>
        <w:jc w:val="both"/>
        <w:rPr>
          <w:rFonts w:hint="eastAsia" w:ascii="Times New Roman" w:hAnsi="Times New Roman" w:eastAsia="黑体" w:cs="黑体"/>
          <w:color w:val="FF0000"/>
          <w:sz w:val="32"/>
          <w:szCs w:val="32"/>
          <w:highlight w:val="none"/>
        </w:rPr>
      </w:pPr>
      <w:bookmarkStart w:id="18" w:name="_Toc15396614"/>
      <w:bookmarkStart w:id="19" w:name="_Toc15377226"/>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18"/>
    </w:p>
    <w:p w14:paraId="0983362F">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11590595">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hAnsi="Times New Roman" w:eastAsia="方正小标宋简体" w:cs="Times New Roman"/>
          <w:b w:val="0"/>
          <w:bCs/>
          <w:sz w:val="44"/>
          <w:szCs w:val="44"/>
          <w:highlight w:val="none"/>
          <w:shd w:val="clear" w:color="auto" w:fill="FFFFFF"/>
        </w:rPr>
      </w:pPr>
    </w:p>
    <w:p w14:paraId="784A4FA3">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hAnsi="Times New Roman" w:eastAsia="方正小标宋简体" w:cs="Times New Roman"/>
          <w:b w:val="0"/>
          <w:bCs/>
          <w:sz w:val="44"/>
          <w:szCs w:val="44"/>
          <w:highlight w:val="none"/>
          <w:shd w:val="clear" w:color="auto" w:fill="FFFFFF"/>
        </w:rPr>
      </w:pPr>
      <w:r>
        <w:rPr>
          <w:rFonts w:ascii="Times New Roman" w:hAnsi="Times New Roman" w:eastAsia="方正小标宋简体" w:cs="Times New Roman"/>
          <w:b w:val="0"/>
          <w:bCs/>
          <w:sz w:val="44"/>
          <w:szCs w:val="44"/>
          <w:highlight w:val="none"/>
          <w:shd w:val="clear" w:color="auto" w:fill="FFFFFF"/>
        </w:rPr>
        <w:t>部门</w:t>
      </w:r>
      <w:r>
        <w:rPr>
          <w:rFonts w:ascii="Times New Roman" w:hAnsi="Times New Roman" w:eastAsia="方正小标宋简体" w:cs="Times New Roman"/>
          <w:b w:val="0"/>
          <w:bCs/>
          <w:sz w:val="44"/>
          <w:szCs w:val="44"/>
          <w:highlight w:val="none"/>
          <w:shd w:val="clear" w:color="auto" w:fill="FFFFFF"/>
          <w:lang w:eastAsia="zh-CN"/>
        </w:rPr>
        <w:t>预算</w:t>
      </w:r>
      <w:r>
        <w:rPr>
          <w:rFonts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ascii="Times New Roman" w:hAnsi="Times New Roman" w:eastAsia="方正小标宋简体" w:cs="Times New Roman"/>
          <w:b w:val="0"/>
          <w:bCs/>
          <w:sz w:val="44"/>
          <w:szCs w:val="44"/>
          <w:highlight w:val="none"/>
          <w:shd w:val="clear" w:color="auto" w:fill="FFFFFF"/>
        </w:rPr>
        <w:t>报告</w:t>
      </w:r>
    </w:p>
    <w:p w14:paraId="7F666B66">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sz w:val="32"/>
          <w:szCs w:val="32"/>
        </w:rPr>
      </w:pPr>
      <w:r>
        <w:rPr>
          <w:rFonts w:hint="eastAsia" w:ascii="宋体" w:eastAsia="宋体" w:cs="宋体"/>
          <w:color w:val="000000"/>
          <w:kern w:val="0"/>
          <w:sz w:val="32"/>
          <w:szCs w:val="32"/>
          <w:highlight w:val="none"/>
          <w:shd w:val="clear" w:color="auto" w:fill="FFFFFF"/>
          <w:lang w:val="zh-CN"/>
        </w:rPr>
        <w:t>一、部门（单位）基本情况</w:t>
      </w:r>
    </w:p>
    <w:p w14:paraId="39123EC5">
      <w:pPr>
        <w:pageBreakBefore w:val="0"/>
        <w:widowControl w:val="0"/>
        <w:kinsoku/>
        <w:wordWrap/>
        <w:overflowPunct/>
        <w:topLinePunct w:val="0"/>
        <w:bidi w:val="0"/>
        <w:spacing w:line="576" w:lineRule="exact"/>
        <w:ind w:firstLine="643" w:firstLineChars="200"/>
        <w:rPr>
          <w:rFonts w:hint="eastAsia" w:ascii="宋体" w:eastAsia="宋体" w:cs="宋体"/>
          <w:sz w:val="32"/>
          <w:szCs w:val="32"/>
        </w:rPr>
      </w:pPr>
      <w:r>
        <w:rPr>
          <w:rFonts w:hint="eastAsia" w:ascii="宋体" w:eastAsia="宋体" w:cs="宋体"/>
          <w:b/>
          <w:bCs/>
          <w:color w:val="000000"/>
          <w:kern w:val="0"/>
          <w:sz w:val="32"/>
          <w:szCs w:val="32"/>
          <w:highlight w:val="none"/>
          <w:shd w:val="clear" w:color="auto" w:fill="FFFFFF"/>
          <w:lang w:val="zh-CN"/>
        </w:rPr>
        <w:t>（一）机构组成。</w:t>
      </w:r>
    </w:p>
    <w:p w14:paraId="07E08EEC">
      <w:pPr>
        <w:spacing w:line="560" w:lineRule="exact"/>
        <w:ind w:firstLine="640" w:firstLineChars="200"/>
        <w:rPr>
          <w:rFonts w:hint="eastAsia" w:ascii="宋体" w:eastAsia="宋体" w:cs="宋体"/>
          <w:sz w:val="32"/>
          <w:szCs w:val="32"/>
        </w:rPr>
      </w:pPr>
      <w:r>
        <w:rPr>
          <w:rFonts w:hint="eastAsia" w:ascii="宋体" w:eastAsia="宋体" w:cs="宋体"/>
          <w:sz w:val="32"/>
          <w:szCs w:val="32"/>
          <w:lang w:val="en-US" w:eastAsia="zh-CN"/>
        </w:rPr>
        <w:t>本</w:t>
      </w:r>
      <w:r>
        <w:rPr>
          <w:rFonts w:hint="eastAsia" w:ascii="宋体" w:eastAsia="宋体" w:cs="宋体"/>
          <w:sz w:val="32"/>
          <w:szCs w:val="32"/>
        </w:rPr>
        <w:t>单位202</w:t>
      </w:r>
      <w:r>
        <w:rPr>
          <w:rFonts w:hint="eastAsia" w:ascii="宋体" w:eastAsia="宋体" w:cs="宋体"/>
          <w:sz w:val="32"/>
          <w:szCs w:val="32"/>
          <w:lang w:val="en-US" w:eastAsia="zh-CN"/>
        </w:rPr>
        <w:t>4</w:t>
      </w:r>
      <w:r>
        <w:rPr>
          <w:rFonts w:hint="eastAsia" w:ascii="宋体" w:eastAsia="宋体" w:cs="宋体"/>
          <w:sz w:val="32"/>
          <w:szCs w:val="32"/>
        </w:rPr>
        <w:t>年有</w:t>
      </w:r>
      <w:r>
        <w:rPr>
          <w:rFonts w:hint="eastAsia" w:ascii="宋体" w:eastAsia="宋体" w:cs="宋体"/>
          <w:sz w:val="32"/>
          <w:szCs w:val="32"/>
          <w:lang w:val="en-US" w:eastAsia="zh-CN"/>
        </w:rPr>
        <w:t>2</w:t>
      </w:r>
      <w:r>
        <w:rPr>
          <w:rFonts w:hint="eastAsia" w:ascii="宋体" w:eastAsia="宋体" w:cs="宋体"/>
          <w:sz w:val="32"/>
          <w:szCs w:val="32"/>
        </w:rPr>
        <w:t>个独立核算机构，</w:t>
      </w:r>
      <w:r>
        <w:rPr>
          <w:rFonts w:hint="eastAsia" w:ascii="宋体" w:eastAsia="宋体" w:cs="宋体"/>
          <w:color w:val="auto"/>
          <w:sz w:val="32"/>
          <w:szCs w:val="32"/>
          <w:lang w:val="en-US" w:bidi="ar-SA"/>
        </w:rPr>
        <w:t>参照公务员法管理的事业单位</w:t>
      </w:r>
      <w:r>
        <w:rPr>
          <w:rFonts w:hint="eastAsia" w:ascii="宋体" w:eastAsia="宋体" w:cs="宋体"/>
          <w:color w:val="auto"/>
          <w:sz w:val="32"/>
          <w:szCs w:val="32"/>
          <w:lang w:val="en-US" w:eastAsia="zh-CN" w:bidi="ar-SA"/>
        </w:rPr>
        <w:t>1</w:t>
      </w:r>
      <w:r>
        <w:rPr>
          <w:rFonts w:hint="eastAsia" w:ascii="宋体" w:eastAsia="宋体" w:cs="宋体"/>
          <w:color w:val="auto"/>
          <w:sz w:val="32"/>
          <w:szCs w:val="32"/>
          <w:lang w:val="en-US" w:bidi="ar-SA"/>
        </w:rPr>
        <w:t>个，其他事业单位</w:t>
      </w:r>
      <w:r>
        <w:rPr>
          <w:rFonts w:hint="eastAsia" w:ascii="宋体" w:eastAsia="宋体" w:cs="宋体"/>
          <w:color w:val="auto"/>
          <w:sz w:val="32"/>
          <w:szCs w:val="32"/>
          <w:lang w:val="en-US" w:eastAsia="zh-CN" w:bidi="ar-SA"/>
        </w:rPr>
        <w:t>1</w:t>
      </w:r>
      <w:r>
        <w:rPr>
          <w:rFonts w:hint="eastAsia" w:ascii="宋体" w:eastAsia="宋体" w:cs="宋体"/>
          <w:color w:val="auto"/>
          <w:sz w:val="32"/>
          <w:szCs w:val="32"/>
          <w:lang w:val="en-US" w:bidi="ar-SA"/>
        </w:rPr>
        <w:t>个。主要包括：</w:t>
      </w:r>
      <w:r>
        <w:rPr>
          <w:rFonts w:hint="eastAsia" w:ascii="宋体" w:eastAsia="宋体" w:cs="宋体"/>
          <w:color w:val="auto"/>
          <w:sz w:val="32"/>
          <w:szCs w:val="32"/>
          <w:lang w:val="en-US" w:eastAsia="zh-CN" w:bidi="ar-SA"/>
        </w:rPr>
        <w:t>金川县佛教协会、金川县佛教教规教义培训</w:t>
      </w:r>
      <w:r>
        <w:rPr>
          <w:rFonts w:hint="eastAsia" w:ascii="宋体" w:eastAsia="宋体" w:cs="宋体"/>
          <w:color w:val="auto"/>
          <w:sz w:val="32"/>
          <w:szCs w:val="32"/>
          <w:lang w:val="en-US" w:bidi="ar-SA"/>
        </w:rPr>
        <w:t>中心。</w:t>
      </w:r>
    </w:p>
    <w:p w14:paraId="79AB2B3C">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宋体" w:eastAsia="宋体" w:cs="宋体"/>
          <w:b/>
          <w:bCs/>
          <w:color w:val="000000"/>
          <w:kern w:val="0"/>
          <w:sz w:val="32"/>
          <w:szCs w:val="32"/>
          <w:highlight w:val="none"/>
          <w:shd w:val="clear" w:color="auto" w:fill="FFFFFF"/>
          <w:lang w:val="zh-CN"/>
        </w:rPr>
      </w:pPr>
      <w:r>
        <w:rPr>
          <w:rFonts w:hint="eastAsia" w:ascii="宋体" w:eastAsia="宋体" w:cs="宋体"/>
          <w:b/>
          <w:bCs/>
          <w:color w:val="000000"/>
          <w:kern w:val="0"/>
          <w:sz w:val="32"/>
          <w:szCs w:val="32"/>
          <w:highlight w:val="none"/>
          <w:shd w:val="clear" w:color="auto" w:fill="FFFFFF"/>
          <w:lang w:val="zh-CN"/>
        </w:rPr>
        <w:t>（二）机构职能。</w:t>
      </w:r>
    </w:p>
    <w:p w14:paraId="077A2550">
      <w:pPr>
        <w:widowControl/>
        <w:shd w:val="clear" w:color="auto" w:fill="FFFFFF"/>
        <w:spacing w:line="620" w:lineRule="exact"/>
        <w:ind w:firstLine="643"/>
        <w:jc w:val="left"/>
        <w:rPr>
          <w:rFonts w:hint="eastAsia" w:ascii="宋体" w:eastAsia="宋体" w:cs="宋体"/>
          <w:color w:val="000000"/>
          <w:kern w:val="0"/>
          <w:sz w:val="32"/>
          <w:szCs w:val="32"/>
          <w:lang w:bidi="ar-SA"/>
        </w:rPr>
      </w:pPr>
      <w:r>
        <w:rPr>
          <w:rFonts w:hint="eastAsia" w:ascii="宋体" w:eastAsia="宋体" w:cs="宋体"/>
          <w:color w:val="000000"/>
          <w:kern w:val="0"/>
          <w:sz w:val="32"/>
          <w:szCs w:val="32"/>
          <w:lang w:bidi="ar-SA"/>
        </w:rPr>
        <w:t>本会是金川县各民族佛教徒联合的爱国团体和教务组织。其宗旨为：在人民政府领导下，团结全县各民族佛教徒，贯彻宗教信仰自由政策，维护佛教徒的合法权益，弘扬佛教教义，兴办佛教事业，发扬佛教优良传统，加强佛教自身建设；高举爱国爱教旗帜，团结各民族佛教徒，参加社会主义政治文明、物质文明和精神文明建设，倡导人间佛教思想，庄严国土，利乐有情，为构建社会主义和谐社会，为祖国统一，世界和平作贡献。</w:t>
      </w:r>
    </w:p>
    <w:p w14:paraId="4BBBAB72">
      <w:pPr>
        <w:pageBreakBefore w:val="0"/>
        <w:widowControl w:val="0"/>
        <w:numPr>
          <w:ilvl w:val="0"/>
          <w:numId w:val="6"/>
        </w:numPr>
        <w:kinsoku/>
        <w:wordWrap/>
        <w:overflowPunct/>
        <w:topLinePunct w:val="0"/>
        <w:bidi w:val="0"/>
        <w:spacing w:line="576" w:lineRule="exact"/>
        <w:ind w:left="0" w:firstLine="643" w:firstLineChars="200"/>
        <w:rPr>
          <w:rFonts w:hint="eastAsia" w:ascii="宋体" w:eastAsia="宋体" w:cs="宋体"/>
          <w:b/>
          <w:bCs/>
          <w:color w:val="000000"/>
          <w:kern w:val="0"/>
          <w:sz w:val="32"/>
          <w:szCs w:val="32"/>
          <w:highlight w:val="none"/>
          <w:shd w:val="clear" w:color="auto" w:fill="FFFFFF"/>
          <w:lang w:val="zh-CN"/>
        </w:rPr>
      </w:pPr>
      <w:r>
        <w:rPr>
          <w:rFonts w:hint="eastAsia" w:ascii="宋体" w:eastAsia="宋体" w:cs="宋体"/>
          <w:b/>
          <w:bCs/>
          <w:color w:val="000000"/>
          <w:kern w:val="0"/>
          <w:sz w:val="32"/>
          <w:szCs w:val="32"/>
          <w:highlight w:val="none"/>
          <w:shd w:val="clear" w:color="auto" w:fill="FFFFFF"/>
          <w:lang w:val="zh-CN"/>
        </w:rPr>
        <w:t>人员概况。</w:t>
      </w:r>
    </w:p>
    <w:p w14:paraId="4FB63AEA">
      <w:pPr>
        <w:pageBreakBefore w:val="0"/>
        <w:widowControl w:val="0"/>
        <w:kinsoku/>
        <w:wordWrap/>
        <w:overflowPunct/>
        <w:topLinePunct w:val="0"/>
        <w:bidi w:val="0"/>
        <w:spacing w:line="576" w:lineRule="exact"/>
        <w:ind w:left="0" w:firstLine="640" w:firstLineChars="200"/>
        <w:rPr>
          <w:rFonts w:hint="eastAsia" w:ascii="宋体" w:eastAsia="宋体" w:cs="宋体"/>
          <w:bCs/>
          <w:kern w:val="0"/>
          <w:sz w:val="32"/>
          <w:szCs w:val="32"/>
          <w:shd w:val="clear" w:color="auto" w:fill="FFFFFF"/>
          <w:lang w:val="zh-CN" w:eastAsia="zh-CN"/>
        </w:rPr>
      </w:pPr>
      <w:r>
        <w:rPr>
          <w:rFonts w:hint="eastAsia" w:ascii="宋体" w:eastAsia="宋体" w:cs="宋体"/>
          <w:sz w:val="32"/>
          <w:szCs w:val="32"/>
        </w:rPr>
        <w:t>截至202</w:t>
      </w:r>
      <w:r>
        <w:rPr>
          <w:rFonts w:hint="eastAsia" w:ascii="宋体" w:eastAsia="宋体" w:cs="宋体"/>
          <w:sz w:val="32"/>
          <w:szCs w:val="32"/>
          <w:lang w:val="en-US" w:eastAsia="zh-CN"/>
        </w:rPr>
        <w:t>4</w:t>
      </w:r>
      <w:r>
        <w:rPr>
          <w:rFonts w:hint="eastAsia" w:ascii="宋体" w:eastAsia="宋体" w:cs="宋体"/>
          <w:sz w:val="32"/>
          <w:szCs w:val="32"/>
        </w:rPr>
        <w:t>年末，本年由编办核定编制为</w:t>
      </w:r>
      <w:r>
        <w:rPr>
          <w:rFonts w:hint="eastAsia" w:ascii="宋体" w:eastAsia="宋体" w:cs="宋体"/>
          <w:sz w:val="32"/>
          <w:szCs w:val="32"/>
          <w:lang w:val="en-US" w:eastAsia="zh-CN"/>
        </w:rPr>
        <w:t>7</w:t>
      </w:r>
      <w:r>
        <w:rPr>
          <w:rFonts w:hint="eastAsia" w:ascii="宋体" w:eastAsia="宋体" w:cs="宋体"/>
          <w:sz w:val="32"/>
          <w:szCs w:val="32"/>
        </w:rPr>
        <w:t>个。年末实际在职在岗人员</w:t>
      </w:r>
      <w:r>
        <w:rPr>
          <w:rFonts w:hint="eastAsia" w:ascii="宋体" w:eastAsia="宋体" w:cs="宋体"/>
          <w:sz w:val="32"/>
          <w:szCs w:val="32"/>
          <w:lang w:val="en-US" w:eastAsia="zh-CN"/>
        </w:rPr>
        <w:t>7</w:t>
      </w:r>
      <w:r>
        <w:rPr>
          <w:rFonts w:hint="eastAsia" w:ascii="宋体" w:eastAsia="宋体" w:cs="宋体"/>
          <w:sz w:val="32"/>
          <w:szCs w:val="32"/>
        </w:rPr>
        <w:t>人</w:t>
      </w:r>
      <w:r>
        <w:rPr>
          <w:rFonts w:hint="eastAsia" w:ascii="宋体" w:eastAsia="宋体" w:cs="宋体"/>
          <w:sz w:val="32"/>
          <w:szCs w:val="32"/>
          <w:lang w:eastAsia="zh-CN"/>
        </w:rPr>
        <w:t>，</w:t>
      </w:r>
      <w:r>
        <w:rPr>
          <w:rFonts w:hint="eastAsia" w:ascii="宋体" w:eastAsia="宋体" w:cs="宋体"/>
          <w:bCs/>
          <w:kern w:val="0"/>
          <w:sz w:val="32"/>
          <w:szCs w:val="32"/>
          <w:shd w:val="clear" w:color="auto" w:fill="FFFFFF"/>
          <w:lang w:val="zh-CN"/>
        </w:rPr>
        <w:t>其中：公务员编制</w:t>
      </w:r>
      <w:r>
        <w:rPr>
          <w:rFonts w:hint="eastAsia" w:ascii="宋体" w:eastAsia="宋体" w:cs="宋体"/>
          <w:bCs/>
          <w:kern w:val="0"/>
          <w:sz w:val="32"/>
          <w:szCs w:val="32"/>
          <w:shd w:val="clear" w:color="auto" w:fill="FFFFFF"/>
          <w:lang w:val="en-US" w:eastAsia="zh-CN"/>
        </w:rPr>
        <w:t>3</w:t>
      </w:r>
      <w:r>
        <w:rPr>
          <w:rFonts w:hint="eastAsia" w:ascii="宋体" w:eastAsia="宋体" w:cs="宋体"/>
          <w:bCs/>
          <w:kern w:val="0"/>
          <w:sz w:val="32"/>
          <w:szCs w:val="32"/>
          <w:shd w:val="clear" w:color="auto" w:fill="FFFFFF"/>
          <w:lang w:val="zh-CN"/>
        </w:rPr>
        <w:t>名，机关工勤编制</w:t>
      </w:r>
      <w:r>
        <w:rPr>
          <w:rFonts w:hint="eastAsia" w:ascii="宋体" w:eastAsia="宋体" w:cs="宋体"/>
          <w:bCs/>
          <w:kern w:val="0"/>
          <w:sz w:val="32"/>
          <w:szCs w:val="32"/>
          <w:shd w:val="clear" w:color="auto" w:fill="FFFFFF"/>
          <w:lang w:val="en-US" w:eastAsia="zh-CN"/>
        </w:rPr>
        <w:t>1</w:t>
      </w:r>
      <w:r>
        <w:rPr>
          <w:rFonts w:hint="eastAsia" w:ascii="宋体" w:eastAsia="宋体" w:cs="宋体"/>
          <w:bCs/>
          <w:kern w:val="0"/>
          <w:sz w:val="32"/>
          <w:szCs w:val="32"/>
          <w:shd w:val="clear" w:color="auto" w:fill="FFFFFF"/>
          <w:lang w:val="zh-CN"/>
        </w:rPr>
        <w:t>名</w:t>
      </w:r>
      <w:r>
        <w:rPr>
          <w:rFonts w:hint="eastAsia" w:ascii="宋体" w:eastAsia="宋体" w:cs="宋体"/>
          <w:bCs/>
          <w:kern w:val="0"/>
          <w:sz w:val="32"/>
          <w:szCs w:val="32"/>
          <w:shd w:val="clear" w:color="auto" w:fill="FFFFFF"/>
          <w:lang w:val="zh-CN" w:eastAsia="zh-CN"/>
        </w:rPr>
        <w:t>，公益一类事业编制</w:t>
      </w:r>
      <w:r>
        <w:rPr>
          <w:rFonts w:hint="eastAsia" w:ascii="宋体" w:eastAsia="宋体" w:cs="宋体"/>
          <w:bCs/>
          <w:kern w:val="0"/>
          <w:sz w:val="32"/>
          <w:szCs w:val="32"/>
          <w:shd w:val="clear" w:color="auto" w:fill="FFFFFF"/>
          <w:lang w:val="en-US" w:eastAsia="zh-CN"/>
        </w:rPr>
        <w:t>3</w:t>
      </w:r>
      <w:r>
        <w:rPr>
          <w:rFonts w:hint="eastAsia" w:ascii="宋体" w:eastAsia="宋体" w:cs="宋体"/>
          <w:bCs/>
          <w:kern w:val="0"/>
          <w:sz w:val="32"/>
          <w:szCs w:val="32"/>
          <w:shd w:val="clear" w:color="auto" w:fill="FFFFFF"/>
          <w:lang w:val="zh-CN" w:eastAsia="zh-CN"/>
        </w:rPr>
        <w:t>名。年末实有人数</w:t>
      </w:r>
      <w:r>
        <w:rPr>
          <w:rFonts w:hint="eastAsia" w:ascii="宋体" w:eastAsia="宋体" w:cs="宋体"/>
          <w:bCs/>
          <w:kern w:val="0"/>
          <w:sz w:val="32"/>
          <w:szCs w:val="32"/>
          <w:shd w:val="clear" w:color="auto" w:fill="FFFFFF"/>
          <w:lang w:val="en-US" w:eastAsia="zh-CN"/>
        </w:rPr>
        <w:t>7</w:t>
      </w:r>
      <w:r>
        <w:rPr>
          <w:rFonts w:hint="eastAsia" w:ascii="宋体" w:eastAsia="宋体" w:cs="宋体"/>
          <w:bCs/>
          <w:kern w:val="0"/>
          <w:sz w:val="32"/>
          <w:szCs w:val="32"/>
          <w:shd w:val="clear" w:color="auto" w:fill="FFFFFF"/>
          <w:lang w:val="zh-CN" w:eastAsia="zh-CN"/>
        </w:rPr>
        <w:t>名，其中：行政公务员</w:t>
      </w:r>
      <w:r>
        <w:rPr>
          <w:rFonts w:hint="eastAsia" w:ascii="宋体" w:eastAsia="宋体" w:cs="宋体"/>
          <w:bCs/>
          <w:kern w:val="0"/>
          <w:sz w:val="32"/>
          <w:szCs w:val="32"/>
          <w:shd w:val="clear" w:color="auto" w:fill="FFFFFF"/>
          <w:lang w:val="en-US" w:eastAsia="zh-CN"/>
        </w:rPr>
        <w:t>3</w:t>
      </w:r>
      <w:r>
        <w:rPr>
          <w:rFonts w:hint="eastAsia" w:ascii="宋体" w:eastAsia="宋体" w:cs="宋体"/>
          <w:bCs/>
          <w:kern w:val="0"/>
          <w:sz w:val="32"/>
          <w:szCs w:val="32"/>
          <w:shd w:val="clear" w:color="auto" w:fill="FFFFFF"/>
          <w:lang w:val="zh-CN" w:eastAsia="zh-CN"/>
        </w:rPr>
        <w:t>名，行政工勤</w:t>
      </w:r>
      <w:r>
        <w:rPr>
          <w:rFonts w:hint="eastAsia" w:ascii="宋体" w:eastAsia="宋体" w:cs="宋体"/>
          <w:bCs/>
          <w:kern w:val="0"/>
          <w:sz w:val="32"/>
          <w:szCs w:val="32"/>
          <w:shd w:val="clear" w:color="auto" w:fill="FFFFFF"/>
          <w:lang w:val="en-US" w:eastAsia="zh-CN"/>
        </w:rPr>
        <w:t>1</w:t>
      </w:r>
      <w:r>
        <w:rPr>
          <w:rFonts w:hint="eastAsia" w:ascii="宋体" w:eastAsia="宋体" w:cs="宋体"/>
          <w:bCs/>
          <w:kern w:val="0"/>
          <w:sz w:val="32"/>
          <w:szCs w:val="32"/>
          <w:shd w:val="clear" w:color="auto" w:fill="FFFFFF"/>
          <w:lang w:val="zh-CN" w:eastAsia="zh-CN"/>
        </w:rPr>
        <w:t>名，事业人员</w:t>
      </w:r>
      <w:r>
        <w:rPr>
          <w:rFonts w:hint="eastAsia" w:ascii="宋体" w:eastAsia="宋体" w:cs="宋体"/>
          <w:bCs/>
          <w:kern w:val="0"/>
          <w:sz w:val="32"/>
          <w:szCs w:val="32"/>
          <w:shd w:val="clear" w:color="auto" w:fill="FFFFFF"/>
          <w:lang w:val="en-US" w:eastAsia="zh-CN"/>
        </w:rPr>
        <w:t>3</w:t>
      </w:r>
      <w:r>
        <w:rPr>
          <w:rFonts w:hint="eastAsia" w:ascii="宋体" w:eastAsia="宋体" w:cs="宋体"/>
          <w:bCs/>
          <w:kern w:val="0"/>
          <w:sz w:val="32"/>
          <w:szCs w:val="32"/>
          <w:shd w:val="clear" w:color="auto" w:fill="FFFFFF"/>
          <w:lang w:val="zh-CN" w:eastAsia="zh-CN"/>
        </w:rPr>
        <w:t>名。</w:t>
      </w:r>
    </w:p>
    <w:p w14:paraId="2B7201F8">
      <w:pPr>
        <w:pageBreakBefore w:val="0"/>
        <w:widowControl w:val="0"/>
        <w:kinsoku/>
        <w:wordWrap/>
        <w:overflowPunct/>
        <w:topLinePunct w:val="0"/>
        <w:bidi w:val="0"/>
        <w:spacing w:line="576" w:lineRule="exact"/>
        <w:ind w:left="0" w:firstLine="640" w:firstLineChars="200"/>
        <w:rPr>
          <w:rFonts w:hint="eastAsia" w:ascii="宋体" w:eastAsia="宋体" w:cs="宋体"/>
          <w:color w:val="000000"/>
          <w:kern w:val="0"/>
          <w:sz w:val="32"/>
          <w:szCs w:val="32"/>
          <w:highlight w:val="none"/>
          <w:shd w:val="clear" w:color="auto" w:fill="FFFFFF"/>
        </w:rPr>
      </w:pPr>
      <w:r>
        <w:rPr>
          <w:rFonts w:hint="eastAsia" w:ascii="宋体" w:eastAsia="宋体" w:cs="宋体"/>
          <w:color w:val="000000"/>
          <w:kern w:val="0"/>
          <w:sz w:val="32"/>
          <w:szCs w:val="32"/>
          <w:highlight w:val="none"/>
          <w:shd w:val="clear" w:color="auto" w:fill="FFFFFF"/>
        </w:rPr>
        <w:t>二、</w:t>
      </w:r>
      <w:r>
        <w:rPr>
          <w:rFonts w:hint="eastAsia" w:ascii="宋体" w:eastAsia="宋体" w:cs="宋体"/>
          <w:color w:val="000000"/>
          <w:kern w:val="0"/>
          <w:sz w:val="32"/>
          <w:szCs w:val="32"/>
          <w:highlight w:val="none"/>
          <w:shd w:val="clear" w:color="auto" w:fill="FFFFFF"/>
          <w:lang w:eastAsia="zh-CN"/>
        </w:rPr>
        <w:t>部门</w:t>
      </w:r>
      <w:r>
        <w:rPr>
          <w:rFonts w:hint="eastAsia" w:ascii="宋体" w:eastAsia="宋体" w:cs="宋体"/>
          <w:color w:val="000000"/>
          <w:kern w:val="0"/>
          <w:sz w:val="32"/>
          <w:szCs w:val="32"/>
          <w:highlight w:val="none"/>
          <w:shd w:val="clear" w:color="auto" w:fill="FFFFFF"/>
        </w:rPr>
        <w:t>资金收支情况</w:t>
      </w:r>
    </w:p>
    <w:p w14:paraId="6DA5A5CF">
      <w:pPr>
        <w:ind w:firstLine="643" w:firstLineChars="200"/>
        <w:rPr>
          <w:rFonts w:hint="eastAsia" w:ascii="宋体" w:eastAsia="宋体" w:cs="宋体"/>
          <w:b/>
          <w:bCs/>
          <w:color w:val="000000"/>
          <w:kern w:val="0"/>
          <w:sz w:val="32"/>
          <w:szCs w:val="32"/>
          <w:highlight w:val="none"/>
          <w:shd w:val="clear" w:color="auto" w:fill="FFFFFF"/>
          <w:lang w:val="zh-CN"/>
        </w:rPr>
      </w:pPr>
      <w:r>
        <w:rPr>
          <w:rFonts w:hint="eastAsia" w:ascii="宋体" w:eastAsia="宋体" w:cs="宋体"/>
          <w:b/>
          <w:bCs/>
          <w:color w:val="000000"/>
          <w:kern w:val="0"/>
          <w:sz w:val="32"/>
          <w:szCs w:val="32"/>
          <w:highlight w:val="none"/>
          <w:shd w:val="clear" w:color="auto" w:fill="FFFFFF"/>
          <w:lang w:val="zh-CN"/>
        </w:rPr>
        <w:t>（一）收入情况。</w:t>
      </w:r>
    </w:p>
    <w:p w14:paraId="4199AFF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宋体" w:eastAsia="宋体" w:cs="宋体"/>
          <w:sz w:val="32"/>
          <w:szCs w:val="32"/>
          <w:lang w:val="en-US" w:eastAsia="zh-CN"/>
        </w:rPr>
      </w:pPr>
      <w:r>
        <w:rPr>
          <w:rFonts w:hint="eastAsia" w:ascii="宋体" w:eastAsia="宋体" w:cs="宋体"/>
          <w:sz w:val="32"/>
          <w:szCs w:val="32"/>
          <w:lang w:val="en-US" w:eastAsia="zh-CN"/>
        </w:rPr>
        <w:t>2024年度年初财政资金预算批复数为154.81万元。财政拨款预算调剂金额为20.54万元，其中财政收回资金-5.1万元，预算调剂原因为社会保障缴费、工资奖金津补贴、社会保障缴费、商品和服务支出等方面支出增加。2024年度财政资金收入预算数为175.35万元，占收入的100%，无上年结转结余资金。</w:t>
      </w:r>
    </w:p>
    <w:p w14:paraId="3B131DCC">
      <w:pPr>
        <w:keepNext w:val="0"/>
        <w:keepLines w:val="0"/>
        <w:pageBreakBefore w:val="0"/>
        <w:widowControl/>
        <w:numPr>
          <w:ilvl w:val="0"/>
          <w:numId w:val="7"/>
        </w:numPr>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hint="eastAsia" w:ascii="宋体" w:eastAsia="宋体" w:cs="宋体"/>
          <w:b/>
          <w:sz w:val="32"/>
          <w:szCs w:val="32"/>
          <w:lang w:eastAsia="zh-CN"/>
        </w:rPr>
      </w:pPr>
      <w:r>
        <w:rPr>
          <w:rFonts w:hint="eastAsia" w:ascii="宋体" w:eastAsia="宋体" w:cs="宋体"/>
          <w:b/>
          <w:bCs/>
          <w:color w:val="000000"/>
          <w:kern w:val="0"/>
          <w:sz w:val="32"/>
          <w:szCs w:val="32"/>
          <w:highlight w:val="none"/>
          <w:shd w:val="clear" w:color="auto" w:fill="FFFFFF"/>
          <w:lang w:val="zh-CN"/>
        </w:rPr>
        <w:t>支出情况。</w:t>
      </w:r>
    </w:p>
    <w:p w14:paraId="06872EC6">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宋体" w:eastAsia="宋体" w:cs="宋体"/>
          <w:sz w:val="32"/>
          <w:szCs w:val="32"/>
          <w:lang w:val="en-US" w:eastAsia="zh-CN"/>
        </w:rPr>
      </w:pPr>
      <w:r>
        <w:rPr>
          <w:rFonts w:hint="eastAsia" w:ascii="宋体" w:eastAsia="宋体" w:cs="宋体"/>
          <w:sz w:val="32"/>
          <w:szCs w:val="32"/>
          <w:lang w:val="en-US" w:eastAsia="zh-CN"/>
        </w:rPr>
        <w:t>2024年度财政资金支出共计175.35万元，其中工资奖金津补贴支出66.5万元；社会保障缴费支出21.55万元；住房公积金支出7.52万元；办公经费支出8.24万元；培训支出4.41；工资福利支出61.57万元；社会福利和救助支出3.57万元；商品和服务支出1.83万元。2024年度财政资金支出完成全年预算的100%.</w:t>
      </w:r>
    </w:p>
    <w:p w14:paraId="77D807E4">
      <w:pPr>
        <w:keepNext w:val="0"/>
        <w:keepLines w:val="0"/>
        <w:pageBreakBefore w:val="0"/>
        <w:widowControl/>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hint="eastAsia" w:ascii="宋体" w:eastAsia="宋体" w:cs="宋体"/>
          <w:b/>
          <w:sz w:val="32"/>
          <w:szCs w:val="32"/>
          <w:lang w:eastAsia="zh-CN"/>
        </w:rPr>
      </w:pPr>
      <w:r>
        <w:rPr>
          <w:rFonts w:hint="eastAsia" w:ascii="宋体" w:eastAsia="宋体" w:cs="宋体"/>
          <w:b/>
          <w:bCs/>
          <w:color w:val="000000"/>
          <w:kern w:val="0"/>
          <w:sz w:val="32"/>
          <w:szCs w:val="32"/>
          <w:highlight w:val="none"/>
          <w:shd w:val="clear" w:color="auto" w:fill="FFFFFF"/>
          <w:lang w:val="zh-CN"/>
        </w:rPr>
        <w:t>（三）</w:t>
      </w:r>
      <w:r>
        <w:rPr>
          <w:rFonts w:hint="eastAsia" w:ascii="宋体" w:eastAsia="宋体" w:cs="宋体"/>
          <w:b/>
          <w:sz w:val="32"/>
          <w:szCs w:val="32"/>
        </w:rPr>
        <w:t>结余分配和结转结余情况</w:t>
      </w:r>
      <w:r>
        <w:rPr>
          <w:rFonts w:hint="eastAsia" w:ascii="宋体" w:eastAsia="宋体" w:cs="宋体"/>
          <w:b/>
          <w:sz w:val="32"/>
          <w:szCs w:val="32"/>
          <w:lang w:eastAsia="zh-CN"/>
        </w:rPr>
        <w:t>。</w:t>
      </w:r>
    </w:p>
    <w:p w14:paraId="0308069B">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b w:val="0"/>
          <w:bCs w:val="0"/>
          <w:color w:val="000000"/>
          <w:kern w:val="0"/>
          <w:sz w:val="32"/>
          <w:szCs w:val="32"/>
          <w:highlight w:val="none"/>
          <w:shd w:val="clear" w:color="auto" w:fill="FFFFFF"/>
          <w:lang w:val="zh-CN" w:eastAsia="zh-CN"/>
        </w:rPr>
      </w:pPr>
      <w:r>
        <w:rPr>
          <w:rFonts w:hint="eastAsia" w:ascii="宋体" w:eastAsia="宋体" w:cs="宋体"/>
          <w:sz w:val="32"/>
          <w:szCs w:val="32"/>
          <w:lang w:val="en-US" w:eastAsia="zh-CN"/>
        </w:rPr>
        <w:t>金川县佛教协会2024年决算报表无</w:t>
      </w:r>
      <w:r>
        <w:rPr>
          <w:rFonts w:hint="eastAsia" w:ascii="宋体" w:eastAsia="宋体" w:cs="宋体"/>
          <w:b w:val="0"/>
          <w:bCs w:val="0"/>
          <w:color w:val="000000"/>
          <w:kern w:val="0"/>
          <w:sz w:val="32"/>
          <w:szCs w:val="32"/>
          <w:highlight w:val="none"/>
          <w:shd w:val="clear" w:color="auto" w:fill="FFFFFF"/>
          <w:lang w:val="en-US" w:eastAsia="zh-CN"/>
        </w:rPr>
        <w:t>结转结余</w:t>
      </w:r>
    </w:p>
    <w:p w14:paraId="3094577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rPr>
      </w:pPr>
      <w:r>
        <w:rPr>
          <w:rFonts w:hint="eastAsia" w:ascii="宋体" w:eastAsia="宋体" w:cs="宋体"/>
          <w:color w:val="000000"/>
          <w:kern w:val="0"/>
          <w:sz w:val="32"/>
          <w:szCs w:val="32"/>
          <w:highlight w:val="none"/>
          <w:shd w:val="clear" w:color="auto" w:fill="FFFFFF"/>
        </w:rPr>
        <w:t>三、</w:t>
      </w:r>
      <w:r>
        <w:rPr>
          <w:rFonts w:hint="eastAsia" w:ascii="宋体" w:eastAsia="宋体" w:cs="宋体"/>
          <w:color w:val="000000"/>
          <w:kern w:val="0"/>
          <w:sz w:val="32"/>
          <w:szCs w:val="32"/>
          <w:highlight w:val="none"/>
          <w:u w:val="none"/>
          <w:shd w:val="clear" w:color="auto" w:fill="FFFFFF"/>
        </w:rPr>
        <w:t>部门</w:t>
      </w:r>
      <w:r>
        <w:rPr>
          <w:rFonts w:hint="eastAsia" w:ascii="宋体" w:eastAsia="宋体" w:cs="宋体"/>
          <w:color w:val="000000"/>
          <w:kern w:val="0"/>
          <w:sz w:val="32"/>
          <w:szCs w:val="32"/>
          <w:highlight w:val="none"/>
          <w:u w:val="none"/>
          <w:shd w:val="clear" w:color="auto" w:fill="FFFFFF"/>
          <w:lang w:eastAsia="zh-CN"/>
        </w:rPr>
        <w:t>预算</w:t>
      </w:r>
      <w:r>
        <w:rPr>
          <w:rFonts w:hint="eastAsia" w:ascii="宋体" w:eastAsia="宋体" w:cs="宋体"/>
          <w:color w:val="000000"/>
          <w:kern w:val="0"/>
          <w:sz w:val="32"/>
          <w:szCs w:val="32"/>
          <w:highlight w:val="none"/>
          <w:u w:val="none"/>
          <w:shd w:val="clear" w:color="auto" w:fill="FFFFFF"/>
        </w:rPr>
        <w:t>绩效</w:t>
      </w:r>
      <w:r>
        <w:rPr>
          <w:rFonts w:hint="eastAsia" w:ascii="宋体" w:eastAsia="宋体" w:cs="宋体"/>
          <w:color w:val="000000"/>
          <w:kern w:val="0"/>
          <w:sz w:val="32"/>
          <w:szCs w:val="32"/>
          <w:highlight w:val="none"/>
          <w:u w:val="none"/>
          <w:shd w:val="clear" w:color="auto" w:fill="FFFFFF"/>
          <w:lang w:eastAsia="zh-CN"/>
        </w:rPr>
        <w:t>分析</w:t>
      </w:r>
    </w:p>
    <w:p w14:paraId="0097E734">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b/>
          <w:bCs/>
          <w:color w:val="000000"/>
          <w:kern w:val="0"/>
          <w:sz w:val="32"/>
          <w:szCs w:val="32"/>
          <w:highlight w:val="none"/>
          <w:shd w:val="clear" w:color="auto" w:fill="FFFFFF"/>
          <w:lang w:val="zh-CN"/>
        </w:rPr>
        <w:t>（一）部门预算总体绩效分析。</w:t>
      </w:r>
    </w:p>
    <w:p w14:paraId="0153DF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eastAsia="宋体" w:cs="宋体"/>
          <w:color w:val="auto"/>
          <w:sz w:val="32"/>
          <w:szCs w:val="32"/>
          <w:lang w:val="en-US" w:bidi="ar-SA"/>
        </w:rPr>
      </w:pPr>
      <w:r>
        <w:rPr>
          <w:rFonts w:hint="eastAsia" w:ascii="宋体" w:eastAsia="宋体" w:cs="宋体"/>
          <w:color w:val="000000"/>
          <w:kern w:val="0"/>
          <w:sz w:val="32"/>
          <w:szCs w:val="32"/>
          <w:highlight w:val="none"/>
          <w:shd w:val="clear" w:color="auto" w:fill="FFFFFF"/>
          <w:lang w:val="en-US" w:eastAsia="zh-CN"/>
        </w:rPr>
        <w:t>1.</w:t>
      </w:r>
      <w:r>
        <w:rPr>
          <w:rFonts w:hint="eastAsia" w:ascii="宋体" w:eastAsia="宋体" w:cs="宋体"/>
          <w:color w:val="000000"/>
          <w:kern w:val="0"/>
          <w:sz w:val="32"/>
          <w:szCs w:val="32"/>
          <w:highlight w:val="none"/>
          <w:shd w:val="clear" w:color="auto" w:fill="FFFFFF"/>
          <w:lang w:val="zh-CN"/>
        </w:rPr>
        <w:t>履职效能。（</w:t>
      </w:r>
      <w:r>
        <w:rPr>
          <w:rFonts w:hint="eastAsia" w:ascii="宋体" w:eastAsia="宋体" w:cs="宋体"/>
          <w:color w:val="000000"/>
          <w:kern w:val="0"/>
          <w:sz w:val="32"/>
          <w:szCs w:val="32"/>
          <w:highlight w:val="none"/>
          <w:shd w:val="clear" w:color="auto" w:fill="FFFFFF"/>
          <w:lang w:val="en-US" w:eastAsia="zh-CN"/>
        </w:rPr>
        <w:t>总分15分，得15分</w:t>
      </w:r>
      <w:r>
        <w:rPr>
          <w:rFonts w:hint="eastAsia" w:ascii="宋体" w:eastAsia="宋体" w:cs="宋体"/>
          <w:color w:val="000000"/>
          <w:kern w:val="0"/>
          <w:sz w:val="32"/>
          <w:szCs w:val="32"/>
          <w:highlight w:val="none"/>
          <w:shd w:val="clear" w:color="auto" w:fill="FFFFFF"/>
          <w:lang w:val="zh-CN"/>
        </w:rPr>
        <w:t>）</w:t>
      </w:r>
      <w:r>
        <w:rPr>
          <w:rFonts w:hint="eastAsia" w:ascii="宋体" w:eastAsia="宋体" w:cs="宋体"/>
          <w:color w:val="auto"/>
          <w:sz w:val="32"/>
          <w:szCs w:val="32"/>
          <w:lang w:val="en-US" w:bidi="ar-SA"/>
        </w:rPr>
        <w:t>　</w:t>
      </w:r>
    </w:p>
    <w:p w14:paraId="5C1B60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eastAsia="宋体" w:cs="宋体"/>
          <w:sz w:val="32"/>
          <w:szCs w:val="32"/>
          <w:lang w:bidi="ar-SA"/>
        </w:rPr>
      </w:pPr>
      <w:r>
        <w:rPr>
          <w:rFonts w:hint="eastAsia" w:ascii="宋体" w:eastAsia="宋体" w:cs="宋体"/>
          <w:sz w:val="32"/>
          <w:szCs w:val="32"/>
          <w:lang w:eastAsia="zh-CN" w:bidi="ar-SA"/>
        </w:rPr>
        <w:t>（</w:t>
      </w:r>
      <w:r>
        <w:rPr>
          <w:rFonts w:hint="eastAsia" w:ascii="宋体" w:eastAsia="宋体" w:cs="宋体"/>
          <w:sz w:val="32"/>
          <w:szCs w:val="32"/>
          <w:lang w:val="en-US" w:eastAsia="zh-CN" w:bidi="ar-SA"/>
        </w:rPr>
        <w:t>1</w:t>
      </w:r>
      <w:r>
        <w:rPr>
          <w:rFonts w:hint="eastAsia" w:ascii="宋体" w:eastAsia="宋体" w:cs="宋体"/>
          <w:sz w:val="32"/>
          <w:szCs w:val="32"/>
          <w:lang w:eastAsia="zh-CN" w:bidi="ar-SA"/>
        </w:rPr>
        <w:t>）</w:t>
      </w:r>
      <w:r>
        <w:rPr>
          <w:rFonts w:hint="eastAsia" w:ascii="宋体" w:eastAsia="宋体" w:cs="宋体"/>
          <w:sz w:val="32"/>
          <w:szCs w:val="32"/>
          <w:lang w:bidi="ar-SA"/>
        </w:rPr>
        <w:t>按照佛协章程规定开展好佛协各项工作</w:t>
      </w:r>
      <w:r>
        <w:rPr>
          <w:rFonts w:hint="eastAsia" w:ascii="宋体" w:eastAsia="宋体" w:cs="宋体"/>
          <w:sz w:val="32"/>
          <w:szCs w:val="32"/>
          <w:lang w:val="en-US" w:eastAsia="zh-CN" w:bidi="ar-SA"/>
        </w:rPr>
        <w:t>(5分，得5分）</w:t>
      </w:r>
      <w:r>
        <w:rPr>
          <w:rFonts w:hint="eastAsia" w:ascii="宋体" w:eastAsia="宋体" w:cs="宋体"/>
          <w:sz w:val="32"/>
          <w:szCs w:val="32"/>
          <w:lang w:bidi="ar-SA"/>
        </w:rPr>
        <w:t>，</w:t>
      </w:r>
      <w:r>
        <w:rPr>
          <w:rFonts w:hint="eastAsia" w:ascii="宋体" w:eastAsia="宋体" w:cs="宋体"/>
          <w:sz w:val="32"/>
          <w:szCs w:val="32"/>
          <w:lang w:val="en-US" w:eastAsia="zh-CN" w:bidi="ar-SA"/>
        </w:rPr>
        <w:t>本单位积极</w:t>
      </w:r>
      <w:r>
        <w:rPr>
          <w:rFonts w:hint="eastAsia" w:ascii="宋体" w:eastAsia="宋体" w:cs="宋体"/>
          <w:sz w:val="32"/>
          <w:szCs w:val="32"/>
          <w:lang w:bidi="ar-SA"/>
        </w:rPr>
        <w:t>提高工作水平，增强佛协凝聚力</w:t>
      </w:r>
      <w:r>
        <w:rPr>
          <w:rFonts w:hint="eastAsia" w:ascii="宋体" w:eastAsia="宋体" w:cs="宋体"/>
          <w:sz w:val="32"/>
          <w:szCs w:val="32"/>
          <w:lang w:eastAsia="zh-CN" w:bidi="ar-SA"/>
        </w:rPr>
        <w:t>，</w:t>
      </w:r>
      <w:r>
        <w:rPr>
          <w:rFonts w:hint="eastAsia" w:ascii="宋体" w:eastAsia="宋体" w:cs="宋体"/>
          <w:sz w:val="32"/>
          <w:szCs w:val="32"/>
          <w:lang w:val="en-US" w:eastAsia="zh-CN" w:bidi="ar-SA"/>
        </w:rPr>
        <w:t>维持本单位正常运转</w:t>
      </w:r>
      <w:r>
        <w:rPr>
          <w:rFonts w:hint="eastAsia" w:ascii="宋体" w:eastAsia="宋体" w:cs="宋体"/>
          <w:sz w:val="32"/>
          <w:szCs w:val="32"/>
          <w:lang w:bidi="ar-SA"/>
        </w:rPr>
        <w:t>。</w:t>
      </w:r>
    </w:p>
    <w:p w14:paraId="08EDBA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eastAsia="宋体" w:cs="宋体"/>
          <w:sz w:val="32"/>
          <w:szCs w:val="32"/>
          <w:lang w:bidi="ar-SA"/>
        </w:rPr>
      </w:pPr>
      <w:r>
        <w:rPr>
          <w:rFonts w:hint="eastAsia" w:ascii="宋体" w:eastAsia="宋体" w:cs="宋体"/>
          <w:sz w:val="32"/>
          <w:szCs w:val="32"/>
          <w:lang w:eastAsia="zh-CN" w:bidi="ar-SA"/>
        </w:rPr>
        <w:t>（</w:t>
      </w:r>
      <w:r>
        <w:rPr>
          <w:rFonts w:hint="eastAsia" w:ascii="宋体" w:eastAsia="宋体" w:cs="宋体"/>
          <w:sz w:val="32"/>
          <w:szCs w:val="32"/>
          <w:lang w:val="en-US" w:eastAsia="zh-CN" w:bidi="ar-SA"/>
        </w:rPr>
        <w:t>2</w:t>
      </w:r>
      <w:r>
        <w:rPr>
          <w:rFonts w:hint="eastAsia" w:ascii="宋体" w:eastAsia="宋体" w:cs="宋体"/>
          <w:sz w:val="32"/>
          <w:szCs w:val="32"/>
          <w:lang w:eastAsia="zh-CN" w:bidi="ar-SA"/>
        </w:rPr>
        <w:t>）</w:t>
      </w:r>
      <w:r>
        <w:rPr>
          <w:rFonts w:hint="eastAsia" w:ascii="宋体" w:eastAsia="宋体" w:cs="宋体"/>
          <w:sz w:val="32"/>
          <w:szCs w:val="32"/>
          <w:lang w:bidi="ar-SA"/>
        </w:rPr>
        <w:t>开展藏传佛教文明和谐寺庙省、州、县三级联创活动的相关工作</w:t>
      </w:r>
      <w:r>
        <w:rPr>
          <w:rFonts w:hint="eastAsia" w:ascii="宋体" w:eastAsia="宋体" w:cs="宋体"/>
          <w:sz w:val="32"/>
          <w:szCs w:val="32"/>
          <w:lang w:val="en-US" w:eastAsia="zh-CN" w:bidi="ar-SA"/>
        </w:rPr>
        <w:t>(5分，得5分），本单位</w:t>
      </w:r>
      <w:r>
        <w:rPr>
          <w:rFonts w:hint="eastAsia" w:ascii="宋体" w:eastAsia="宋体" w:cs="宋体"/>
          <w:sz w:val="32"/>
          <w:szCs w:val="32"/>
          <w:lang w:bidi="ar-SA"/>
        </w:rPr>
        <w:t>按照“细化分类、精准管理”的指示精神，</w:t>
      </w:r>
      <w:r>
        <w:rPr>
          <w:rFonts w:hint="eastAsia" w:ascii="宋体" w:eastAsia="宋体" w:cs="宋体"/>
          <w:sz w:val="32"/>
          <w:szCs w:val="32"/>
          <w:lang w:val="en-US" w:eastAsia="zh-CN" w:bidi="ar-SA"/>
        </w:rPr>
        <w:t>多次</w:t>
      </w:r>
      <w:r>
        <w:rPr>
          <w:rFonts w:hint="eastAsia" w:ascii="宋体" w:eastAsia="宋体" w:cs="宋体"/>
          <w:sz w:val="32"/>
          <w:szCs w:val="32"/>
          <w:lang w:bidi="ar-SA"/>
        </w:rPr>
        <w:t>积极开展藏传佛教文明和谐寺庙省、州、县三级联创活动的相关工作</w:t>
      </w:r>
      <w:r>
        <w:rPr>
          <w:rFonts w:hint="eastAsia" w:ascii="宋体" w:eastAsia="宋体" w:cs="宋体"/>
          <w:sz w:val="32"/>
          <w:szCs w:val="32"/>
          <w:lang w:val="en-US" w:eastAsia="zh-CN" w:bidi="ar-SA"/>
        </w:rPr>
        <w:t>并取得了人民群众的广大好评</w:t>
      </w:r>
      <w:r>
        <w:rPr>
          <w:rFonts w:hint="eastAsia" w:ascii="宋体" w:eastAsia="宋体" w:cs="宋体"/>
          <w:sz w:val="32"/>
          <w:szCs w:val="32"/>
          <w:lang w:bidi="ar-SA"/>
        </w:rPr>
        <w:t>。</w:t>
      </w:r>
    </w:p>
    <w:p w14:paraId="7244C1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eastAsia="宋体" w:cs="宋体"/>
          <w:color w:val="000000"/>
          <w:kern w:val="0"/>
          <w:sz w:val="32"/>
          <w:szCs w:val="32"/>
          <w:highlight w:val="none"/>
          <w:shd w:val="clear" w:color="auto" w:fill="FFFFFF"/>
          <w:lang w:val="zh-CN"/>
        </w:rPr>
      </w:pPr>
      <w:r>
        <w:rPr>
          <w:rFonts w:hint="eastAsia" w:ascii="宋体" w:eastAsia="宋体" w:cs="宋体"/>
          <w:sz w:val="32"/>
          <w:szCs w:val="32"/>
          <w:lang w:eastAsia="zh-CN" w:bidi="ar-SA"/>
        </w:rPr>
        <w:t>（</w:t>
      </w:r>
      <w:r>
        <w:rPr>
          <w:rFonts w:hint="eastAsia" w:ascii="宋体" w:eastAsia="宋体" w:cs="宋体"/>
          <w:sz w:val="32"/>
          <w:szCs w:val="32"/>
          <w:lang w:val="en-US" w:eastAsia="zh-CN" w:bidi="ar-SA"/>
        </w:rPr>
        <w:t>3</w:t>
      </w:r>
      <w:r>
        <w:rPr>
          <w:rFonts w:hint="eastAsia" w:ascii="宋体" w:eastAsia="宋体" w:cs="宋体"/>
          <w:sz w:val="32"/>
          <w:szCs w:val="32"/>
          <w:lang w:eastAsia="zh-CN" w:bidi="ar-SA"/>
        </w:rPr>
        <w:t>）</w:t>
      </w:r>
      <w:r>
        <w:rPr>
          <w:rFonts w:hint="eastAsia" w:ascii="宋体" w:eastAsia="宋体" w:cs="宋体"/>
          <w:sz w:val="32"/>
          <w:szCs w:val="32"/>
          <w:lang w:bidi="ar-SA"/>
        </w:rPr>
        <w:t>认真接待佛教徒、僧尼和信教群众的来信来访，及时向县委、</w:t>
      </w:r>
      <w:r>
        <w:rPr>
          <w:rFonts w:hint="eastAsia" w:ascii="宋体" w:eastAsia="宋体" w:cs="宋体"/>
          <w:sz w:val="32"/>
          <w:szCs w:val="32"/>
          <w:lang w:val="en-US" w:eastAsia="zh-CN" w:bidi="ar-SA"/>
        </w:rPr>
        <w:t>县</w:t>
      </w:r>
      <w:r>
        <w:rPr>
          <w:rFonts w:hint="eastAsia" w:ascii="宋体" w:eastAsia="宋体" w:cs="宋体"/>
          <w:sz w:val="32"/>
          <w:szCs w:val="32"/>
          <w:lang w:bidi="ar-SA"/>
        </w:rPr>
        <w:t>政府及各有关部门反映佛教界的愿望和要求</w:t>
      </w:r>
      <w:r>
        <w:rPr>
          <w:rFonts w:hint="eastAsia" w:ascii="宋体" w:eastAsia="宋体" w:cs="宋体"/>
          <w:sz w:val="32"/>
          <w:szCs w:val="32"/>
          <w:lang w:val="en-US" w:eastAsia="zh-CN" w:bidi="ar-SA"/>
        </w:rPr>
        <w:t>(5分，得5分）。本单位</w:t>
      </w:r>
      <w:r>
        <w:rPr>
          <w:rFonts w:hint="eastAsia" w:ascii="宋体" w:eastAsia="宋体" w:cs="宋体"/>
          <w:sz w:val="32"/>
          <w:szCs w:val="32"/>
          <w:lang w:bidi="ar-SA"/>
        </w:rPr>
        <w:t>不断加强政治理论、政策法规、业务知识的学习，提高佛协机关的综合素质和业务素质，充分发挥管理教务的职能和爱国爱教宗教团体的桥梁纽带作用。</w:t>
      </w:r>
    </w:p>
    <w:p w14:paraId="18A203EE">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en-US" w:eastAsia="zh-CN"/>
        </w:rPr>
        <w:t>2.</w:t>
      </w:r>
      <w:r>
        <w:rPr>
          <w:rFonts w:hint="eastAsia" w:ascii="宋体" w:eastAsia="宋体" w:cs="宋体"/>
          <w:color w:val="000000"/>
          <w:kern w:val="0"/>
          <w:sz w:val="32"/>
          <w:szCs w:val="32"/>
          <w:highlight w:val="none"/>
          <w:shd w:val="clear" w:color="auto" w:fill="FFFFFF"/>
          <w:lang w:val="zh-CN"/>
        </w:rPr>
        <w:t>预算管理（</w:t>
      </w:r>
      <w:r>
        <w:rPr>
          <w:rFonts w:hint="eastAsia" w:ascii="宋体" w:eastAsia="宋体" w:cs="宋体"/>
          <w:color w:val="000000"/>
          <w:kern w:val="0"/>
          <w:sz w:val="32"/>
          <w:szCs w:val="32"/>
          <w:highlight w:val="none"/>
          <w:shd w:val="clear" w:color="auto" w:fill="FFFFFF"/>
          <w:lang w:val="zh-CN" w:eastAsia="zh-CN"/>
        </w:rPr>
        <w:t>总分25分，得1</w:t>
      </w:r>
      <w:r>
        <w:rPr>
          <w:rFonts w:hint="eastAsia" w:ascii="宋体" w:eastAsia="宋体" w:cs="宋体"/>
          <w:color w:val="000000"/>
          <w:kern w:val="0"/>
          <w:sz w:val="32"/>
          <w:szCs w:val="32"/>
          <w:highlight w:val="none"/>
          <w:shd w:val="clear" w:color="auto" w:fill="FFFFFF"/>
          <w:lang w:val="en-US" w:eastAsia="zh-CN"/>
        </w:rPr>
        <w:t>4</w:t>
      </w:r>
      <w:r>
        <w:rPr>
          <w:rFonts w:hint="eastAsia" w:ascii="宋体" w:eastAsia="宋体" w:cs="宋体"/>
          <w:color w:val="000000"/>
          <w:kern w:val="0"/>
          <w:sz w:val="32"/>
          <w:szCs w:val="32"/>
          <w:highlight w:val="none"/>
          <w:shd w:val="clear" w:color="auto" w:fill="FFFFFF"/>
          <w:lang w:val="zh-CN" w:eastAsia="zh-CN"/>
        </w:rPr>
        <w:t>.</w:t>
      </w:r>
      <w:r>
        <w:rPr>
          <w:rFonts w:hint="eastAsia" w:ascii="宋体" w:eastAsia="宋体" w:cs="宋体"/>
          <w:color w:val="000000"/>
          <w:kern w:val="0"/>
          <w:sz w:val="32"/>
          <w:szCs w:val="32"/>
          <w:highlight w:val="none"/>
          <w:shd w:val="clear" w:color="auto" w:fill="FFFFFF"/>
          <w:lang w:val="en-US" w:eastAsia="zh-CN"/>
        </w:rPr>
        <w:t>52</w:t>
      </w:r>
      <w:r>
        <w:rPr>
          <w:rFonts w:hint="eastAsia" w:ascii="宋体" w:eastAsia="宋体" w:cs="宋体"/>
          <w:color w:val="000000"/>
          <w:kern w:val="0"/>
          <w:sz w:val="32"/>
          <w:szCs w:val="32"/>
          <w:highlight w:val="none"/>
          <w:shd w:val="clear" w:color="auto" w:fill="FFFFFF"/>
          <w:lang w:val="zh-CN" w:eastAsia="zh-CN"/>
        </w:rPr>
        <w:t>分</w:t>
      </w:r>
      <w:r>
        <w:rPr>
          <w:rFonts w:hint="eastAsia" w:ascii="宋体" w:eastAsia="宋体" w:cs="宋体"/>
          <w:color w:val="000000"/>
          <w:kern w:val="0"/>
          <w:sz w:val="32"/>
          <w:szCs w:val="32"/>
          <w:highlight w:val="none"/>
          <w:shd w:val="clear" w:color="auto" w:fill="FFFFFF"/>
          <w:lang w:val="zh-CN"/>
        </w:rPr>
        <w:t>）。</w:t>
      </w:r>
    </w:p>
    <w:p w14:paraId="54599C58">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（1）预算编制质量（8分，得7.48分）</w:t>
      </w:r>
    </w:p>
    <w:p w14:paraId="54F2805D">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预算编制严格按照《中华人民共和国预算法实施条例》相关规定，按照财政批复的部门预算和绩效目标的项目和用途使用资金，不擅自调剂使用。在预算金额内严格控制费用的支出，控制超支现象的发生。本单位财政拨款预算偏离度为0.32，资产配置预算偏离度为0，政府采购预算偏离度为0，预算编制质量得分=7.84分。</w:t>
      </w:r>
    </w:p>
    <w:p w14:paraId="107ADBCE">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（2）单位收入统筹（4分，得4分）</w:t>
      </w:r>
    </w:p>
    <w:p w14:paraId="517CE041">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本单位无自有收入，该项指标得满分4分。</w:t>
      </w:r>
    </w:p>
    <w:p w14:paraId="012FE8E8">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（3）支出执行进度（6分，得6分）</w:t>
      </w:r>
    </w:p>
    <w:p w14:paraId="60B565C1">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本单位1-6月预算执行数为91.64万元，1-10月预算执行数为149.38万元，全年预算数为175.35万元。1至6月和10月份资金支出均按照预算执行，未发生支出预警和支出违规的情况。12月份支付进度达到100%，支出执行进度得分6分。</w:t>
      </w:r>
    </w:p>
    <w:p w14:paraId="3322D4FA">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（4）预算年终结余（2分，得2分）</w:t>
      </w:r>
    </w:p>
    <w:p w14:paraId="79580ED5">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本单位2024年预算年终无结余资金，该项指标得满分。</w:t>
      </w:r>
    </w:p>
    <w:p w14:paraId="24DCA152">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（5）严控一般性支出（5分，得0分）</w:t>
      </w:r>
    </w:p>
    <w:p w14:paraId="3C3D2752">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本单位2024年“三公”经费、会议、培训、差旅、办节办展、办公设备购置、信息网络及软件购置更新、课题经费等8项一般性支出较，未实现压减,该项不得分。</w:t>
      </w:r>
    </w:p>
    <w:p w14:paraId="4E806330">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en-US" w:eastAsia="zh-CN"/>
        </w:rPr>
        <w:t>3.</w:t>
      </w:r>
      <w:r>
        <w:rPr>
          <w:rFonts w:hint="eastAsia" w:ascii="宋体" w:eastAsia="宋体" w:cs="宋体"/>
          <w:color w:val="000000"/>
          <w:kern w:val="0"/>
          <w:sz w:val="32"/>
          <w:szCs w:val="32"/>
          <w:highlight w:val="none"/>
          <w:shd w:val="clear" w:color="auto" w:fill="FFFFFF"/>
          <w:lang w:val="zh-CN"/>
        </w:rPr>
        <w:t>财务管理。</w:t>
      </w:r>
    </w:p>
    <w:p w14:paraId="25474A6A">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（1）财务管理制度（4分，得4分）</w:t>
      </w:r>
    </w:p>
    <w:p w14:paraId="3279E8BD">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本单位制定了</w:t>
      </w:r>
      <w:r>
        <w:rPr>
          <w:rFonts w:hint="eastAsia" w:ascii="宋体" w:eastAsia="宋体" w:cs="宋体"/>
          <w:color w:val="000000"/>
          <w:kern w:val="0"/>
          <w:sz w:val="32"/>
          <w:szCs w:val="32"/>
          <w:shd w:val="clear" w:color="auto" w:fill="FFFFFF"/>
          <w:lang w:val="zh-CN" w:eastAsia="zh-CN" w:bidi="ar-SA"/>
        </w:rPr>
        <w:t>财务管理制度，</w:t>
      </w:r>
      <w:r>
        <w:rPr>
          <w:rFonts w:hint="eastAsia" w:ascii="宋体" w:eastAsia="宋体" w:cs="宋体"/>
          <w:color w:val="000000"/>
          <w:kern w:val="0"/>
          <w:sz w:val="32"/>
          <w:szCs w:val="32"/>
          <w:shd w:val="clear" w:color="auto" w:fill="FFFFFF"/>
          <w:lang w:val="en-US" w:eastAsia="zh-CN" w:bidi="ar-SA"/>
        </w:rPr>
        <w:t>并</w:t>
      </w:r>
      <w:r>
        <w:rPr>
          <w:rFonts w:hint="eastAsia" w:ascii="宋体" w:eastAsia="宋体" w:cs="宋体"/>
          <w:color w:val="000000"/>
          <w:kern w:val="0"/>
          <w:sz w:val="32"/>
          <w:szCs w:val="32"/>
          <w:shd w:val="clear" w:color="auto" w:fill="FFFFFF"/>
          <w:lang w:val="zh-CN" w:eastAsia="zh-CN" w:bidi="ar-SA"/>
        </w:rPr>
        <w:t>得到</w:t>
      </w:r>
      <w:r>
        <w:rPr>
          <w:rFonts w:hint="eastAsia" w:ascii="宋体" w:eastAsia="宋体" w:cs="宋体"/>
          <w:color w:val="000000"/>
          <w:kern w:val="0"/>
          <w:sz w:val="32"/>
          <w:szCs w:val="32"/>
          <w:shd w:val="clear" w:color="auto" w:fill="FFFFFF"/>
          <w:lang w:val="en-US" w:eastAsia="zh-CN" w:bidi="ar-SA"/>
        </w:rPr>
        <w:t>有效</w:t>
      </w:r>
      <w:r>
        <w:rPr>
          <w:rFonts w:hint="eastAsia" w:ascii="宋体" w:eastAsia="宋体" w:cs="宋体"/>
          <w:color w:val="000000"/>
          <w:kern w:val="0"/>
          <w:sz w:val="32"/>
          <w:szCs w:val="32"/>
          <w:shd w:val="clear" w:color="auto" w:fill="FFFFFF"/>
          <w:lang w:val="zh-CN" w:eastAsia="zh-CN" w:bidi="ar-SA"/>
        </w:rPr>
        <w:t>落实，</w:t>
      </w:r>
      <w:r>
        <w:rPr>
          <w:rFonts w:hint="eastAsia" w:ascii="宋体" w:eastAsia="宋体" w:cs="宋体"/>
          <w:color w:val="000000"/>
          <w:kern w:val="0"/>
          <w:sz w:val="32"/>
          <w:szCs w:val="32"/>
          <w:shd w:val="clear" w:color="auto" w:fill="FFFFFF"/>
          <w:lang w:val="en-US" w:eastAsia="zh-CN" w:bidi="ar-SA"/>
        </w:rPr>
        <w:t>该项得4分。</w:t>
      </w:r>
    </w:p>
    <w:p w14:paraId="5D1F7643">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zh-CN" w:eastAsia="zh-CN" w:bidi="ar-SA"/>
        </w:rPr>
      </w:pPr>
      <w:r>
        <w:rPr>
          <w:rFonts w:hint="eastAsia" w:ascii="宋体" w:eastAsia="宋体" w:cs="宋体"/>
          <w:color w:val="000000"/>
          <w:kern w:val="0"/>
          <w:sz w:val="32"/>
          <w:szCs w:val="32"/>
          <w:shd w:val="clear" w:color="auto" w:fill="FFFFFF"/>
          <w:lang w:val="en-US" w:eastAsia="zh-CN" w:bidi="ar-SA"/>
        </w:rPr>
        <w:t>（2）财务岗位设置（2分，得2分）</w:t>
      </w:r>
    </w:p>
    <w:p w14:paraId="1CCF8F4B">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zh-CN" w:eastAsia="zh-CN" w:bidi="ar-SA"/>
        </w:rPr>
      </w:pPr>
      <w:r>
        <w:rPr>
          <w:rFonts w:hint="eastAsia" w:ascii="宋体" w:eastAsia="宋体" w:cs="宋体"/>
          <w:color w:val="000000"/>
          <w:kern w:val="0"/>
          <w:sz w:val="32"/>
          <w:szCs w:val="32"/>
          <w:shd w:val="clear" w:color="auto" w:fill="FFFFFF"/>
          <w:lang w:val="en-US" w:eastAsia="zh-CN" w:bidi="ar-SA"/>
        </w:rPr>
        <w:t>本单位</w:t>
      </w:r>
      <w:r>
        <w:rPr>
          <w:rFonts w:hint="eastAsia" w:ascii="宋体" w:eastAsia="宋体" w:cs="宋体"/>
          <w:color w:val="000000"/>
          <w:kern w:val="0"/>
          <w:sz w:val="32"/>
          <w:szCs w:val="32"/>
          <w:shd w:val="clear" w:color="auto" w:fill="FFFFFF"/>
          <w:lang w:val="zh-CN" w:eastAsia="zh-CN" w:bidi="ar-SA"/>
        </w:rPr>
        <w:t>设置财务会计和出纳工作岗位，明确职责权限，严格实行不相容岗位分离，同时确定了岗位考核标准，</w:t>
      </w:r>
      <w:r>
        <w:rPr>
          <w:rFonts w:hint="eastAsia" w:ascii="宋体" w:eastAsia="宋体" w:cs="宋体"/>
          <w:color w:val="000000"/>
          <w:kern w:val="0"/>
          <w:sz w:val="32"/>
          <w:szCs w:val="32"/>
          <w:shd w:val="clear" w:color="auto" w:fill="FFFFFF"/>
          <w:lang w:val="en-US" w:eastAsia="zh-CN" w:bidi="ar-SA"/>
        </w:rPr>
        <w:t>该项得2分</w:t>
      </w:r>
      <w:r>
        <w:rPr>
          <w:rFonts w:hint="eastAsia" w:ascii="宋体" w:eastAsia="宋体" w:cs="宋体"/>
          <w:color w:val="000000"/>
          <w:kern w:val="0"/>
          <w:sz w:val="32"/>
          <w:szCs w:val="32"/>
          <w:shd w:val="clear" w:color="auto" w:fill="FFFFFF"/>
          <w:lang w:val="zh-CN" w:eastAsia="zh-CN" w:bidi="ar-SA"/>
        </w:rPr>
        <w:t>。</w:t>
      </w:r>
    </w:p>
    <w:p w14:paraId="0530C4AC">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zh-CN" w:eastAsia="zh-CN" w:bidi="ar-SA"/>
        </w:rPr>
      </w:pPr>
      <w:r>
        <w:rPr>
          <w:rFonts w:hint="eastAsia" w:ascii="宋体" w:eastAsia="宋体" w:cs="宋体"/>
          <w:color w:val="000000"/>
          <w:kern w:val="0"/>
          <w:sz w:val="32"/>
          <w:szCs w:val="32"/>
          <w:shd w:val="clear" w:color="auto" w:fill="FFFFFF"/>
          <w:lang w:val="en-US" w:eastAsia="zh-CN" w:bidi="ar-SA"/>
        </w:rPr>
        <w:t>（3）资金使用规范（4分，得4分）</w:t>
      </w:r>
    </w:p>
    <w:p w14:paraId="292B32A4">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sz w:val="32"/>
          <w:szCs w:val="32"/>
          <w:lang w:val="zh-CN"/>
        </w:rPr>
      </w:pPr>
      <w:r>
        <w:rPr>
          <w:rFonts w:hint="eastAsia" w:ascii="宋体" w:eastAsia="宋体" w:cs="宋体"/>
          <w:color w:val="000000"/>
          <w:kern w:val="0"/>
          <w:sz w:val="32"/>
          <w:szCs w:val="32"/>
          <w:shd w:val="clear" w:color="auto" w:fill="FFFFFF"/>
          <w:lang w:val="en-US" w:eastAsia="zh-CN" w:bidi="ar-SA"/>
        </w:rPr>
        <w:t>资金支付遵照</w:t>
      </w:r>
      <w:r>
        <w:rPr>
          <w:rFonts w:hint="eastAsia" w:ascii="宋体" w:eastAsia="宋体" w:cs="宋体"/>
          <w:color w:val="000000"/>
          <w:kern w:val="0"/>
          <w:sz w:val="32"/>
          <w:szCs w:val="32"/>
          <w:shd w:val="clear" w:color="auto" w:fill="FFFFFF"/>
          <w:lang w:val="zh-CN" w:eastAsia="zh-CN" w:bidi="ar-SA"/>
        </w:rPr>
        <w:t>财务管理制度</w:t>
      </w:r>
      <w:r>
        <w:rPr>
          <w:rFonts w:hint="eastAsia" w:ascii="宋体" w:eastAsia="宋体" w:cs="宋体"/>
          <w:color w:val="000000"/>
          <w:kern w:val="0"/>
          <w:sz w:val="32"/>
          <w:szCs w:val="32"/>
          <w:shd w:val="clear" w:color="auto" w:fill="FFFFFF"/>
          <w:lang w:val="en-US" w:eastAsia="zh-CN" w:bidi="ar-SA"/>
        </w:rPr>
        <w:t>执行</w:t>
      </w:r>
      <w:r>
        <w:rPr>
          <w:rFonts w:hint="eastAsia" w:ascii="宋体" w:eastAsia="宋体" w:cs="宋体"/>
          <w:color w:val="000000"/>
          <w:kern w:val="0"/>
          <w:sz w:val="32"/>
          <w:szCs w:val="32"/>
          <w:shd w:val="clear" w:color="auto" w:fill="FFFFFF"/>
          <w:lang w:val="zh-CN" w:eastAsia="zh-CN" w:bidi="ar-SA"/>
        </w:rPr>
        <w:t>，</w:t>
      </w:r>
      <w:r>
        <w:rPr>
          <w:rFonts w:hint="eastAsia" w:ascii="宋体" w:eastAsia="宋体" w:cs="宋体"/>
          <w:color w:val="000000"/>
          <w:kern w:val="0"/>
          <w:sz w:val="32"/>
          <w:szCs w:val="32"/>
          <w:shd w:val="clear" w:color="auto" w:fill="FFFFFF"/>
          <w:lang w:val="en-US" w:eastAsia="zh-CN" w:bidi="ar-SA"/>
        </w:rPr>
        <w:t>严格控制资金支付审核</w:t>
      </w:r>
      <w:r>
        <w:rPr>
          <w:rFonts w:hint="eastAsia" w:ascii="宋体" w:eastAsia="宋体" w:cs="宋体"/>
          <w:color w:val="000000"/>
          <w:kern w:val="0"/>
          <w:sz w:val="32"/>
          <w:szCs w:val="32"/>
          <w:shd w:val="clear" w:color="auto" w:fill="FFFFFF"/>
          <w:lang w:val="zh-CN" w:eastAsia="zh-CN" w:bidi="ar-SA"/>
        </w:rPr>
        <w:t>，</w:t>
      </w:r>
      <w:r>
        <w:rPr>
          <w:rFonts w:hint="eastAsia" w:ascii="宋体" w:eastAsia="宋体" w:cs="宋体"/>
          <w:color w:val="000000"/>
          <w:kern w:val="0"/>
          <w:sz w:val="32"/>
          <w:szCs w:val="32"/>
          <w:shd w:val="clear" w:color="auto" w:fill="FFFFFF"/>
          <w:lang w:val="en-US" w:eastAsia="zh-CN" w:bidi="ar-SA"/>
        </w:rPr>
        <w:t>项目资金</w:t>
      </w:r>
      <w:r>
        <w:rPr>
          <w:rFonts w:hint="eastAsia" w:ascii="宋体" w:eastAsia="宋体" w:cs="宋体"/>
          <w:color w:val="000000"/>
          <w:kern w:val="0"/>
          <w:sz w:val="32"/>
          <w:szCs w:val="32"/>
          <w:shd w:val="clear" w:color="auto" w:fill="FFFFFF"/>
          <w:lang w:val="zh-CN" w:eastAsia="zh-CN" w:bidi="ar-SA"/>
        </w:rPr>
        <w:t>会计核算及账务处理根据项目资金管理办法，</w:t>
      </w:r>
      <w:r>
        <w:rPr>
          <w:rFonts w:hint="eastAsia" w:ascii="宋体" w:eastAsia="宋体" w:cs="宋体"/>
          <w:color w:val="000000"/>
          <w:kern w:val="0"/>
          <w:sz w:val="32"/>
          <w:szCs w:val="32"/>
          <w:shd w:val="clear" w:color="auto" w:fill="FFFFFF"/>
          <w:lang w:val="en-US" w:eastAsia="zh-CN" w:bidi="ar-SA"/>
        </w:rPr>
        <w:t>做到</w:t>
      </w:r>
      <w:r>
        <w:rPr>
          <w:rFonts w:hint="eastAsia" w:ascii="宋体" w:eastAsia="宋体" w:cs="宋体"/>
          <w:color w:val="000000"/>
          <w:kern w:val="0"/>
          <w:sz w:val="32"/>
          <w:szCs w:val="32"/>
          <w:shd w:val="clear" w:color="auto" w:fill="FFFFFF"/>
          <w:lang w:val="zh-CN" w:eastAsia="zh-CN" w:bidi="ar-SA"/>
        </w:rPr>
        <w:t>财务处理及时、会计核算规范、流程完整规范，</w:t>
      </w:r>
      <w:r>
        <w:rPr>
          <w:rFonts w:hint="eastAsia" w:ascii="宋体" w:eastAsia="宋体" w:cs="宋体"/>
          <w:color w:val="000000"/>
          <w:kern w:val="0"/>
          <w:sz w:val="32"/>
          <w:szCs w:val="32"/>
          <w:shd w:val="clear" w:color="auto" w:fill="FFFFFF"/>
          <w:lang w:val="en-US" w:eastAsia="zh-CN" w:bidi="ar-SA"/>
        </w:rPr>
        <w:t>该项得4分</w:t>
      </w:r>
      <w:r>
        <w:rPr>
          <w:rFonts w:hint="eastAsia" w:ascii="宋体" w:eastAsia="宋体" w:cs="宋体"/>
          <w:color w:val="000000"/>
          <w:kern w:val="0"/>
          <w:sz w:val="32"/>
          <w:szCs w:val="32"/>
          <w:shd w:val="clear" w:color="auto" w:fill="FFFFFF"/>
          <w:lang w:val="zh-CN" w:eastAsia="zh-CN" w:bidi="ar-SA"/>
        </w:rPr>
        <w:t>。</w:t>
      </w:r>
    </w:p>
    <w:p w14:paraId="2560BDFF">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en-US" w:eastAsia="zh-CN"/>
        </w:rPr>
        <w:t>4.</w:t>
      </w:r>
      <w:r>
        <w:rPr>
          <w:rFonts w:hint="eastAsia" w:ascii="宋体" w:eastAsia="宋体" w:cs="宋体"/>
          <w:color w:val="000000"/>
          <w:kern w:val="0"/>
          <w:sz w:val="32"/>
          <w:szCs w:val="32"/>
          <w:highlight w:val="none"/>
          <w:shd w:val="clear" w:color="auto" w:fill="FFFFFF"/>
          <w:lang w:val="zh-CN"/>
        </w:rPr>
        <w:t>资产管理。（</w:t>
      </w:r>
      <w:r>
        <w:rPr>
          <w:rFonts w:hint="eastAsia" w:ascii="宋体" w:eastAsia="宋体" w:cs="宋体"/>
          <w:color w:val="000000"/>
          <w:kern w:val="0"/>
          <w:sz w:val="32"/>
          <w:szCs w:val="32"/>
          <w:highlight w:val="none"/>
          <w:shd w:val="clear" w:color="auto" w:fill="FFFFFF"/>
          <w:lang w:val="en-US" w:eastAsia="zh-CN"/>
        </w:rPr>
        <w:t>总分9分，得9分</w:t>
      </w:r>
      <w:r>
        <w:rPr>
          <w:rFonts w:hint="eastAsia" w:ascii="宋体" w:eastAsia="宋体" w:cs="宋体"/>
          <w:color w:val="000000"/>
          <w:kern w:val="0"/>
          <w:sz w:val="32"/>
          <w:szCs w:val="32"/>
          <w:highlight w:val="none"/>
          <w:shd w:val="clear" w:color="auto" w:fill="FFFFFF"/>
          <w:lang w:val="zh-CN"/>
        </w:rPr>
        <w:t>）</w:t>
      </w:r>
    </w:p>
    <w:p w14:paraId="6C47508D">
      <w:pPr>
        <w:pStyle w:val="2"/>
        <w:rPr>
          <w:rFonts w:hint="eastAsia" w:ascii="宋体" w:eastAsia="宋体" w:cs="宋体"/>
          <w:sz w:val="32"/>
          <w:szCs w:val="32"/>
          <w:lang w:val="en-US" w:eastAsia="zh-CN"/>
        </w:rPr>
      </w:pPr>
      <w:r>
        <w:rPr>
          <w:rFonts w:hint="eastAsia" w:ascii="宋体" w:eastAsia="宋体" w:cs="宋体"/>
          <w:sz w:val="32"/>
          <w:szCs w:val="32"/>
          <w:lang w:val="en-US" w:eastAsia="zh-CN"/>
        </w:rPr>
        <w:t>本单位账上无固定资产，不涉及资产管理。该项不扣分。</w:t>
      </w:r>
    </w:p>
    <w:p w14:paraId="1B2AE008">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en-US" w:eastAsia="zh-CN"/>
        </w:rPr>
        <w:t>5.</w:t>
      </w:r>
      <w:r>
        <w:rPr>
          <w:rFonts w:hint="eastAsia" w:ascii="宋体" w:eastAsia="宋体" w:cs="宋体"/>
          <w:color w:val="000000"/>
          <w:kern w:val="0"/>
          <w:sz w:val="32"/>
          <w:szCs w:val="32"/>
          <w:highlight w:val="none"/>
          <w:shd w:val="clear" w:color="auto" w:fill="FFFFFF"/>
          <w:lang w:val="zh-CN"/>
        </w:rPr>
        <w:t>采购管理。（</w:t>
      </w:r>
      <w:r>
        <w:rPr>
          <w:rFonts w:hint="eastAsia" w:ascii="宋体" w:eastAsia="宋体" w:cs="宋体"/>
          <w:color w:val="000000"/>
          <w:kern w:val="0"/>
          <w:sz w:val="32"/>
          <w:szCs w:val="32"/>
          <w:highlight w:val="none"/>
          <w:shd w:val="clear" w:color="auto" w:fill="FFFFFF"/>
          <w:lang w:val="en-US" w:eastAsia="zh-CN"/>
        </w:rPr>
        <w:t>总分6分，得6分</w:t>
      </w:r>
      <w:r>
        <w:rPr>
          <w:rFonts w:hint="eastAsia" w:ascii="宋体" w:eastAsia="宋体" w:cs="宋体"/>
          <w:color w:val="000000"/>
          <w:kern w:val="0"/>
          <w:sz w:val="32"/>
          <w:szCs w:val="32"/>
          <w:highlight w:val="none"/>
          <w:shd w:val="clear" w:color="auto" w:fill="FFFFFF"/>
          <w:lang w:val="zh-CN"/>
        </w:rPr>
        <w:t>）</w:t>
      </w:r>
    </w:p>
    <w:p w14:paraId="26477C08">
      <w:pPr>
        <w:keepNext w:val="0"/>
        <w:keepLines w:val="0"/>
        <w:pageBreakBefore w:val="0"/>
        <w:widowControl w:val="0"/>
        <w:tabs>
          <w:tab w:val="left" w:pos="6046"/>
        </w:tabs>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en-US" w:eastAsia="zh-CN"/>
        </w:rPr>
      </w:pPr>
      <w:r>
        <w:rPr>
          <w:rFonts w:hint="eastAsia" w:ascii="宋体" w:eastAsia="宋体" w:cs="宋体"/>
          <w:sz w:val="32"/>
          <w:szCs w:val="32"/>
          <w:lang w:val="en-US" w:eastAsia="zh-CN"/>
        </w:rPr>
        <w:t>（1）</w:t>
      </w:r>
      <w:r>
        <w:rPr>
          <w:rFonts w:hint="eastAsia" w:ascii="宋体" w:eastAsia="宋体" w:cs="宋体"/>
          <w:color w:val="000000"/>
          <w:kern w:val="0"/>
          <w:sz w:val="32"/>
          <w:szCs w:val="32"/>
          <w:highlight w:val="none"/>
          <w:shd w:val="clear" w:color="auto" w:fill="FFFFFF"/>
          <w:lang w:val="zh-CN"/>
        </w:rPr>
        <w:t>支持中小企业发展</w:t>
      </w:r>
      <w:r>
        <w:rPr>
          <w:rFonts w:hint="eastAsia" w:ascii="宋体" w:eastAsia="宋体" w:cs="宋体"/>
          <w:color w:val="000000"/>
          <w:kern w:val="0"/>
          <w:sz w:val="32"/>
          <w:szCs w:val="32"/>
          <w:highlight w:val="none"/>
          <w:shd w:val="clear" w:color="auto" w:fill="FFFFFF"/>
          <w:lang w:val="en-US" w:eastAsia="zh-CN"/>
        </w:rPr>
        <w:t>（3分，得3分）</w:t>
      </w:r>
    </w:p>
    <w:p w14:paraId="47C28DEB">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宋体" w:eastAsia="宋体" w:cs="宋体"/>
          <w:sz w:val="32"/>
          <w:szCs w:val="32"/>
          <w:lang w:val="en-US" w:eastAsia="zh-CN"/>
        </w:rPr>
      </w:pPr>
      <w:r>
        <w:rPr>
          <w:rFonts w:hint="eastAsia" w:ascii="宋体" w:eastAsia="宋体" w:cs="宋体"/>
          <w:sz w:val="32"/>
          <w:szCs w:val="32"/>
          <w:lang w:val="en-US" w:eastAsia="zh-CN"/>
        </w:rPr>
        <w:t>本单位</w:t>
      </w:r>
      <w:r>
        <w:rPr>
          <w:rFonts w:hint="eastAsia" w:ascii="宋体" w:eastAsia="宋体" w:cs="宋体"/>
          <w:sz w:val="32"/>
          <w:szCs w:val="32"/>
          <w:lang w:val="zh-CN"/>
        </w:rPr>
        <w:t>严格执行政府采购促进中小企业发展相关管理办法，</w:t>
      </w:r>
      <w:r>
        <w:rPr>
          <w:rFonts w:hint="eastAsia" w:ascii="宋体" w:eastAsia="宋体" w:cs="宋体"/>
          <w:sz w:val="32"/>
          <w:szCs w:val="32"/>
          <w:lang w:val="en-US" w:eastAsia="zh-CN"/>
        </w:rPr>
        <w:t>本年度未发生采购活动，该项不扣分。</w:t>
      </w:r>
    </w:p>
    <w:p w14:paraId="623D665E">
      <w:pPr>
        <w:keepNext w:val="0"/>
        <w:keepLines w:val="0"/>
        <w:pageBreakBefore w:val="0"/>
        <w:widowControl w:val="0"/>
        <w:tabs>
          <w:tab w:val="left" w:pos="6046"/>
        </w:tabs>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zh-CN"/>
        </w:rPr>
        <w:t>（</w:t>
      </w:r>
      <w:r>
        <w:rPr>
          <w:rFonts w:hint="eastAsia" w:ascii="宋体" w:eastAsia="宋体" w:cs="宋体"/>
          <w:color w:val="000000"/>
          <w:kern w:val="0"/>
          <w:sz w:val="32"/>
          <w:szCs w:val="32"/>
          <w:highlight w:val="none"/>
          <w:shd w:val="clear" w:color="auto" w:fill="FFFFFF"/>
          <w:lang w:val="en-US" w:eastAsia="zh-CN"/>
        </w:rPr>
        <w:t>2</w:t>
      </w:r>
      <w:r>
        <w:rPr>
          <w:rFonts w:hint="eastAsia" w:ascii="宋体" w:eastAsia="宋体" w:cs="宋体"/>
          <w:color w:val="000000"/>
          <w:kern w:val="0"/>
          <w:sz w:val="32"/>
          <w:szCs w:val="32"/>
          <w:highlight w:val="none"/>
          <w:shd w:val="clear" w:color="auto" w:fill="FFFFFF"/>
          <w:lang w:val="zh-CN"/>
        </w:rPr>
        <w:t>）采购执行率（</w:t>
      </w:r>
      <w:r>
        <w:rPr>
          <w:rFonts w:hint="eastAsia" w:ascii="宋体" w:eastAsia="宋体" w:cs="宋体"/>
          <w:sz w:val="32"/>
          <w:szCs w:val="32"/>
          <w:lang w:val="en-US" w:eastAsia="zh-CN"/>
        </w:rPr>
        <w:t>3分，得0分</w:t>
      </w:r>
      <w:r>
        <w:rPr>
          <w:rFonts w:hint="eastAsia" w:ascii="宋体" w:eastAsia="宋体" w:cs="宋体"/>
          <w:color w:val="000000"/>
          <w:kern w:val="0"/>
          <w:sz w:val="32"/>
          <w:szCs w:val="32"/>
          <w:highlight w:val="none"/>
          <w:shd w:val="clear" w:color="auto" w:fill="FFFFFF"/>
          <w:lang w:val="zh-CN"/>
        </w:rPr>
        <w:t>）</w:t>
      </w:r>
    </w:p>
    <w:p w14:paraId="584CFA5C">
      <w:pPr>
        <w:keepNext w:val="0"/>
        <w:keepLines w:val="0"/>
        <w:pageBreakBefore w:val="0"/>
        <w:widowControl w:val="0"/>
        <w:tabs>
          <w:tab w:val="left" w:pos="6046"/>
        </w:tabs>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sz w:val="32"/>
          <w:szCs w:val="32"/>
          <w:lang w:val="en-US" w:eastAsia="zh-CN"/>
        </w:rPr>
      </w:pPr>
      <w:r>
        <w:rPr>
          <w:rFonts w:hint="eastAsia" w:ascii="宋体" w:eastAsia="宋体" w:cs="宋体"/>
          <w:kern w:val="2"/>
          <w:sz w:val="32"/>
          <w:szCs w:val="32"/>
          <w:lang w:val="en-US" w:eastAsia="zh-CN" w:bidi="ar-SA"/>
        </w:rPr>
        <w:t>本单位2024年度无政府采购预算，采购预算项目实际执0万元，该项目不得分。</w:t>
      </w:r>
    </w:p>
    <w:p w14:paraId="1FD7BB20">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en-US" w:eastAsia="zh-CN"/>
        </w:rPr>
      </w:pPr>
      <w:r>
        <w:rPr>
          <w:rFonts w:hint="eastAsia" w:ascii="宋体" w:eastAsia="宋体" w:cs="宋体"/>
          <w:b/>
          <w:bCs/>
          <w:color w:val="000000"/>
          <w:kern w:val="0"/>
          <w:sz w:val="32"/>
          <w:szCs w:val="32"/>
          <w:highlight w:val="none"/>
          <w:shd w:val="clear" w:color="auto" w:fill="FFFFFF"/>
          <w:lang w:val="zh-CN"/>
        </w:rPr>
        <w:t>（二）部门预算项目绩效分析。</w:t>
      </w:r>
    </w:p>
    <w:p w14:paraId="144892D9">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en-US" w:eastAsia="zh-CN"/>
        </w:rPr>
        <w:t>常年项目绩效分析。</w:t>
      </w:r>
      <w:r>
        <w:rPr>
          <w:rFonts w:hint="eastAsia" w:ascii="宋体" w:eastAsia="宋体" w:cs="宋体"/>
          <w:color w:val="000000"/>
          <w:kern w:val="0"/>
          <w:sz w:val="32"/>
          <w:szCs w:val="32"/>
          <w:highlight w:val="none"/>
          <w:shd w:val="clear" w:color="auto" w:fill="FFFFFF"/>
          <w:lang w:val="zh-CN" w:eastAsia="zh-CN"/>
        </w:rPr>
        <w:t>该类项目总数</w:t>
      </w:r>
      <w:r>
        <w:rPr>
          <w:rFonts w:hint="eastAsia" w:ascii="宋体" w:eastAsia="宋体" w:cs="宋体"/>
          <w:color w:val="000000"/>
          <w:kern w:val="0"/>
          <w:sz w:val="32"/>
          <w:szCs w:val="32"/>
          <w:highlight w:val="none"/>
          <w:shd w:val="clear" w:color="auto" w:fill="FFFFFF"/>
          <w:lang w:val="en-US" w:eastAsia="zh-CN"/>
        </w:rPr>
        <w:t>25</w:t>
      </w:r>
      <w:r>
        <w:rPr>
          <w:rFonts w:hint="eastAsia" w:ascii="宋体" w:eastAsia="宋体" w:cs="宋体"/>
          <w:color w:val="000000"/>
          <w:kern w:val="0"/>
          <w:sz w:val="32"/>
          <w:szCs w:val="32"/>
          <w:highlight w:val="none"/>
          <w:shd w:val="clear" w:color="auto" w:fill="FFFFFF"/>
          <w:lang w:val="zh-CN" w:eastAsia="zh-CN"/>
        </w:rPr>
        <w:t>个，涉及预算总金额</w:t>
      </w:r>
      <w:r>
        <w:rPr>
          <w:rFonts w:hint="eastAsia" w:ascii="宋体" w:eastAsia="宋体" w:cs="宋体"/>
          <w:color w:val="000000"/>
          <w:kern w:val="0"/>
          <w:sz w:val="32"/>
          <w:szCs w:val="32"/>
          <w:highlight w:val="none"/>
          <w:shd w:val="clear" w:color="auto" w:fill="FFFFFF"/>
          <w:lang w:val="en-US" w:eastAsia="zh-CN"/>
        </w:rPr>
        <w:t xml:space="preserve">   170.93</w:t>
      </w:r>
      <w:r>
        <w:rPr>
          <w:rFonts w:hint="eastAsia" w:ascii="宋体" w:eastAsia="宋体" w:cs="宋体"/>
          <w:color w:val="000000"/>
          <w:kern w:val="0"/>
          <w:sz w:val="32"/>
          <w:szCs w:val="32"/>
          <w:highlight w:val="none"/>
          <w:shd w:val="clear" w:color="auto" w:fill="FFFFFF"/>
          <w:lang w:val="zh-CN" w:eastAsia="zh-CN"/>
        </w:rPr>
        <w:t>万元，</w:t>
      </w:r>
      <w:r>
        <w:rPr>
          <w:rFonts w:hint="eastAsia" w:ascii="宋体" w:eastAsia="宋体" w:cs="宋体"/>
          <w:color w:val="000000"/>
          <w:kern w:val="0"/>
          <w:sz w:val="32"/>
          <w:szCs w:val="32"/>
          <w:highlight w:val="none"/>
          <w:shd w:val="clear" w:color="auto" w:fill="FFFFFF"/>
          <w:lang w:val="zh-CN"/>
        </w:rPr>
        <w:t>1</w:t>
      </w:r>
      <w:r>
        <w:rPr>
          <w:rFonts w:hint="eastAsia" w:ascii="宋体" w:eastAsia="宋体" w:cs="宋体"/>
          <w:color w:val="000000"/>
          <w:kern w:val="0"/>
          <w:sz w:val="32"/>
          <w:szCs w:val="32"/>
          <w:highlight w:val="none"/>
          <w:shd w:val="clear" w:color="auto" w:fill="FFFFFF"/>
          <w:lang w:val="zh-CN" w:eastAsia="zh-CN"/>
        </w:rPr>
        <w:t>—</w:t>
      </w:r>
      <w:r>
        <w:rPr>
          <w:rFonts w:hint="eastAsia" w:ascii="宋体" w:eastAsia="宋体" w:cs="宋体"/>
          <w:color w:val="000000"/>
          <w:kern w:val="0"/>
          <w:sz w:val="32"/>
          <w:szCs w:val="32"/>
          <w:highlight w:val="none"/>
          <w:shd w:val="clear" w:color="auto" w:fill="FFFFFF"/>
          <w:lang w:val="zh-CN"/>
        </w:rPr>
        <w:t>1</w:t>
      </w:r>
      <w:r>
        <w:rPr>
          <w:rFonts w:hint="eastAsia" w:ascii="宋体" w:eastAsia="宋体" w:cs="宋体"/>
          <w:color w:val="000000"/>
          <w:kern w:val="0"/>
          <w:sz w:val="32"/>
          <w:szCs w:val="32"/>
          <w:highlight w:val="none"/>
          <w:shd w:val="clear" w:color="auto" w:fill="FFFFFF"/>
          <w:lang w:val="en-US" w:eastAsia="zh-CN"/>
        </w:rPr>
        <w:t>2</w:t>
      </w:r>
      <w:r>
        <w:rPr>
          <w:rFonts w:hint="eastAsia" w:ascii="宋体" w:eastAsia="宋体" w:cs="宋体"/>
          <w:color w:val="000000"/>
          <w:kern w:val="0"/>
          <w:sz w:val="32"/>
          <w:szCs w:val="32"/>
          <w:highlight w:val="none"/>
          <w:shd w:val="clear" w:color="auto" w:fill="FFFFFF"/>
          <w:lang w:val="zh-CN"/>
        </w:rPr>
        <w:t>月预算执行总体进度为</w:t>
      </w:r>
      <w:r>
        <w:rPr>
          <w:rFonts w:hint="eastAsia" w:ascii="宋体" w:eastAsia="宋体" w:cs="宋体"/>
          <w:color w:val="000000"/>
          <w:kern w:val="0"/>
          <w:sz w:val="32"/>
          <w:szCs w:val="32"/>
          <w:highlight w:val="none"/>
          <w:shd w:val="clear" w:color="auto" w:fill="FFFFFF"/>
          <w:lang w:val="en-US" w:eastAsia="zh-CN"/>
        </w:rPr>
        <w:t>100</w:t>
      </w:r>
      <w:r>
        <w:rPr>
          <w:rFonts w:hint="eastAsia" w:ascii="宋体" w:eastAsia="宋体" w:cs="宋体"/>
          <w:color w:val="000000"/>
          <w:kern w:val="0"/>
          <w:sz w:val="32"/>
          <w:szCs w:val="32"/>
          <w:highlight w:val="none"/>
          <w:shd w:val="clear" w:color="auto" w:fill="FFFFFF"/>
          <w:lang w:val="zh-CN"/>
        </w:rPr>
        <w:t>%。</w:t>
      </w:r>
    </w:p>
    <w:p w14:paraId="0C503D2F">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en-US" w:eastAsia="zh-CN"/>
        </w:rPr>
      </w:pPr>
      <w:r>
        <w:rPr>
          <w:rFonts w:hint="eastAsia" w:ascii="宋体" w:eastAsia="宋体" w:cs="宋体"/>
          <w:color w:val="000000"/>
          <w:kern w:val="0"/>
          <w:sz w:val="32"/>
          <w:szCs w:val="32"/>
          <w:highlight w:val="none"/>
          <w:shd w:val="clear" w:color="auto" w:fill="FFFFFF"/>
          <w:lang w:val="en-US" w:eastAsia="zh-CN"/>
        </w:rPr>
        <w:t>阶段（含一次性）项目绩效分析。</w:t>
      </w:r>
      <w:r>
        <w:rPr>
          <w:rFonts w:hint="eastAsia" w:ascii="宋体" w:eastAsia="宋体" w:cs="宋体"/>
          <w:color w:val="000000"/>
          <w:kern w:val="0"/>
          <w:sz w:val="32"/>
          <w:szCs w:val="32"/>
          <w:highlight w:val="none"/>
          <w:shd w:val="clear" w:color="auto" w:fill="FFFFFF"/>
          <w:lang w:val="zh-CN" w:eastAsia="zh-CN"/>
        </w:rPr>
        <w:t>该类项目总数</w:t>
      </w:r>
      <w:r>
        <w:rPr>
          <w:rFonts w:hint="eastAsia" w:ascii="宋体" w:eastAsia="宋体" w:cs="宋体"/>
          <w:color w:val="000000"/>
          <w:kern w:val="0"/>
          <w:sz w:val="32"/>
          <w:szCs w:val="32"/>
          <w:highlight w:val="none"/>
          <w:shd w:val="clear" w:color="auto" w:fill="FFFFFF"/>
          <w:lang w:val="en-US" w:eastAsia="zh-CN"/>
        </w:rPr>
        <w:t>1</w:t>
      </w:r>
      <w:r>
        <w:rPr>
          <w:rFonts w:hint="eastAsia" w:ascii="宋体" w:eastAsia="宋体" w:cs="宋体"/>
          <w:color w:val="000000"/>
          <w:kern w:val="0"/>
          <w:sz w:val="32"/>
          <w:szCs w:val="32"/>
          <w:highlight w:val="none"/>
          <w:shd w:val="clear" w:color="auto" w:fill="FFFFFF"/>
          <w:lang w:val="zh-CN" w:eastAsia="zh-CN"/>
        </w:rPr>
        <w:t>个，涉及预算总金额</w:t>
      </w:r>
      <w:r>
        <w:rPr>
          <w:rFonts w:hint="eastAsia" w:ascii="宋体" w:eastAsia="宋体" w:cs="宋体"/>
          <w:color w:val="000000"/>
          <w:kern w:val="0"/>
          <w:sz w:val="32"/>
          <w:szCs w:val="32"/>
          <w:highlight w:val="none"/>
          <w:shd w:val="clear" w:color="auto" w:fill="FFFFFF"/>
          <w:lang w:val="en-US" w:eastAsia="zh-CN"/>
        </w:rPr>
        <w:t>4.41</w:t>
      </w:r>
      <w:r>
        <w:rPr>
          <w:rFonts w:hint="eastAsia" w:ascii="宋体" w:eastAsia="宋体" w:cs="宋体"/>
          <w:color w:val="000000"/>
          <w:kern w:val="0"/>
          <w:sz w:val="32"/>
          <w:szCs w:val="32"/>
          <w:highlight w:val="none"/>
          <w:shd w:val="clear" w:color="auto" w:fill="FFFFFF"/>
          <w:lang w:val="zh-CN" w:eastAsia="zh-CN"/>
        </w:rPr>
        <w:t>万元，</w:t>
      </w:r>
      <w:r>
        <w:rPr>
          <w:rFonts w:hint="eastAsia" w:ascii="宋体" w:eastAsia="宋体" w:cs="宋体"/>
          <w:color w:val="000000"/>
          <w:kern w:val="0"/>
          <w:sz w:val="32"/>
          <w:szCs w:val="32"/>
          <w:highlight w:val="none"/>
          <w:shd w:val="clear" w:color="auto" w:fill="FFFFFF"/>
          <w:lang w:val="zh-CN"/>
        </w:rPr>
        <w:t>1</w:t>
      </w:r>
      <w:r>
        <w:rPr>
          <w:rFonts w:hint="eastAsia" w:ascii="宋体" w:eastAsia="宋体" w:cs="宋体"/>
          <w:color w:val="000000"/>
          <w:kern w:val="0"/>
          <w:sz w:val="32"/>
          <w:szCs w:val="32"/>
          <w:highlight w:val="none"/>
          <w:shd w:val="clear" w:color="auto" w:fill="FFFFFF"/>
          <w:lang w:val="zh-CN" w:eastAsia="zh-CN"/>
        </w:rPr>
        <w:t>—</w:t>
      </w:r>
      <w:r>
        <w:rPr>
          <w:rFonts w:hint="eastAsia" w:ascii="宋体" w:eastAsia="宋体" w:cs="宋体"/>
          <w:color w:val="000000"/>
          <w:kern w:val="0"/>
          <w:sz w:val="32"/>
          <w:szCs w:val="32"/>
          <w:highlight w:val="none"/>
          <w:shd w:val="clear" w:color="auto" w:fill="FFFFFF"/>
          <w:lang w:val="zh-CN"/>
        </w:rPr>
        <w:t>1</w:t>
      </w:r>
      <w:r>
        <w:rPr>
          <w:rFonts w:hint="eastAsia" w:ascii="宋体" w:eastAsia="宋体" w:cs="宋体"/>
          <w:color w:val="000000"/>
          <w:kern w:val="0"/>
          <w:sz w:val="32"/>
          <w:szCs w:val="32"/>
          <w:highlight w:val="none"/>
          <w:shd w:val="clear" w:color="auto" w:fill="FFFFFF"/>
          <w:lang w:val="en-US" w:eastAsia="zh-CN"/>
        </w:rPr>
        <w:t>2</w:t>
      </w:r>
      <w:r>
        <w:rPr>
          <w:rFonts w:hint="eastAsia" w:ascii="宋体" w:eastAsia="宋体" w:cs="宋体"/>
          <w:color w:val="000000"/>
          <w:kern w:val="0"/>
          <w:sz w:val="32"/>
          <w:szCs w:val="32"/>
          <w:highlight w:val="none"/>
          <w:shd w:val="clear" w:color="auto" w:fill="FFFFFF"/>
          <w:lang w:val="zh-CN"/>
        </w:rPr>
        <w:t>月预算执行总体进度为</w:t>
      </w:r>
      <w:r>
        <w:rPr>
          <w:rFonts w:hint="eastAsia" w:ascii="宋体" w:eastAsia="宋体" w:cs="宋体"/>
          <w:color w:val="000000"/>
          <w:kern w:val="0"/>
          <w:sz w:val="32"/>
          <w:szCs w:val="32"/>
          <w:highlight w:val="none"/>
          <w:shd w:val="clear" w:color="auto" w:fill="FFFFFF"/>
          <w:lang w:val="en-US" w:eastAsia="zh-CN"/>
        </w:rPr>
        <w:t>100</w:t>
      </w:r>
      <w:r>
        <w:rPr>
          <w:rFonts w:hint="eastAsia" w:ascii="宋体" w:eastAsia="宋体" w:cs="宋体"/>
          <w:color w:val="000000"/>
          <w:kern w:val="0"/>
          <w:sz w:val="32"/>
          <w:szCs w:val="32"/>
          <w:highlight w:val="none"/>
          <w:shd w:val="clear" w:color="auto" w:fill="FFFFFF"/>
          <w:lang w:val="zh-CN"/>
        </w:rPr>
        <w:t>%</w:t>
      </w:r>
      <w:r>
        <w:rPr>
          <w:rFonts w:hint="eastAsia" w:ascii="宋体" w:eastAsia="宋体" w:cs="宋体"/>
          <w:color w:val="000000"/>
          <w:kern w:val="0"/>
          <w:sz w:val="32"/>
          <w:szCs w:val="32"/>
          <w:highlight w:val="none"/>
          <w:shd w:val="clear" w:color="auto" w:fill="FFFFFF"/>
          <w:lang w:val="en-US" w:eastAsia="zh-CN"/>
        </w:rPr>
        <w:t>.</w:t>
      </w:r>
    </w:p>
    <w:p w14:paraId="4F77BEFC">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en-US" w:eastAsia="zh-CN"/>
        </w:rPr>
        <w:t>1.</w:t>
      </w:r>
      <w:r>
        <w:rPr>
          <w:rFonts w:hint="eastAsia" w:ascii="宋体" w:eastAsia="宋体" w:cs="宋体"/>
          <w:color w:val="000000"/>
          <w:kern w:val="0"/>
          <w:sz w:val="32"/>
          <w:szCs w:val="32"/>
          <w:highlight w:val="none"/>
          <w:shd w:val="clear" w:color="auto" w:fill="FFFFFF"/>
          <w:lang w:val="zh-CN"/>
        </w:rPr>
        <w:t>项目决策（</w:t>
      </w:r>
      <w:r>
        <w:rPr>
          <w:rFonts w:hint="eastAsia" w:ascii="宋体" w:eastAsia="宋体" w:cs="宋体"/>
          <w:color w:val="000000"/>
          <w:kern w:val="0"/>
          <w:sz w:val="32"/>
          <w:szCs w:val="32"/>
          <w:highlight w:val="none"/>
          <w:shd w:val="clear" w:color="auto" w:fill="FFFFFF"/>
          <w:lang w:val="en-US" w:eastAsia="zh-CN"/>
        </w:rPr>
        <w:t>总分12分，得11分</w:t>
      </w:r>
      <w:r>
        <w:rPr>
          <w:rFonts w:hint="eastAsia" w:ascii="宋体" w:eastAsia="宋体" w:cs="宋体"/>
          <w:color w:val="000000"/>
          <w:kern w:val="0"/>
          <w:sz w:val="32"/>
          <w:szCs w:val="32"/>
          <w:highlight w:val="none"/>
          <w:shd w:val="clear" w:color="auto" w:fill="FFFFFF"/>
          <w:lang w:val="zh-CN"/>
        </w:rPr>
        <w:t>）</w:t>
      </w:r>
    </w:p>
    <w:p w14:paraId="2D11A8B8">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zh-CN"/>
        </w:rPr>
        <w:t>（</w:t>
      </w:r>
      <w:r>
        <w:rPr>
          <w:rFonts w:hint="eastAsia" w:ascii="宋体" w:eastAsia="宋体" w:cs="宋体"/>
          <w:color w:val="000000"/>
          <w:kern w:val="0"/>
          <w:sz w:val="32"/>
          <w:szCs w:val="32"/>
          <w:highlight w:val="none"/>
          <w:shd w:val="clear" w:color="auto" w:fill="FFFFFF"/>
          <w:lang w:val="en-US" w:eastAsia="zh-CN"/>
        </w:rPr>
        <w:t>1</w:t>
      </w:r>
      <w:r>
        <w:rPr>
          <w:rFonts w:hint="eastAsia" w:ascii="宋体" w:eastAsia="宋体" w:cs="宋体"/>
          <w:color w:val="000000"/>
          <w:kern w:val="0"/>
          <w:sz w:val="32"/>
          <w:szCs w:val="32"/>
          <w:highlight w:val="none"/>
          <w:shd w:val="clear" w:color="auto" w:fill="FFFFFF"/>
          <w:lang w:val="zh-CN"/>
        </w:rPr>
        <w:t>）决策程序（</w:t>
      </w:r>
      <w:r>
        <w:rPr>
          <w:rFonts w:hint="eastAsia" w:ascii="宋体" w:eastAsia="宋体" w:cs="宋体"/>
          <w:color w:val="000000"/>
          <w:kern w:val="0"/>
          <w:sz w:val="32"/>
          <w:szCs w:val="32"/>
          <w:highlight w:val="none"/>
          <w:shd w:val="clear" w:color="auto" w:fill="FFFFFF"/>
          <w:lang w:val="en-US" w:eastAsia="zh-CN"/>
        </w:rPr>
        <w:t>4分，得4分</w:t>
      </w:r>
      <w:r>
        <w:rPr>
          <w:rFonts w:hint="eastAsia" w:ascii="宋体" w:eastAsia="宋体" w:cs="宋体"/>
          <w:color w:val="000000"/>
          <w:kern w:val="0"/>
          <w:sz w:val="32"/>
          <w:szCs w:val="32"/>
          <w:highlight w:val="none"/>
          <w:shd w:val="clear" w:color="auto" w:fill="FFFFFF"/>
          <w:lang w:val="zh-CN"/>
        </w:rPr>
        <w:t>）</w:t>
      </w:r>
    </w:p>
    <w:p w14:paraId="1E8C47F6">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eastAsia="zh-CN"/>
        </w:rPr>
      </w:pPr>
      <w:r>
        <w:rPr>
          <w:rFonts w:hint="eastAsia" w:ascii="宋体" w:eastAsia="宋体" w:cs="宋体"/>
          <w:color w:val="000000"/>
          <w:kern w:val="0"/>
          <w:sz w:val="32"/>
          <w:szCs w:val="32"/>
          <w:highlight w:val="none"/>
          <w:shd w:val="clear" w:color="auto" w:fill="FFFFFF"/>
          <w:lang w:val="en-US" w:eastAsia="zh-CN"/>
        </w:rPr>
        <w:t>本单位</w:t>
      </w:r>
      <w:r>
        <w:rPr>
          <w:rFonts w:hint="eastAsia" w:ascii="宋体" w:eastAsia="宋体" w:cs="宋体"/>
          <w:color w:val="000000"/>
          <w:kern w:val="0"/>
          <w:sz w:val="32"/>
          <w:szCs w:val="32"/>
          <w:highlight w:val="none"/>
          <w:shd w:val="clear" w:color="auto" w:fill="FFFFFF"/>
          <w:lang w:val="zh-CN" w:eastAsia="zh-CN"/>
        </w:rPr>
        <w:t>预算项目设立</w:t>
      </w:r>
      <w:r>
        <w:rPr>
          <w:rFonts w:hint="eastAsia" w:ascii="宋体" w:eastAsia="宋体" w:cs="宋体"/>
          <w:color w:val="000000"/>
          <w:kern w:val="0"/>
          <w:sz w:val="32"/>
          <w:szCs w:val="32"/>
          <w:highlight w:val="none"/>
          <w:shd w:val="clear" w:color="auto" w:fill="FFFFFF"/>
          <w:lang w:val="en-US" w:eastAsia="zh-CN"/>
        </w:rPr>
        <w:t>严格按照</w:t>
      </w:r>
      <w:r>
        <w:rPr>
          <w:rFonts w:hint="eastAsia" w:ascii="宋体" w:eastAsia="宋体" w:cs="宋体"/>
          <w:color w:val="000000"/>
          <w:kern w:val="0"/>
          <w:sz w:val="32"/>
          <w:szCs w:val="32"/>
          <w:highlight w:val="none"/>
          <w:shd w:val="clear" w:color="auto" w:fill="FFFFFF"/>
          <w:lang w:val="zh-CN" w:eastAsia="zh-CN"/>
        </w:rPr>
        <w:t>规定履行评估论证</w:t>
      </w:r>
      <w:r>
        <w:rPr>
          <w:rFonts w:hint="eastAsia" w:ascii="宋体" w:eastAsia="宋体" w:cs="宋体"/>
          <w:color w:val="000000"/>
          <w:kern w:val="0"/>
          <w:sz w:val="32"/>
          <w:szCs w:val="32"/>
          <w:highlight w:val="none"/>
          <w:shd w:val="clear" w:color="auto" w:fill="FFFFFF"/>
          <w:lang w:val="en-US" w:eastAsia="zh-CN"/>
        </w:rPr>
        <w:t>和申报程序，未履行事前评估程序的部门预算阶段项目数量为0，该项得分4分</w:t>
      </w:r>
      <w:r>
        <w:rPr>
          <w:rFonts w:hint="eastAsia" w:ascii="宋体" w:eastAsia="宋体" w:cs="宋体"/>
          <w:color w:val="000000"/>
          <w:kern w:val="0"/>
          <w:sz w:val="32"/>
          <w:szCs w:val="32"/>
          <w:highlight w:val="none"/>
          <w:shd w:val="clear" w:color="auto" w:fill="FFFFFF"/>
          <w:lang w:val="zh-CN" w:eastAsia="zh-CN"/>
        </w:rPr>
        <w:t>。</w:t>
      </w:r>
    </w:p>
    <w:p w14:paraId="41204E3C">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zh-CN"/>
        </w:rPr>
        <w:t>（</w:t>
      </w:r>
      <w:r>
        <w:rPr>
          <w:rFonts w:hint="eastAsia" w:ascii="宋体" w:eastAsia="宋体" w:cs="宋体"/>
          <w:color w:val="000000"/>
          <w:kern w:val="0"/>
          <w:sz w:val="32"/>
          <w:szCs w:val="32"/>
          <w:highlight w:val="none"/>
          <w:shd w:val="clear" w:color="auto" w:fill="FFFFFF"/>
          <w:lang w:val="en-US" w:eastAsia="zh-CN"/>
        </w:rPr>
        <w:t>2</w:t>
      </w:r>
      <w:r>
        <w:rPr>
          <w:rFonts w:hint="eastAsia" w:ascii="宋体" w:eastAsia="宋体" w:cs="宋体"/>
          <w:color w:val="000000"/>
          <w:kern w:val="0"/>
          <w:sz w:val="32"/>
          <w:szCs w:val="32"/>
          <w:highlight w:val="none"/>
          <w:shd w:val="clear" w:color="auto" w:fill="FFFFFF"/>
          <w:lang w:val="zh-CN"/>
        </w:rPr>
        <w:t>）目标设置（</w:t>
      </w:r>
      <w:r>
        <w:rPr>
          <w:rFonts w:hint="eastAsia" w:ascii="宋体" w:eastAsia="宋体" w:cs="宋体"/>
          <w:color w:val="000000"/>
          <w:kern w:val="0"/>
          <w:sz w:val="32"/>
          <w:szCs w:val="32"/>
          <w:highlight w:val="none"/>
          <w:shd w:val="clear" w:color="auto" w:fill="FFFFFF"/>
          <w:lang w:val="en-US" w:eastAsia="zh-CN"/>
        </w:rPr>
        <w:t>4分，得3分</w:t>
      </w:r>
      <w:r>
        <w:rPr>
          <w:rFonts w:hint="eastAsia" w:ascii="宋体" w:eastAsia="宋体" w:cs="宋体"/>
          <w:color w:val="000000"/>
          <w:kern w:val="0"/>
          <w:sz w:val="32"/>
          <w:szCs w:val="32"/>
          <w:highlight w:val="none"/>
          <w:shd w:val="clear" w:color="auto" w:fill="FFFFFF"/>
          <w:lang w:val="zh-CN"/>
        </w:rPr>
        <w:t>）</w:t>
      </w:r>
    </w:p>
    <w:p w14:paraId="0C82325C">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en-US" w:eastAsia="zh-CN"/>
        </w:rPr>
      </w:pPr>
      <w:r>
        <w:rPr>
          <w:rFonts w:hint="eastAsia" w:ascii="宋体" w:eastAsia="宋体" w:cs="宋体"/>
          <w:color w:val="000000"/>
          <w:kern w:val="0"/>
          <w:sz w:val="32"/>
          <w:szCs w:val="32"/>
          <w:highlight w:val="none"/>
          <w:shd w:val="clear" w:color="auto" w:fill="FFFFFF"/>
          <w:lang w:val="en-US" w:eastAsia="zh-CN"/>
        </w:rPr>
        <w:t>本单位</w:t>
      </w:r>
      <w:r>
        <w:rPr>
          <w:rFonts w:hint="eastAsia" w:ascii="宋体" w:eastAsia="宋体" w:cs="宋体"/>
          <w:color w:val="000000"/>
          <w:kern w:val="0"/>
          <w:sz w:val="32"/>
          <w:szCs w:val="32"/>
          <w:highlight w:val="none"/>
          <w:shd w:val="clear" w:color="auto" w:fill="FFFFFF"/>
          <w:lang w:val="zh-CN" w:eastAsia="zh-CN"/>
        </w:rPr>
        <w:t>预算项目切实按照</w:t>
      </w:r>
      <w:r>
        <w:rPr>
          <w:rFonts w:hint="eastAsia" w:ascii="宋体" w:eastAsia="宋体" w:cs="宋体"/>
          <w:color w:val="000000"/>
          <w:kern w:val="0"/>
          <w:sz w:val="32"/>
          <w:szCs w:val="32"/>
          <w:highlight w:val="none"/>
          <w:shd w:val="clear" w:color="auto" w:fill="FFFFFF"/>
          <w:lang w:val="en-US" w:eastAsia="zh-CN"/>
        </w:rPr>
        <w:t>上级部门要求</w:t>
      </w:r>
      <w:r>
        <w:rPr>
          <w:rFonts w:hint="eastAsia" w:ascii="宋体" w:eastAsia="宋体" w:cs="宋体"/>
          <w:color w:val="000000"/>
          <w:kern w:val="0"/>
          <w:sz w:val="32"/>
          <w:szCs w:val="32"/>
          <w:highlight w:val="none"/>
          <w:shd w:val="clear" w:color="auto" w:fill="FFFFFF"/>
          <w:lang w:val="zh-CN" w:eastAsia="zh-CN"/>
        </w:rPr>
        <w:t>和年度重点任务制定绩效目标，编制要素科学合理、规范完整，与预算安排相匹配，绩效目标与计划期内的任务量、预算安排不相匹配的部门预算阶段项目</w:t>
      </w:r>
      <w:r>
        <w:rPr>
          <w:rFonts w:hint="eastAsia" w:ascii="宋体" w:eastAsia="宋体" w:cs="宋体"/>
          <w:color w:val="000000"/>
          <w:kern w:val="0"/>
          <w:sz w:val="32"/>
          <w:szCs w:val="32"/>
          <w:highlight w:val="none"/>
          <w:shd w:val="clear" w:color="auto" w:fill="FFFFFF"/>
          <w:lang w:val="en-US" w:eastAsia="zh-CN"/>
        </w:rPr>
        <w:t>数量为0，但存在部分</w:t>
      </w:r>
      <w:r>
        <w:rPr>
          <w:rFonts w:hint="eastAsia" w:ascii="宋体" w:eastAsia="宋体" w:cs="宋体"/>
          <w:color w:val="000000"/>
          <w:kern w:val="0"/>
          <w:sz w:val="32"/>
          <w:szCs w:val="32"/>
          <w:highlight w:val="none"/>
          <w:shd w:val="clear" w:color="auto" w:fill="FFFFFF"/>
          <w:lang w:val="zh-CN" w:eastAsia="zh-CN"/>
        </w:rPr>
        <w:t>绩效指标编制细化量化</w:t>
      </w:r>
      <w:r>
        <w:rPr>
          <w:rFonts w:hint="eastAsia" w:ascii="宋体" w:eastAsia="宋体" w:cs="宋体"/>
          <w:color w:val="000000"/>
          <w:kern w:val="0"/>
          <w:sz w:val="32"/>
          <w:szCs w:val="32"/>
          <w:highlight w:val="none"/>
          <w:shd w:val="clear" w:color="auto" w:fill="FFFFFF"/>
          <w:lang w:val="en-US" w:eastAsia="zh-CN"/>
        </w:rPr>
        <w:t>不充分，该项得分3分</w:t>
      </w:r>
      <w:r>
        <w:rPr>
          <w:rFonts w:hint="eastAsia" w:ascii="宋体" w:eastAsia="宋体" w:cs="宋体"/>
          <w:color w:val="000000"/>
          <w:kern w:val="0"/>
          <w:sz w:val="32"/>
          <w:szCs w:val="32"/>
          <w:highlight w:val="none"/>
          <w:shd w:val="clear" w:color="auto" w:fill="FFFFFF"/>
          <w:lang w:val="zh-CN" w:eastAsia="zh-CN"/>
        </w:rPr>
        <w:t>。</w:t>
      </w:r>
    </w:p>
    <w:p w14:paraId="33C21E42">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zh-CN"/>
        </w:rPr>
        <w:t>（</w:t>
      </w:r>
      <w:r>
        <w:rPr>
          <w:rFonts w:hint="eastAsia" w:ascii="宋体" w:eastAsia="宋体" w:cs="宋体"/>
          <w:color w:val="000000"/>
          <w:kern w:val="0"/>
          <w:sz w:val="32"/>
          <w:szCs w:val="32"/>
          <w:highlight w:val="none"/>
          <w:shd w:val="clear" w:color="auto" w:fill="FFFFFF"/>
          <w:lang w:val="en-US" w:eastAsia="zh-CN"/>
        </w:rPr>
        <w:t>3</w:t>
      </w:r>
      <w:r>
        <w:rPr>
          <w:rFonts w:hint="eastAsia" w:ascii="宋体" w:eastAsia="宋体" w:cs="宋体"/>
          <w:color w:val="000000"/>
          <w:kern w:val="0"/>
          <w:sz w:val="32"/>
          <w:szCs w:val="32"/>
          <w:highlight w:val="none"/>
          <w:shd w:val="clear" w:color="auto" w:fill="FFFFFF"/>
          <w:lang w:val="zh-CN"/>
        </w:rPr>
        <w:t>）项目入库（</w:t>
      </w:r>
      <w:r>
        <w:rPr>
          <w:rFonts w:hint="eastAsia" w:ascii="宋体" w:eastAsia="宋体" w:cs="宋体"/>
          <w:color w:val="000000"/>
          <w:kern w:val="0"/>
          <w:sz w:val="32"/>
          <w:szCs w:val="32"/>
          <w:highlight w:val="none"/>
          <w:shd w:val="clear" w:color="auto" w:fill="FFFFFF"/>
          <w:lang w:val="en-US" w:eastAsia="zh-CN"/>
        </w:rPr>
        <w:t>4分，得4分</w:t>
      </w:r>
      <w:r>
        <w:rPr>
          <w:rFonts w:hint="eastAsia" w:ascii="宋体" w:eastAsia="宋体" w:cs="宋体"/>
          <w:color w:val="000000"/>
          <w:kern w:val="0"/>
          <w:sz w:val="32"/>
          <w:szCs w:val="32"/>
          <w:highlight w:val="none"/>
          <w:shd w:val="clear" w:color="auto" w:fill="FFFFFF"/>
          <w:lang w:val="zh-CN"/>
        </w:rPr>
        <w:t>）</w:t>
      </w:r>
    </w:p>
    <w:p w14:paraId="2A79D2D3">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eastAsia="zh-CN"/>
        </w:rPr>
      </w:pPr>
      <w:r>
        <w:rPr>
          <w:rFonts w:hint="eastAsia" w:ascii="宋体" w:eastAsia="宋体" w:cs="宋体"/>
          <w:color w:val="000000"/>
          <w:kern w:val="0"/>
          <w:sz w:val="32"/>
          <w:szCs w:val="32"/>
          <w:highlight w:val="none"/>
          <w:shd w:val="clear" w:color="auto" w:fill="FFFFFF"/>
          <w:lang w:val="en-US" w:eastAsia="zh-CN"/>
        </w:rPr>
        <w:t>本单位预算项目均在</w:t>
      </w:r>
      <w:r>
        <w:rPr>
          <w:rFonts w:hint="eastAsia" w:ascii="宋体" w:eastAsia="宋体" w:cs="宋体"/>
          <w:color w:val="000000"/>
          <w:kern w:val="0"/>
          <w:sz w:val="32"/>
          <w:szCs w:val="32"/>
          <w:highlight w:val="none"/>
          <w:shd w:val="clear" w:color="auto" w:fill="FFFFFF"/>
          <w:lang w:val="zh-CN" w:eastAsia="zh-CN"/>
        </w:rPr>
        <w:t>规定时间完成项目入库，9月30日前未入财政库部门预算阶段项目（含一次性项目）数量</w:t>
      </w:r>
      <w:r>
        <w:rPr>
          <w:rFonts w:hint="eastAsia" w:ascii="宋体" w:eastAsia="宋体" w:cs="宋体"/>
          <w:color w:val="000000"/>
          <w:kern w:val="0"/>
          <w:sz w:val="32"/>
          <w:szCs w:val="32"/>
          <w:highlight w:val="none"/>
          <w:shd w:val="clear" w:color="auto" w:fill="FFFFFF"/>
          <w:lang w:val="en-US" w:eastAsia="zh-CN"/>
        </w:rPr>
        <w:t>为0，该项得分4分</w:t>
      </w:r>
      <w:r>
        <w:rPr>
          <w:rFonts w:hint="eastAsia" w:ascii="宋体" w:eastAsia="宋体" w:cs="宋体"/>
          <w:color w:val="000000"/>
          <w:kern w:val="0"/>
          <w:sz w:val="32"/>
          <w:szCs w:val="32"/>
          <w:highlight w:val="none"/>
          <w:shd w:val="clear" w:color="auto" w:fill="FFFFFF"/>
          <w:lang w:val="zh-CN" w:eastAsia="zh-CN"/>
        </w:rPr>
        <w:t>。</w:t>
      </w:r>
    </w:p>
    <w:p w14:paraId="61C841C9">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en-US" w:eastAsia="zh-CN"/>
        </w:rPr>
      </w:pPr>
      <w:r>
        <w:rPr>
          <w:rFonts w:hint="eastAsia" w:ascii="宋体" w:eastAsia="宋体" w:cs="宋体"/>
          <w:color w:val="000000"/>
          <w:kern w:val="0"/>
          <w:sz w:val="32"/>
          <w:szCs w:val="32"/>
          <w:highlight w:val="none"/>
          <w:shd w:val="clear" w:color="auto" w:fill="FFFFFF"/>
          <w:lang w:val="en-US" w:eastAsia="zh-CN"/>
        </w:rPr>
        <w:t>2.项目执行</w:t>
      </w:r>
      <w:r>
        <w:rPr>
          <w:rFonts w:hint="eastAsia" w:ascii="宋体" w:eastAsia="宋体" w:cs="宋体"/>
          <w:color w:val="000000"/>
          <w:kern w:val="0"/>
          <w:sz w:val="32"/>
          <w:szCs w:val="32"/>
          <w:highlight w:val="none"/>
          <w:shd w:val="clear" w:color="auto" w:fill="FFFFFF"/>
          <w:lang w:val="zh-CN"/>
        </w:rPr>
        <w:t>（</w:t>
      </w:r>
      <w:r>
        <w:rPr>
          <w:rFonts w:hint="eastAsia" w:ascii="宋体" w:eastAsia="宋体" w:cs="宋体"/>
          <w:color w:val="000000"/>
          <w:kern w:val="0"/>
          <w:sz w:val="32"/>
          <w:szCs w:val="32"/>
          <w:highlight w:val="none"/>
          <w:shd w:val="clear" w:color="auto" w:fill="FFFFFF"/>
          <w:lang w:val="en-US" w:eastAsia="zh-CN"/>
        </w:rPr>
        <w:t>总分12分，得12分</w:t>
      </w:r>
      <w:r>
        <w:rPr>
          <w:rFonts w:hint="eastAsia" w:ascii="宋体" w:eastAsia="宋体" w:cs="宋体"/>
          <w:color w:val="000000"/>
          <w:kern w:val="0"/>
          <w:sz w:val="32"/>
          <w:szCs w:val="32"/>
          <w:highlight w:val="none"/>
          <w:shd w:val="clear" w:color="auto" w:fill="FFFFFF"/>
          <w:lang w:val="zh-CN"/>
        </w:rPr>
        <w:t>）</w:t>
      </w:r>
    </w:p>
    <w:p w14:paraId="79F6630E">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zh-CN"/>
        </w:rPr>
        <w:t>（</w:t>
      </w:r>
      <w:r>
        <w:rPr>
          <w:rFonts w:hint="eastAsia" w:ascii="宋体" w:eastAsia="宋体" w:cs="宋体"/>
          <w:color w:val="000000"/>
          <w:kern w:val="0"/>
          <w:sz w:val="32"/>
          <w:szCs w:val="32"/>
          <w:highlight w:val="none"/>
          <w:shd w:val="clear" w:color="auto" w:fill="FFFFFF"/>
          <w:lang w:val="en-US" w:eastAsia="zh-CN"/>
        </w:rPr>
        <w:t>1</w:t>
      </w:r>
      <w:r>
        <w:rPr>
          <w:rFonts w:hint="eastAsia" w:ascii="宋体" w:eastAsia="宋体" w:cs="宋体"/>
          <w:color w:val="000000"/>
          <w:kern w:val="0"/>
          <w:sz w:val="32"/>
          <w:szCs w:val="32"/>
          <w:highlight w:val="none"/>
          <w:shd w:val="clear" w:color="auto" w:fill="FFFFFF"/>
          <w:lang w:val="zh-CN"/>
        </w:rPr>
        <w:t>）执行同向（</w:t>
      </w:r>
      <w:r>
        <w:rPr>
          <w:rFonts w:hint="eastAsia" w:ascii="宋体" w:eastAsia="宋体" w:cs="宋体"/>
          <w:color w:val="000000"/>
          <w:kern w:val="0"/>
          <w:sz w:val="32"/>
          <w:szCs w:val="32"/>
          <w:highlight w:val="none"/>
          <w:shd w:val="clear" w:color="auto" w:fill="FFFFFF"/>
          <w:lang w:val="en-US" w:eastAsia="zh-CN"/>
        </w:rPr>
        <w:t>4分，得4分</w:t>
      </w:r>
      <w:r>
        <w:rPr>
          <w:rFonts w:hint="eastAsia" w:ascii="宋体" w:eastAsia="宋体" w:cs="宋体"/>
          <w:color w:val="000000"/>
          <w:kern w:val="0"/>
          <w:sz w:val="32"/>
          <w:szCs w:val="32"/>
          <w:highlight w:val="none"/>
          <w:shd w:val="clear" w:color="auto" w:fill="FFFFFF"/>
          <w:lang w:val="zh-CN"/>
        </w:rPr>
        <w:t>）</w:t>
      </w:r>
    </w:p>
    <w:p w14:paraId="36C55D4D">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eastAsia="zh-CN"/>
        </w:rPr>
      </w:pPr>
      <w:r>
        <w:rPr>
          <w:rFonts w:hint="eastAsia" w:ascii="宋体" w:eastAsia="宋体" w:cs="宋体"/>
          <w:color w:val="000000"/>
          <w:kern w:val="0"/>
          <w:sz w:val="32"/>
          <w:szCs w:val="32"/>
          <w:highlight w:val="none"/>
          <w:shd w:val="clear" w:color="auto" w:fill="FFFFFF"/>
          <w:lang w:val="en-US" w:eastAsia="zh-CN"/>
        </w:rPr>
        <w:t>本单位预算项目</w:t>
      </w:r>
      <w:r>
        <w:rPr>
          <w:rFonts w:hint="eastAsia" w:ascii="宋体" w:eastAsia="宋体" w:cs="宋体"/>
          <w:color w:val="000000"/>
          <w:kern w:val="0"/>
          <w:sz w:val="32"/>
          <w:szCs w:val="32"/>
          <w:highlight w:val="none"/>
          <w:shd w:val="clear" w:color="auto" w:fill="FFFFFF"/>
          <w:lang w:val="zh-CN" w:eastAsia="zh-CN"/>
        </w:rPr>
        <w:t>围绕各项绩效目标，认真履行职责，实际列支内容与绩效目标设置方向</w:t>
      </w:r>
      <w:r>
        <w:rPr>
          <w:rFonts w:hint="eastAsia" w:ascii="宋体" w:eastAsia="宋体" w:cs="宋体"/>
          <w:color w:val="000000"/>
          <w:kern w:val="0"/>
          <w:sz w:val="32"/>
          <w:szCs w:val="32"/>
          <w:highlight w:val="none"/>
          <w:shd w:val="clear" w:color="auto" w:fill="FFFFFF"/>
          <w:lang w:val="en-US" w:eastAsia="zh-CN"/>
        </w:rPr>
        <w:t>保持一致，该项得分4分。</w:t>
      </w:r>
    </w:p>
    <w:p w14:paraId="3226F960">
      <w:pPr>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zh-CN"/>
        </w:rPr>
        <w:t>项目调整（</w:t>
      </w:r>
      <w:r>
        <w:rPr>
          <w:rFonts w:hint="eastAsia" w:ascii="宋体" w:eastAsia="宋体" w:cs="宋体"/>
          <w:color w:val="000000"/>
          <w:kern w:val="0"/>
          <w:sz w:val="32"/>
          <w:szCs w:val="32"/>
          <w:highlight w:val="none"/>
          <w:shd w:val="clear" w:color="auto" w:fill="FFFFFF"/>
          <w:lang w:val="en-US" w:eastAsia="zh-CN"/>
        </w:rPr>
        <w:t>4分，得4分</w:t>
      </w:r>
      <w:r>
        <w:rPr>
          <w:rFonts w:hint="eastAsia" w:ascii="宋体" w:eastAsia="宋体" w:cs="宋体"/>
          <w:color w:val="000000"/>
          <w:kern w:val="0"/>
          <w:sz w:val="32"/>
          <w:szCs w:val="32"/>
          <w:highlight w:val="none"/>
          <w:shd w:val="clear" w:color="auto" w:fill="FFFFFF"/>
          <w:lang w:val="zh-CN"/>
        </w:rPr>
        <w:t>）</w:t>
      </w:r>
    </w:p>
    <w:p w14:paraId="10ACB758">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en-US" w:eastAsia="zh-CN"/>
        </w:rPr>
      </w:pPr>
      <w:r>
        <w:rPr>
          <w:rFonts w:hint="eastAsia" w:ascii="宋体" w:eastAsia="宋体" w:cs="宋体"/>
          <w:color w:val="000000"/>
          <w:kern w:val="0"/>
          <w:sz w:val="32"/>
          <w:szCs w:val="32"/>
          <w:highlight w:val="none"/>
          <w:shd w:val="clear" w:color="auto" w:fill="FFFFFF"/>
          <w:lang w:val="en-US" w:eastAsia="zh-CN"/>
        </w:rPr>
        <w:t>本单位预算项目积极采取对应调整措施，通过</w:t>
      </w:r>
      <w:r>
        <w:rPr>
          <w:rFonts w:hint="eastAsia" w:ascii="宋体" w:eastAsia="宋体" w:cs="宋体"/>
          <w:color w:val="000000"/>
          <w:kern w:val="0"/>
          <w:sz w:val="32"/>
          <w:szCs w:val="32"/>
          <w:highlight w:val="none"/>
          <w:shd w:val="clear" w:color="auto" w:fill="FFFFFF"/>
          <w:lang w:val="zh-CN" w:eastAsia="zh-CN"/>
        </w:rPr>
        <w:t>扎实开展整体支出预算绩效和项目绩效运行监控分析，根据分析结果及时对相关经费进行了预算收回或科目调整，应采取未采取收回预算、调整目标等处置措施的部门预算阶段</w:t>
      </w:r>
      <w:r>
        <w:rPr>
          <w:rFonts w:hint="eastAsia" w:ascii="宋体" w:eastAsia="宋体" w:cs="宋体"/>
          <w:color w:val="000000"/>
          <w:kern w:val="0"/>
          <w:sz w:val="32"/>
          <w:szCs w:val="32"/>
          <w:highlight w:val="none"/>
          <w:shd w:val="clear" w:color="auto" w:fill="FFFFFF"/>
          <w:lang w:val="en-US" w:eastAsia="zh-CN"/>
        </w:rPr>
        <w:t>项目数量为0，该项得分4分。</w:t>
      </w:r>
    </w:p>
    <w:p w14:paraId="02161590">
      <w:pPr>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zh-CN"/>
        </w:rPr>
        <w:t>执行结果（</w:t>
      </w:r>
      <w:r>
        <w:rPr>
          <w:rFonts w:hint="eastAsia" w:ascii="宋体" w:eastAsia="宋体" w:cs="宋体"/>
          <w:color w:val="000000"/>
          <w:kern w:val="0"/>
          <w:sz w:val="32"/>
          <w:szCs w:val="32"/>
          <w:highlight w:val="none"/>
          <w:shd w:val="clear" w:color="auto" w:fill="FFFFFF"/>
          <w:lang w:val="en-US" w:eastAsia="zh-CN"/>
        </w:rPr>
        <w:t>4分，得4分</w:t>
      </w:r>
      <w:r>
        <w:rPr>
          <w:rFonts w:hint="eastAsia" w:ascii="宋体" w:eastAsia="宋体" w:cs="宋体"/>
          <w:color w:val="000000"/>
          <w:kern w:val="0"/>
          <w:sz w:val="32"/>
          <w:szCs w:val="32"/>
          <w:highlight w:val="none"/>
          <w:shd w:val="clear" w:color="auto" w:fill="FFFFFF"/>
          <w:lang w:val="zh-CN"/>
        </w:rPr>
        <w:t>）</w:t>
      </w:r>
    </w:p>
    <w:p w14:paraId="4E111629">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en-US" w:eastAsia="zh-CN"/>
        </w:rPr>
      </w:pPr>
      <w:r>
        <w:rPr>
          <w:rFonts w:hint="eastAsia" w:ascii="宋体" w:eastAsia="宋体" w:cs="宋体"/>
          <w:color w:val="000000"/>
          <w:kern w:val="0"/>
          <w:sz w:val="32"/>
          <w:szCs w:val="32"/>
          <w:highlight w:val="none"/>
          <w:shd w:val="clear" w:color="auto" w:fill="FFFFFF"/>
          <w:lang w:val="en-US" w:eastAsia="zh-CN"/>
        </w:rPr>
        <w:t>本单位2024年度</w:t>
      </w:r>
      <w:r>
        <w:rPr>
          <w:rFonts w:hint="eastAsia" w:ascii="宋体" w:eastAsia="宋体" w:cs="宋体"/>
          <w:color w:val="000000"/>
          <w:kern w:val="0"/>
          <w:sz w:val="32"/>
          <w:szCs w:val="32"/>
          <w:highlight w:val="none"/>
          <w:shd w:val="clear" w:color="auto" w:fill="FFFFFF"/>
          <w:lang w:val="zh-CN" w:eastAsia="zh-CN"/>
        </w:rPr>
        <w:t>预算结余率小于10%的常年项目数量</w:t>
      </w:r>
      <w:r>
        <w:rPr>
          <w:rFonts w:hint="eastAsia" w:ascii="宋体" w:eastAsia="宋体" w:cs="宋体"/>
          <w:color w:val="000000"/>
          <w:kern w:val="0"/>
          <w:sz w:val="32"/>
          <w:szCs w:val="32"/>
          <w:highlight w:val="none"/>
          <w:shd w:val="clear" w:color="auto" w:fill="FFFFFF"/>
          <w:lang w:val="en-US" w:eastAsia="zh-CN"/>
        </w:rPr>
        <w:t>25个，预算结余率小于10%的一次性项目和阶段项目数量1个，该项指标得分4分。</w:t>
      </w:r>
    </w:p>
    <w:p w14:paraId="28D401BC">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en-US" w:eastAsia="zh-CN"/>
        </w:rPr>
        <w:t>3.</w:t>
      </w:r>
      <w:r>
        <w:rPr>
          <w:rFonts w:hint="eastAsia" w:ascii="宋体" w:eastAsia="宋体" w:cs="宋体"/>
          <w:color w:val="000000"/>
          <w:kern w:val="0"/>
          <w:sz w:val="32"/>
          <w:szCs w:val="32"/>
          <w:highlight w:val="none"/>
          <w:shd w:val="clear" w:color="auto" w:fill="FFFFFF"/>
          <w:lang w:val="zh-CN"/>
        </w:rPr>
        <w:t>目标实现（</w:t>
      </w:r>
      <w:r>
        <w:rPr>
          <w:rFonts w:hint="eastAsia" w:ascii="宋体" w:eastAsia="宋体" w:cs="宋体"/>
          <w:color w:val="000000"/>
          <w:kern w:val="0"/>
          <w:sz w:val="32"/>
          <w:szCs w:val="32"/>
          <w:highlight w:val="none"/>
          <w:shd w:val="clear" w:color="auto" w:fill="FFFFFF"/>
          <w:lang w:val="en-US" w:eastAsia="zh-CN"/>
        </w:rPr>
        <w:t>总分12分，得12分</w:t>
      </w:r>
      <w:r>
        <w:rPr>
          <w:rFonts w:hint="eastAsia" w:ascii="宋体" w:eastAsia="宋体" w:cs="宋体"/>
          <w:color w:val="000000"/>
          <w:kern w:val="0"/>
          <w:sz w:val="32"/>
          <w:szCs w:val="32"/>
          <w:highlight w:val="none"/>
          <w:shd w:val="clear" w:color="auto" w:fill="FFFFFF"/>
          <w:lang w:val="zh-CN"/>
        </w:rPr>
        <w:t>）</w:t>
      </w:r>
    </w:p>
    <w:p w14:paraId="2A9EE685">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zh-CN"/>
        </w:rPr>
        <w:t>（</w:t>
      </w:r>
      <w:r>
        <w:rPr>
          <w:rFonts w:hint="eastAsia" w:ascii="宋体" w:eastAsia="宋体" w:cs="宋体"/>
          <w:color w:val="000000"/>
          <w:kern w:val="0"/>
          <w:sz w:val="32"/>
          <w:szCs w:val="32"/>
          <w:highlight w:val="none"/>
          <w:shd w:val="clear" w:color="auto" w:fill="FFFFFF"/>
          <w:lang w:val="en-US" w:eastAsia="zh-CN"/>
        </w:rPr>
        <w:t>1</w:t>
      </w:r>
      <w:r>
        <w:rPr>
          <w:rFonts w:hint="eastAsia" w:ascii="宋体" w:eastAsia="宋体" w:cs="宋体"/>
          <w:color w:val="000000"/>
          <w:kern w:val="0"/>
          <w:sz w:val="32"/>
          <w:szCs w:val="32"/>
          <w:highlight w:val="none"/>
          <w:shd w:val="clear" w:color="auto" w:fill="FFFFFF"/>
          <w:lang w:val="zh-CN"/>
        </w:rPr>
        <w:t>）目标完成（</w:t>
      </w:r>
      <w:r>
        <w:rPr>
          <w:rFonts w:hint="eastAsia" w:ascii="宋体" w:eastAsia="宋体" w:cs="宋体"/>
          <w:color w:val="000000"/>
          <w:kern w:val="0"/>
          <w:sz w:val="32"/>
          <w:szCs w:val="32"/>
          <w:highlight w:val="none"/>
          <w:shd w:val="clear" w:color="auto" w:fill="FFFFFF"/>
          <w:lang w:val="en-US" w:eastAsia="zh-CN"/>
        </w:rPr>
        <w:t>4分，得4分</w:t>
      </w:r>
      <w:r>
        <w:rPr>
          <w:rFonts w:hint="eastAsia" w:ascii="宋体" w:eastAsia="宋体" w:cs="宋体"/>
          <w:color w:val="000000"/>
          <w:kern w:val="0"/>
          <w:sz w:val="32"/>
          <w:szCs w:val="32"/>
          <w:highlight w:val="none"/>
          <w:shd w:val="clear" w:color="auto" w:fill="FFFFFF"/>
          <w:lang w:val="zh-CN"/>
        </w:rPr>
        <w:t>）</w:t>
      </w:r>
    </w:p>
    <w:p w14:paraId="00486BAD">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en-US" w:eastAsia="zh-CN"/>
        </w:rPr>
      </w:pPr>
      <w:r>
        <w:rPr>
          <w:rFonts w:hint="eastAsia" w:ascii="宋体" w:eastAsia="宋体" w:cs="宋体"/>
          <w:color w:val="000000"/>
          <w:kern w:val="0"/>
          <w:sz w:val="32"/>
          <w:szCs w:val="32"/>
          <w:highlight w:val="none"/>
          <w:shd w:val="clear" w:color="auto" w:fill="FFFFFF"/>
          <w:lang w:val="en-US" w:eastAsia="zh-CN"/>
        </w:rPr>
        <w:t>本单位2024年度完成绩效目标数量指标的部门预算阶段项目数量为1个，部门预算阶段项目总数为1个，该项指标得分4分。</w:t>
      </w:r>
    </w:p>
    <w:p w14:paraId="5FD5214D">
      <w:pPr>
        <w:keepNext w:val="0"/>
        <w:keepLines w:val="0"/>
        <w:pageBreakBefore w:val="0"/>
        <w:widowControl w:val="0"/>
        <w:numPr>
          <w:ilvl w:val="0"/>
          <w:numId w:val="9"/>
        </w:numPr>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zh-CN"/>
        </w:rPr>
        <w:t>目标偏离（</w:t>
      </w:r>
      <w:r>
        <w:rPr>
          <w:rFonts w:hint="eastAsia" w:ascii="宋体" w:eastAsia="宋体" w:cs="宋体"/>
          <w:color w:val="000000"/>
          <w:kern w:val="0"/>
          <w:sz w:val="32"/>
          <w:szCs w:val="32"/>
          <w:highlight w:val="none"/>
          <w:shd w:val="clear" w:color="auto" w:fill="FFFFFF"/>
          <w:lang w:val="en-US" w:eastAsia="zh-CN"/>
        </w:rPr>
        <w:t>4分，得4分</w:t>
      </w:r>
      <w:r>
        <w:rPr>
          <w:rFonts w:hint="eastAsia" w:ascii="宋体" w:eastAsia="宋体" w:cs="宋体"/>
          <w:color w:val="000000"/>
          <w:kern w:val="0"/>
          <w:sz w:val="32"/>
          <w:szCs w:val="32"/>
          <w:highlight w:val="none"/>
          <w:shd w:val="clear" w:color="auto" w:fill="FFFFFF"/>
          <w:lang w:val="zh-CN"/>
        </w:rPr>
        <w:t>）</w:t>
      </w:r>
    </w:p>
    <w:p w14:paraId="3FAF0022">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en-US" w:eastAsia="zh-CN"/>
        </w:rPr>
        <w:t>本单位2024年度</w:t>
      </w:r>
      <w:r>
        <w:rPr>
          <w:rFonts w:hint="eastAsia" w:ascii="宋体" w:eastAsia="宋体" w:cs="宋体"/>
          <w:color w:val="000000"/>
          <w:kern w:val="0"/>
          <w:sz w:val="32"/>
          <w:szCs w:val="32"/>
          <w:highlight w:val="none"/>
          <w:shd w:val="clear" w:color="auto" w:fill="FFFFFF"/>
          <w:lang w:val="zh-CN"/>
        </w:rPr>
        <w:t>已完成预期指标值的数量指标中偏离度在30%内的指标个数</w:t>
      </w:r>
      <w:r>
        <w:rPr>
          <w:rFonts w:hint="eastAsia" w:ascii="宋体" w:eastAsia="宋体" w:cs="宋体"/>
          <w:color w:val="000000"/>
          <w:kern w:val="0"/>
          <w:sz w:val="32"/>
          <w:szCs w:val="32"/>
          <w:highlight w:val="none"/>
          <w:shd w:val="clear" w:color="auto" w:fill="FFFFFF"/>
          <w:lang w:val="en-US" w:eastAsia="zh-CN"/>
        </w:rPr>
        <w:t>为26个，已完成预期指标值的数量指标个数为26个，该项指标得分4分</w:t>
      </w:r>
      <w:r>
        <w:rPr>
          <w:rFonts w:hint="eastAsia" w:ascii="宋体" w:eastAsia="宋体" w:cs="宋体"/>
          <w:color w:val="000000"/>
          <w:kern w:val="0"/>
          <w:sz w:val="32"/>
          <w:szCs w:val="32"/>
          <w:highlight w:val="none"/>
          <w:shd w:val="clear" w:color="auto" w:fill="FFFFFF"/>
          <w:lang w:val="zh-CN"/>
        </w:rPr>
        <w:t>。</w:t>
      </w:r>
    </w:p>
    <w:p w14:paraId="6E576573">
      <w:pPr>
        <w:keepNext w:val="0"/>
        <w:keepLines w:val="0"/>
        <w:pageBreakBefore w:val="0"/>
        <w:widowControl w:val="0"/>
        <w:numPr>
          <w:ilvl w:val="0"/>
          <w:numId w:val="9"/>
        </w:numPr>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zh-CN"/>
        </w:rPr>
        <w:t>实现效果（</w:t>
      </w:r>
      <w:r>
        <w:rPr>
          <w:rFonts w:hint="eastAsia" w:ascii="宋体" w:eastAsia="宋体" w:cs="宋体"/>
          <w:color w:val="000000"/>
          <w:kern w:val="0"/>
          <w:sz w:val="32"/>
          <w:szCs w:val="32"/>
          <w:highlight w:val="none"/>
          <w:shd w:val="clear" w:color="auto" w:fill="FFFFFF"/>
          <w:lang w:val="en-US" w:eastAsia="zh-CN"/>
        </w:rPr>
        <w:t>3分，得3分</w:t>
      </w:r>
      <w:r>
        <w:rPr>
          <w:rFonts w:hint="eastAsia" w:ascii="宋体" w:eastAsia="宋体" w:cs="宋体"/>
          <w:color w:val="000000"/>
          <w:kern w:val="0"/>
          <w:sz w:val="32"/>
          <w:szCs w:val="32"/>
          <w:highlight w:val="none"/>
          <w:shd w:val="clear" w:color="auto" w:fill="FFFFFF"/>
          <w:lang w:val="zh-CN"/>
        </w:rPr>
        <w:t>）</w:t>
      </w:r>
    </w:p>
    <w:p w14:paraId="469C8B9A">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en-US" w:eastAsia="zh-CN"/>
        </w:rPr>
        <w:t>本单位2024年度完成绩效目标效益指标的部门预算阶段项目数量为25个，部门预算阶段项目总数为25个，该项指标得分3分</w:t>
      </w:r>
      <w:r>
        <w:rPr>
          <w:rFonts w:hint="eastAsia" w:ascii="宋体" w:eastAsia="宋体" w:cs="宋体"/>
          <w:color w:val="000000"/>
          <w:kern w:val="0"/>
          <w:sz w:val="32"/>
          <w:szCs w:val="32"/>
          <w:highlight w:val="none"/>
          <w:shd w:val="clear" w:color="auto" w:fill="FFFFFF"/>
          <w:lang w:val="zh-CN"/>
        </w:rPr>
        <w:t>。</w:t>
      </w:r>
    </w:p>
    <w:p w14:paraId="11E88E3B">
      <w:pPr>
        <w:keepNext w:val="0"/>
        <w:keepLines w:val="0"/>
        <w:pageBreakBefore w:val="0"/>
        <w:widowControl w:val="0"/>
        <w:kinsoku/>
        <w:wordWrap/>
        <w:overflowPunct/>
        <w:topLinePunct w:val="0"/>
        <w:autoSpaceDE/>
        <w:autoSpaceDN/>
        <w:bidi w:val="0"/>
        <w:snapToGrid w:val="0"/>
        <w:spacing w:line="600" w:lineRule="exact"/>
        <w:ind w:firstLine="643" w:firstLineChars="200"/>
        <w:textAlignment w:val="auto"/>
        <w:rPr>
          <w:rFonts w:hint="eastAsia" w:ascii="宋体" w:eastAsia="宋体" w:cs="宋体"/>
          <w:b/>
          <w:bCs/>
          <w:sz w:val="32"/>
          <w:szCs w:val="32"/>
          <w:lang w:val="zh-CN"/>
        </w:rPr>
      </w:pPr>
      <w:r>
        <w:rPr>
          <w:rFonts w:hint="eastAsia" w:ascii="宋体" w:eastAsia="宋体" w:cs="宋体"/>
          <w:b/>
          <w:bCs/>
          <w:color w:val="000000"/>
          <w:kern w:val="0"/>
          <w:sz w:val="32"/>
          <w:szCs w:val="32"/>
          <w:highlight w:val="none"/>
          <w:shd w:val="clear" w:color="auto" w:fill="FFFFFF"/>
          <w:lang w:val="zh-CN"/>
        </w:rPr>
        <w:t>（三）</w:t>
      </w:r>
      <w:r>
        <w:rPr>
          <w:rFonts w:hint="eastAsia" w:ascii="宋体" w:eastAsia="宋体" w:cs="宋体"/>
          <w:b/>
          <w:bCs/>
          <w:sz w:val="32"/>
          <w:szCs w:val="32"/>
          <w:lang w:val="zh-CN"/>
        </w:rPr>
        <w:t>绩效结果应用情况。</w:t>
      </w:r>
    </w:p>
    <w:p w14:paraId="7F011DC5">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eastAsia" w:ascii="宋体" w:eastAsia="宋体" w:cs="宋体"/>
          <w:b/>
          <w:bCs w:val="0"/>
          <w:sz w:val="32"/>
          <w:szCs w:val="32"/>
        </w:rPr>
      </w:pPr>
      <w:r>
        <w:rPr>
          <w:rFonts w:hint="eastAsia" w:ascii="宋体" w:eastAsia="宋体" w:cs="宋体"/>
          <w:color w:val="000000"/>
          <w:kern w:val="0"/>
          <w:sz w:val="32"/>
          <w:szCs w:val="32"/>
          <w:shd w:val="clear" w:color="auto" w:fill="FFFFFF"/>
          <w:lang w:val="en-US" w:eastAsia="zh-CN"/>
        </w:rPr>
        <w:t>本单位将内设机构和下属单位绩效自评纳入考核体系，建立对内设机构和下属单位预算与绩效挂钩机制的</w:t>
      </w:r>
      <w:r>
        <w:rPr>
          <w:rFonts w:hint="eastAsia" w:ascii="宋体" w:eastAsia="宋体" w:cs="宋体"/>
          <w:color w:val="000000"/>
          <w:kern w:val="0"/>
          <w:sz w:val="32"/>
          <w:szCs w:val="32"/>
          <w:shd w:val="clear" w:color="auto" w:fill="FFFFFF"/>
          <w:lang w:val="zh-CN"/>
        </w:rPr>
        <w:t>自评质量，按要求将相关绩效信息随同决算公开，针对绩效管理过程中提出的问题</w:t>
      </w:r>
      <w:r>
        <w:rPr>
          <w:rFonts w:hint="eastAsia" w:ascii="宋体" w:eastAsia="宋体" w:cs="宋体"/>
          <w:color w:val="000000"/>
          <w:kern w:val="0"/>
          <w:sz w:val="32"/>
          <w:szCs w:val="32"/>
          <w:shd w:val="clear" w:color="auto" w:fill="FFFFFF"/>
          <w:lang w:val="en-US" w:eastAsia="zh-CN"/>
        </w:rPr>
        <w:t>已</w:t>
      </w:r>
      <w:r>
        <w:rPr>
          <w:rFonts w:hint="eastAsia" w:ascii="宋体" w:eastAsia="宋体" w:cs="宋体"/>
          <w:color w:val="000000"/>
          <w:kern w:val="0"/>
          <w:sz w:val="32"/>
          <w:szCs w:val="32"/>
          <w:shd w:val="clear" w:color="auto" w:fill="FFFFFF"/>
          <w:lang w:val="zh-CN"/>
        </w:rPr>
        <w:t>进行整改，</w:t>
      </w:r>
      <w:r>
        <w:rPr>
          <w:rFonts w:hint="eastAsia" w:ascii="宋体" w:eastAsia="宋体" w:cs="宋体"/>
          <w:color w:val="000000"/>
          <w:kern w:val="0"/>
          <w:sz w:val="32"/>
          <w:szCs w:val="32"/>
          <w:shd w:val="clear" w:color="auto" w:fill="FFFFFF"/>
          <w:lang w:val="en-US" w:eastAsia="zh-CN"/>
        </w:rPr>
        <w:t>并规定时间内向财政部门反馈应用绩效结果报告。</w:t>
      </w:r>
    </w:p>
    <w:p w14:paraId="0CD48F8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rPr>
      </w:pPr>
      <w:r>
        <w:rPr>
          <w:rFonts w:hint="eastAsia" w:ascii="宋体" w:eastAsia="宋体" w:cs="宋体"/>
          <w:color w:val="000000"/>
          <w:kern w:val="0"/>
          <w:sz w:val="32"/>
          <w:szCs w:val="32"/>
          <w:highlight w:val="none"/>
          <w:shd w:val="clear" w:color="auto" w:fill="FFFFFF"/>
          <w:lang w:eastAsia="zh-CN"/>
        </w:rPr>
        <w:t>四、</w:t>
      </w:r>
      <w:r>
        <w:rPr>
          <w:rFonts w:hint="eastAsia" w:ascii="宋体" w:eastAsia="宋体" w:cs="宋体"/>
          <w:color w:val="000000"/>
          <w:kern w:val="0"/>
          <w:sz w:val="32"/>
          <w:szCs w:val="32"/>
          <w:highlight w:val="none"/>
          <w:shd w:val="clear" w:color="auto" w:fill="FFFFFF"/>
        </w:rPr>
        <w:t>评价结论及建议</w:t>
      </w:r>
    </w:p>
    <w:p w14:paraId="7CA03D8C">
      <w:pPr>
        <w:widowControl/>
        <w:adjustRightInd w:val="0"/>
        <w:snapToGrid w:val="0"/>
        <w:spacing w:line="580" w:lineRule="atLeast"/>
        <w:ind w:firstLine="720"/>
        <w:jc w:val="left"/>
        <w:rPr>
          <w:rFonts w:hint="eastAsia" w:ascii="宋体" w:eastAsia="宋体" w:cs="宋体"/>
          <w:b/>
          <w:bCs/>
          <w:color w:val="000000"/>
          <w:kern w:val="0"/>
          <w:sz w:val="32"/>
          <w:szCs w:val="32"/>
          <w:highlight w:val="none"/>
          <w:shd w:val="clear" w:color="auto" w:fill="FFFFFF"/>
          <w:lang w:val="zh-CN"/>
        </w:rPr>
      </w:pPr>
      <w:r>
        <w:rPr>
          <w:rFonts w:hint="eastAsia" w:ascii="宋体" w:eastAsia="宋体" w:cs="宋体"/>
          <w:b/>
          <w:bCs/>
          <w:color w:val="000000"/>
          <w:kern w:val="0"/>
          <w:sz w:val="32"/>
          <w:szCs w:val="32"/>
          <w:highlight w:val="none"/>
          <w:shd w:val="clear" w:color="auto" w:fill="FFFFFF"/>
          <w:lang w:val="zh-CN"/>
        </w:rPr>
        <w:t>（一）评价结论。</w:t>
      </w:r>
    </w:p>
    <w:p w14:paraId="3D5B3CE8">
      <w:pPr>
        <w:widowControl/>
        <w:adjustRightInd w:val="0"/>
        <w:snapToGrid w:val="0"/>
        <w:spacing w:line="580" w:lineRule="atLeast"/>
        <w:ind w:firstLine="720"/>
        <w:jc w:val="left"/>
        <w:rPr>
          <w:rFonts w:hint="eastAsia" w:ascii="宋体" w:eastAsia="宋体" w:cs="宋体"/>
          <w:color w:val="000000"/>
          <w:kern w:val="0"/>
          <w:sz w:val="32"/>
          <w:szCs w:val="32"/>
          <w:shd w:val="clear" w:color="auto" w:fill="FFFFFF"/>
          <w:lang w:val="zh-CN"/>
        </w:rPr>
      </w:pPr>
      <w:r>
        <w:rPr>
          <w:rFonts w:hint="eastAsia" w:ascii="宋体" w:eastAsia="宋体" w:cs="宋体"/>
          <w:sz w:val="32"/>
          <w:szCs w:val="32"/>
          <w:lang w:val="en-US" w:eastAsia="zh-CN"/>
        </w:rPr>
        <w:t>本</w:t>
      </w:r>
      <w:r>
        <w:rPr>
          <w:rFonts w:hint="eastAsia" w:ascii="宋体" w:eastAsia="宋体" w:cs="宋体"/>
          <w:sz w:val="32"/>
          <w:szCs w:val="32"/>
        </w:rPr>
        <w:t>单位根据</w:t>
      </w:r>
      <w:r>
        <w:rPr>
          <w:rFonts w:hint="eastAsia" w:ascii="宋体" w:eastAsia="宋体" w:cs="宋体"/>
          <w:sz w:val="32"/>
          <w:szCs w:val="32"/>
          <w:lang w:eastAsia="zh-CN"/>
        </w:rPr>
        <w:t>《</w:t>
      </w:r>
      <w:r>
        <w:rPr>
          <w:rFonts w:hint="eastAsia" w:ascii="宋体" w:eastAsia="宋体" w:cs="宋体"/>
          <w:sz w:val="32"/>
          <w:szCs w:val="32"/>
        </w:rPr>
        <w:t>2024年部门整体支出绩效评价指标体系》</w:t>
      </w:r>
      <w:r>
        <w:rPr>
          <w:rFonts w:hint="eastAsia" w:ascii="宋体" w:eastAsia="宋体" w:cs="宋体"/>
          <w:sz w:val="32"/>
          <w:szCs w:val="32"/>
          <w:lang w:eastAsia="zh-CN"/>
        </w:rPr>
        <w:t>标准</w:t>
      </w:r>
      <w:r>
        <w:rPr>
          <w:rFonts w:hint="eastAsia" w:ascii="宋体" w:eastAsia="宋体" w:cs="宋体"/>
          <w:sz w:val="32"/>
          <w:szCs w:val="32"/>
          <w:lang w:val="en-US" w:eastAsia="zh-CN"/>
        </w:rPr>
        <w:t>进行绩效自评</w:t>
      </w:r>
      <w:r>
        <w:rPr>
          <w:rFonts w:hint="eastAsia" w:ascii="宋体" w:eastAsia="宋体" w:cs="宋体"/>
          <w:sz w:val="32"/>
          <w:szCs w:val="32"/>
          <w:lang w:eastAsia="zh-CN"/>
        </w:rPr>
        <w:t>，</w:t>
      </w:r>
      <w:r>
        <w:rPr>
          <w:rFonts w:hint="eastAsia" w:ascii="宋体" w:eastAsia="宋体" w:cs="宋体"/>
          <w:b w:val="0"/>
          <w:bCs w:val="0"/>
          <w:sz w:val="32"/>
          <w:szCs w:val="32"/>
          <w:lang w:val="en-US" w:eastAsia="zh-CN"/>
        </w:rPr>
        <w:t>总体上看，部门整体财政支出目标明确、具体，要素完整，目标完成情况较好，预算管理较完善，项目目标基本达成。自评小组通过预算指标的考评汇总分析，</w:t>
      </w:r>
      <w:r>
        <w:rPr>
          <w:rFonts w:hint="eastAsia" w:ascii="宋体" w:eastAsia="宋体" w:cs="宋体"/>
          <w:sz w:val="32"/>
          <w:szCs w:val="32"/>
        </w:rPr>
        <w:t>进行部门支出绩效综合评定打分</w:t>
      </w:r>
      <w:r>
        <w:rPr>
          <w:rFonts w:hint="eastAsia" w:ascii="宋体" w:eastAsia="宋体" w:cs="宋体"/>
          <w:sz w:val="32"/>
          <w:szCs w:val="32"/>
          <w:lang w:eastAsia="zh-CN"/>
        </w:rPr>
        <w:t>，自</w:t>
      </w:r>
      <w:r>
        <w:rPr>
          <w:rFonts w:hint="eastAsia" w:ascii="宋体" w:eastAsia="宋体" w:cs="宋体"/>
          <w:sz w:val="32"/>
          <w:szCs w:val="32"/>
        </w:rPr>
        <w:t>评价得分为</w:t>
      </w:r>
      <w:r>
        <w:rPr>
          <w:rFonts w:hint="eastAsia" w:ascii="宋体" w:eastAsia="宋体" w:cs="宋体"/>
          <w:sz w:val="32"/>
          <w:szCs w:val="32"/>
          <w:lang w:val="en-US" w:eastAsia="zh-CN"/>
        </w:rPr>
        <w:t>90.48</w:t>
      </w:r>
      <w:r>
        <w:rPr>
          <w:rFonts w:hint="eastAsia" w:ascii="宋体" w:eastAsia="宋体" w:cs="宋体"/>
          <w:sz w:val="32"/>
          <w:szCs w:val="32"/>
        </w:rPr>
        <w:t>分。</w:t>
      </w:r>
    </w:p>
    <w:p w14:paraId="1B1D66D2">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（二）存在问题。</w:t>
      </w:r>
    </w:p>
    <w:p w14:paraId="51E091E8">
      <w:pPr>
        <w:pStyle w:val="2"/>
        <w:ind w:left="1060" w:leftChars="200"/>
        <w:rPr>
          <w:rFonts w:hint="eastAsia" w:ascii="Times New Roman" w:hAnsi="Times New Roman" w:eastAsia="楷体_GB2312" w:cs="Times New Roman"/>
          <w:b/>
          <w:bCs/>
          <w:color w:val="000000"/>
          <w:kern w:val="0"/>
          <w:sz w:val="32"/>
          <w:szCs w:val="32"/>
          <w:highlight w:val="none"/>
          <w:shd w:val="clear" w:color="auto" w:fill="FFFFFF"/>
          <w:lang w:val="en-US" w:eastAsia="zh-CN"/>
        </w:rPr>
      </w:pPr>
      <w:r>
        <w:rPr>
          <w:rFonts w:hint="eastAsia" w:ascii="Times New Roman" w:hAnsi="Times New Roman" w:cs="Times New Roman"/>
          <w:sz w:val="32"/>
          <w:szCs w:val="32"/>
          <w:lang w:val="en-US" w:eastAsia="zh-CN"/>
        </w:rPr>
        <w:t>无。</w:t>
      </w:r>
    </w:p>
    <w:p w14:paraId="38208D0F">
      <w:pPr>
        <w:keepNext w:val="0"/>
        <w:keepLines w:val="0"/>
        <w:pageBreakBefore w:val="0"/>
        <w:widowControl/>
        <w:numPr>
          <w:ilvl w:val="0"/>
          <w:numId w:val="7"/>
        </w:numPr>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eastAsia="zh-CN"/>
        </w:rPr>
      </w:pPr>
      <w:r>
        <w:rPr>
          <w:rFonts w:ascii="Times New Roman" w:hAnsi="Times New Roman" w:eastAsia="楷体_GB2312" w:cs="Times New Roman"/>
          <w:b/>
          <w:bCs/>
          <w:color w:val="000000"/>
          <w:kern w:val="0"/>
          <w:sz w:val="32"/>
          <w:szCs w:val="32"/>
          <w:highlight w:val="none"/>
          <w:shd w:val="clear" w:color="auto" w:fill="FFFFFF"/>
          <w:lang w:val="zh-CN" w:eastAsia="zh-CN"/>
        </w:rPr>
        <w:t>改进建议。</w:t>
      </w:r>
    </w:p>
    <w:p w14:paraId="6412F7A6">
      <w:pPr>
        <w:pStyle w:val="2"/>
        <w:ind w:left="1060" w:leftChars="200"/>
        <w:rPr>
          <w:sz w:val="32"/>
          <w:szCs w:val="32"/>
          <w:lang w:val="en-US" w:eastAsia="zh-CN"/>
        </w:rPr>
      </w:pPr>
      <w:r>
        <w:rPr>
          <w:rFonts w:hint="eastAsia"/>
          <w:sz w:val="32"/>
          <w:szCs w:val="32"/>
          <w:lang w:val="en-US" w:eastAsia="zh-CN"/>
        </w:rPr>
        <w:t>无 。</w:t>
      </w:r>
    </w:p>
    <w:p w14:paraId="06540626">
      <w:pPr>
        <w:keepNext w:val="0"/>
        <w:keepLines w:val="0"/>
        <w:pageBreakBefore w:val="0"/>
        <w:widowControl w:val="0"/>
        <w:kinsoku/>
        <w:wordWrap/>
        <w:overflowPunct/>
        <w:topLinePunct w:val="0"/>
        <w:autoSpaceDE/>
        <w:autoSpaceDN/>
        <w:bidi w:val="0"/>
        <w:spacing w:line="578" w:lineRule="exact"/>
        <w:contextualSpacing/>
        <w:textAlignment w:val="auto"/>
        <w:outlineLvl w:val="9"/>
        <w:rPr>
          <w:rFonts w:ascii="Times New Roman" w:hAnsi="Times New Roman" w:eastAsia="黑体" w:cs="Times New Roman"/>
          <w:szCs w:val="32"/>
          <w:highlight w:val="none"/>
          <w:lang w:val="en-US" w:eastAsia="zh-CN"/>
        </w:rPr>
      </w:pPr>
    </w:p>
    <w:p w14:paraId="632CB650">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hint="eastAsia" w:ascii="宋体" w:eastAsia="宋体" w:cs="宋体"/>
          <w:strike w:val="0"/>
          <w:dstrike w:val="0"/>
          <w:sz w:val="32"/>
          <w:szCs w:val="32"/>
          <w:u w:val="none"/>
          <w:lang w:val="en-US" w:eastAsia="zh-CN"/>
        </w:rPr>
      </w:pPr>
      <w:r>
        <w:rPr>
          <w:rFonts w:hint="eastAsia" w:ascii="宋体" w:eastAsia="宋体" w:cs="宋体"/>
          <w:color w:val="000000"/>
          <w:kern w:val="0"/>
          <w:sz w:val="32"/>
          <w:szCs w:val="32"/>
          <w:highlight w:val="none"/>
          <w:shd w:val="clear" w:color="auto" w:fill="FFFFFF"/>
          <w:lang w:val="en-US" w:eastAsia="zh-CN"/>
        </w:rPr>
        <w:t>附表：1.</w:t>
      </w:r>
      <w:r>
        <w:rPr>
          <w:rFonts w:hint="eastAsia" w:ascii="宋体" w:eastAsia="宋体" w:cs="宋体"/>
          <w:strike w:val="0"/>
          <w:dstrike w:val="0"/>
          <w:sz w:val="32"/>
          <w:szCs w:val="32"/>
          <w:u w:val="none"/>
          <w:lang w:val="en-US" w:eastAsia="zh-CN"/>
        </w:rPr>
        <w:t>部门预算绩效自评打分表</w:t>
      </w:r>
    </w:p>
    <w:p w14:paraId="24D904D6">
      <w:pPr>
        <w:keepNext w:val="0"/>
        <w:keepLines w:val="0"/>
        <w:pageBreakBefore w:val="0"/>
        <w:widowControl w:val="0"/>
        <w:kinsoku/>
        <w:wordWrap/>
        <w:overflowPunct/>
        <w:topLinePunct w:val="0"/>
        <w:autoSpaceDE/>
        <w:autoSpaceDN/>
        <w:bidi w:val="0"/>
        <w:spacing w:line="578" w:lineRule="exact"/>
        <w:ind w:firstLine="1600" w:firstLineChars="500"/>
        <w:textAlignment w:val="auto"/>
        <w:rPr>
          <w:rFonts w:hint="eastAsia" w:ascii="宋体" w:eastAsia="宋体" w:cs="宋体"/>
          <w:color w:val="000000"/>
          <w:kern w:val="0"/>
          <w:sz w:val="32"/>
          <w:szCs w:val="32"/>
          <w:highlight w:val="none"/>
          <w:shd w:val="clear" w:color="auto" w:fill="FFFFFF"/>
          <w:lang w:val="en-US" w:eastAsia="zh-CN"/>
        </w:rPr>
      </w:pPr>
      <w:r>
        <w:rPr>
          <w:rFonts w:hint="eastAsia" w:ascii="宋体" w:eastAsia="宋体" w:cs="宋体"/>
          <w:strike w:val="0"/>
          <w:dstrike w:val="0"/>
          <w:sz w:val="32"/>
          <w:szCs w:val="32"/>
          <w:u w:val="none"/>
          <w:lang w:val="en-US" w:eastAsia="zh-CN"/>
        </w:rPr>
        <w:t>2.</w:t>
      </w:r>
      <w:r>
        <w:rPr>
          <w:rFonts w:hint="eastAsia" w:ascii="宋体" w:eastAsia="宋体" w:cs="宋体"/>
          <w:color w:val="000000"/>
          <w:kern w:val="0"/>
          <w:sz w:val="32"/>
          <w:szCs w:val="32"/>
          <w:highlight w:val="none"/>
          <w:shd w:val="clear" w:color="auto" w:fill="FFFFFF"/>
          <w:lang w:val="en-US" w:eastAsia="zh-CN"/>
        </w:rPr>
        <w:t>部门整体绩效目标完成情况自评表</w:t>
      </w:r>
    </w:p>
    <w:p w14:paraId="349A6ECE">
      <w:pPr>
        <w:keepNext w:val="0"/>
        <w:keepLines w:val="0"/>
        <w:pageBreakBefore w:val="0"/>
        <w:widowControl w:val="0"/>
        <w:kinsoku/>
        <w:wordWrap/>
        <w:overflowPunct/>
        <w:topLinePunct w:val="0"/>
        <w:autoSpaceDE/>
        <w:autoSpaceDN/>
        <w:bidi w:val="0"/>
        <w:spacing w:line="578" w:lineRule="exact"/>
        <w:ind w:firstLine="1600" w:firstLineChars="500"/>
        <w:textAlignment w:val="auto"/>
        <w:rPr>
          <w:rFonts w:hint="eastAsia" w:ascii="宋体" w:eastAsia="宋体" w:cs="宋体"/>
          <w:strike w:val="0"/>
          <w:dstrike w:val="0"/>
          <w:sz w:val="32"/>
          <w:szCs w:val="32"/>
          <w:u w:val="none"/>
          <w:lang w:eastAsia="zh-CN"/>
        </w:rPr>
      </w:pPr>
      <w:r>
        <w:rPr>
          <w:rFonts w:hint="eastAsia" w:ascii="宋体" w:eastAsia="宋体" w:cs="宋体"/>
          <w:color w:val="000000"/>
          <w:kern w:val="0"/>
          <w:sz w:val="32"/>
          <w:szCs w:val="32"/>
          <w:highlight w:val="none"/>
          <w:shd w:val="clear" w:color="auto" w:fill="FFFFFF"/>
          <w:lang w:val="en-US" w:eastAsia="zh-CN"/>
        </w:rPr>
        <w:t>3.</w:t>
      </w:r>
      <w:r>
        <w:rPr>
          <w:rFonts w:hint="eastAsia" w:ascii="宋体" w:eastAsia="宋体" w:cs="宋体"/>
          <w:strike w:val="0"/>
          <w:dstrike w:val="0"/>
          <w:sz w:val="32"/>
          <w:szCs w:val="32"/>
          <w:u w:val="none"/>
        </w:rPr>
        <w:t>部门预算项目支出绩效</w:t>
      </w:r>
      <w:r>
        <w:rPr>
          <w:rFonts w:hint="eastAsia" w:ascii="宋体" w:eastAsia="宋体" w:cs="宋体"/>
          <w:strike w:val="0"/>
          <w:dstrike w:val="0"/>
          <w:sz w:val="32"/>
          <w:szCs w:val="32"/>
          <w:u w:val="none"/>
          <w:lang w:eastAsia="zh-CN"/>
        </w:rPr>
        <w:t>评价</w:t>
      </w:r>
      <w:r>
        <w:rPr>
          <w:rFonts w:hint="eastAsia" w:ascii="宋体" w:eastAsia="宋体" w:cs="宋体"/>
          <w:strike w:val="0"/>
          <w:dstrike w:val="0"/>
          <w:sz w:val="32"/>
          <w:szCs w:val="32"/>
          <w:u w:val="none"/>
        </w:rPr>
        <w:t>表</w:t>
      </w:r>
      <w:r>
        <w:rPr>
          <w:rFonts w:hint="eastAsia" w:ascii="宋体" w:eastAsia="宋体" w:cs="宋体"/>
          <w:strike w:val="0"/>
          <w:dstrike w:val="0"/>
          <w:sz w:val="32"/>
          <w:szCs w:val="32"/>
          <w:u w:val="none"/>
          <w:lang w:eastAsia="zh-CN"/>
        </w:rPr>
        <w:t>（202</w:t>
      </w:r>
      <w:r>
        <w:rPr>
          <w:rFonts w:hint="eastAsia" w:ascii="宋体" w:eastAsia="宋体" w:cs="宋体"/>
          <w:strike w:val="0"/>
          <w:dstrike w:val="0"/>
          <w:sz w:val="32"/>
          <w:szCs w:val="32"/>
          <w:u w:val="none"/>
          <w:lang w:val="en-US" w:eastAsia="zh-CN"/>
        </w:rPr>
        <w:t>4</w:t>
      </w:r>
      <w:r>
        <w:rPr>
          <w:rFonts w:hint="eastAsia" w:ascii="宋体" w:eastAsia="宋体" w:cs="宋体"/>
          <w:strike w:val="0"/>
          <w:dstrike w:val="0"/>
          <w:sz w:val="32"/>
          <w:szCs w:val="32"/>
          <w:u w:val="none"/>
          <w:lang w:eastAsia="zh-CN"/>
        </w:rPr>
        <w:t>年度）</w:t>
      </w:r>
    </w:p>
    <w:p w14:paraId="326F6672">
      <w:pPr>
        <w:keepNext w:val="0"/>
        <w:keepLines w:val="0"/>
        <w:pageBreakBefore w:val="0"/>
        <w:widowControl w:val="0"/>
        <w:kinsoku/>
        <w:wordWrap/>
        <w:overflowPunct/>
        <w:topLinePunct w:val="0"/>
        <w:autoSpaceDE/>
        <w:autoSpaceDN/>
        <w:bidi w:val="0"/>
        <w:spacing w:line="578" w:lineRule="exact"/>
        <w:jc w:val="left"/>
        <w:textAlignment w:val="auto"/>
        <w:rPr>
          <w:rFonts w:hint="eastAsia" w:ascii="Times New Roman" w:hAnsi="Times New Roman" w:eastAsia="黑体" w:cs="Times New Roman"/>
          <w:kern w:val="2"/>
          <w:sz w:val="32"/>
          <w:szCs w:val="24"/>
          <w:highlight w:val="none"/>
          <w:lang w:val="en-US" w:eastAsia="zh-CN" w:bidi="ar-SA"/>
        </w:rPr>
      </w:pPr>
      <w:r>
        <w:rPr>
          <w:rFonts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1</w:t>
      </w:r>
    </w:p>
    <w:p w14:paraId="4F3865C0">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rPr>
      </w:pPr>
      <w:r>
        <w:rPr>
          <w:rFonts w:hint="eastAsia" w:ascii="Times New Roman" w:hAnsi="Times New Roman" w:eastAsia="方正小标宋简体" w:cs="Times New Roman"/>
          <w:i w:val="0"/>
          <w:color w:val="000000"/>
          <w:kern w:val="0"/>
          <w:sz w:val="44"/>
          <w:szCs w:val="44"/>
          <w:u w:val="none"/>
          <w:lang w:val="en-US" w:eastAsia="zh-CN"/>
        </w:rPr>
        <w:t>部门预算绩效自评打分表</w:t>
      </w:r>
    </w:p>
    <w:tbl>
      <w:tblPr>
        <w:tblStyle w:val="17"/>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4"/>
        <w:gridCol w:w="1462"/>
        <w:gridCol w:w="1665"/>
        <w:gridCol w:w="720"/>
        <w:gridCol w:w="4734"/>
        <w:gridCol w:w="756"/>
        <w:gridCol w:w="478"/>
      </w:tblGrid>
      <w:tr w14:paraId="4CDC4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6DE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16B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指标解释</w:t>
            </w:r>
          </w:p>
        </w:tc>
        <w:tc>
          <w:tcPr>
            <w:tcW w:w="756" w:type="dxa"/>
            <w:vMerge w:val="restart"/>
            <w:tcBorders>
              <w:top w:val="single" w:color="000000" w:sz="4" w:space="0"/>
              <w:left w:val="single" w:color="000000" w:sz="4" w:space="0"/>
              <w:bottom w:val="nil"/>
              <w:right w:val="single" w:color="000000" w:sz="4" w:space="0"/>
            </w:tcBorders>
            <w:shd w:val="clear" w:color="auto" w:fill="auto"/>
            <w:noWrap/>
            <w:vAlign w:val="center"/>
          </w:tcPr>
          <w:p w14:paraId="7A7D3E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kern w:val="0"/>
                <w:sz w:val="24"/>
                <w:szCs w:val="24"/>
                <w:u w:val="none"/>
                <w:lang w:val="en-US" w:eastAsia="zh-CN"/>
              </w:rPr>
            </w:pPr>
            <w:r>
              <w:rPr>
                <w:rFonts w:hint="eastAsia" w:ascii="黑体" w:eastAsia="黑体" w:cs="黑体"/>
                <w:i w:val="0"/>
                <w:color w:val="000000"/>
                <w:kern w:val="0"/>
                <w:sz w:val="24"/>
                <w:szCs w:val="24"/>
                <w:u w:val="none"/>
                <w:lang w:val="en-US" w:eastAsia="zh-CN"/>
              </w:rPr>
              <w:t>自评得分</w:t>
            </w:r>
          </w:p>
        </w:tc>
        <w:tc>
          <w:tcPr>
            <w:tcW w:w="478" w:type="dxa"/>
            <w:vMerge w:val="restart"/>
            <w:tcBorders>
              <w:top w:val="single" w:color="000000" w:sz="4" w:space="0"/>
              <w:left w:val="single" w:color="000000" w:sz="4" w:space="0"/>
              <w:bottom w:val="nil"/>
              <w:right w:val="single" w:color="000000" w:sz="4" w:space="0"/>
            </w:tcBorders>
            <w:shd w:val="clear" w:color="auto" w:fill="auto"/>
            <w:noWrap/>
            <w:vAlign w:val="center"/>
          </w:tcPr>
          <w:p w14:paraId="3905D6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kern w:val="0"/>
                <w:sz w:val="24"/>
                <w:szCs w:val="24"/>
                <w:u w:val="none"/>
                <w:lang w:val="en-US" w:eastAsia="zh-CN"/>
              </w:rPr>
            </w:pPr>
            <w:r>
              <w:rPr>
                <w:rFonts w:hint="eastAsia" w:ascii="黑体" w:eastAsia="黑体" w:cs="黑体"/>
                <w:i w:val="0"/>
                <w:color w:val="000000"/>
                <w:kern w:val="0"/>
                <w:sz w:val="24"/>
                <w:szCs w:val="24"/>
                <w:u w:val="none"/>
                <w:lang w:val="en-US" w:eastAsia="zh-CN"/>
              </w:rPr>
              <w:t>备注</w:t>
            </w:r>
          </w:p>
        </w:tc>
      </w:tr>
      <w:tr w14:paraId="780D6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noWrap/>
            <w:vAlign w:val="center"/>
          </w:tcPr>
          <w:p w14:paraId="572D2C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FC6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907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C4A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指标</w:t>
            </w:r>
            <w:r>
              <w:rPr>
                <w:rFonts w:hint="eastAsia" w:ascii="黑体" w:eastAsia="黑体" w:cs="黑体"/>
                <w:i w:val="0"/>
                <w:color w:val="000000"/>
                <w:kern w:val="0"/>
                <w:sz w:val="24"/>
                <w:szCs w:val="24"/>
                <w:u w:val="none"/>
                <w:lang w:val="en-US" w:eastAsia="zh-CN"/>
              </w:rPr>
              <w:br w:type="textWrapping"/>
            </w:r>
            <w:r>
              <w:rPr>
                <w:rFonts w:hint="eastAsia" w:ascii="黑体" w:eastAsia="黑体" w:cs="黑体"/>
                <w:i w:val="0"/>
                <w:color w:val="000000"/>
                <w:kern w:val="0"/>
                <w:sz w:val="24"/>
                <w:szCs w:val="24"/>
                <w:u w:val="none"/>
                <w:lang w:val="en-US" w:eastAsia="zh-CN"/>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E8E31"/>
        </w:tc>
        <w:tc>
          <w:tcPr>
            <w:tcW w:w="756" w:type="dxa"/>
            <w:vMerge w:val="continue"/>
            <w:tcBorders>
              <w:top w:val="nil"/>
              <w:left w:val="single" w:color="000000" w:sz="4" w:space="0"/>
              <w:bottom w:val="single" w:color="000000" w:sz="4" w:space="0"/>
              <w:right w:val="single" w:color="000000" w:sz="4" w:space="0"/>
            </w:tcBorders>
            <w:shd w:val="clear" w:color="auto" w:fill="auto"/>
            <w:noWrap/>
            <w:vAlign w:val="center"/>
          </w:tcPr>
          <w:p w14:paraId="0439547E"/>
        </w:tc>
        <w:tc>
          <w:tcPr>
            <w:tcW w:w="478" w:type="dxa"/>
            <w:vMerge w:val="continue"/>
            <w:tcBorders>
              <w:top w:val="nil"/>
              <w:left w:val="single" w:color="000000" w:sz="4" w:space="0"/>
              <w:bottom w:val="single" w:color="000000" w:sz="4" w:space="0"/>
              <w:right w:val="single" w:color="000000" w:sz="4" w:space="0"/>
            </w:tcBorders>
            <w:shd w:val="clear" w:color="auto" w:fill="auto"/>
            <w:noWrap/>
            <w:vAlign w:val="center"/>
          </w:tcPr>
          <w:p w14:paraId="0C48A93F"/>
        </w:tc>
      </w:tr>
      <w:tr w14:paraId="4E7DB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7A8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总体绩效</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（65分）</w:t>
            </w:r>
          </w:p>
        </w:tc>
        <w:tc>
          <w:tcPr>
            <w:tcW w:w="1462" w:type="dxa"/>
            <w:vMerge w:val="restart"/>
            <w:tcBorders>
              <w:top w:val="single" w:color="000000" w:sz="4" w:space="0"/>
              <w:left w:val="single" w:color="000000" w:sz="4" w:space="0"/>
              <w:bottom w:val="nil"/>
              <w:right w:val="single" w:color="000000" w:sz="4" w:space="0"/>
            </w:tcBorders>
            <w:shd w:val="clear" w:color="auto" w:fill="auto"/>
            <w:noWrap/>
            <w:vAlign w:val="center"/>
          </w:tcPr>
          <w:p w14:paraId="646CA0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履职效能</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46E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按照佛协章程规定开展好佛协各项工作履职效果</w:t>
            </w:r>
          </w:p>
        </w:tc>
        <w:tc>
          <w:tcPr>
            <w:tcW w:w="720" w:type="dxa"/>
            <w:tcBorders>
              <w:top w:val="nil"/>
              <w:left w:val="single" w:color="000000" w:sz="4" w:space="0"/>
              <w:bottom w:val="single" w:color="000000" w:sz="4" w:space="0"/>
              <w:right w:val="single" w:color="000000" w:sz="4" w:space="0"/>
            </w:tcBorders>
            <w:shd w:val="clear" w:color="auto" w:fill="auto"/>
            <w:noWrap/>
            <w:vAlign w:val="center"/>
          </w:tcPr>
          <w:p w14:paraId="205170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w:t>
            </w:r>
          </w:p>
        </w:tc>
        <w:tc>
          <w:tcPr>
            <w:tcW w:w="4734" w:type="dxa"/>
            <w:vMerge w:val="restart"/>
            <w:tcBorders>
              <w:top w:val="single" w:color="000000" w:sz="4" w:space="0"/>
              <w:left w:val="single" w:color="000000" w:sz="4" w:space="0"/>
              <w:bottom w:val="nil"/>
              <w:right w:val="single" w:color="000000" w:sz="4" w:space="0"/>
            </w:tcBorders>
            <w:shd w:val="clear" w:color="auto" w:fill="auto"/>
            <w:noWrap/>
            <w:vAlign w:val="center"/>
          </w:tcPr>
          <w:p w14:paraId="5BBC33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F3493">
            <w:pPr>
              <w:keepNext w:val="0"/>
              <w:keepLines w:val="0"/>
              <w:widowControl/>
              <w:suppressLineNumbers w:val="0"/>
              <w:jc w:val="right"/>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95A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3CB77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nil"/>
              <w:left w:val="single" w:color="000000" w:sz="4" w:space="0"/>
              <w:bottom w:val="nil"/>
              <w:right w:val="single" w:color="000000" w:sz="4" w:space="0"/>
            </w:tcBorders>
            <w:shd w:val="clear" w:color="auto" w:fill="auto"/>
            <w:noWrap/>
            <w:vAlign w:val="center"/>
          </w:tcPr>
          <w:p w14:paraId="42C7EED1"/>
        </w:tc>
        <w:tc>
          <w:tcPr>
            <w:tcW w:w="1462" w:type="dxa"/>
            <w:vMerge w:val="continue"/>
            <w:tcBorders>
              <w:top w:val="nil"/>
              <w:left w:val="single" w:color="000000" w:sz="4" w:space="0"/>
              <w:bottom w:val="nil"/>
              <w:right w:val="single" w:color="000000" w:sz="4" w:space="0"/>
            </w:tcBorders>
            <w:shd w:val="clear" w:color="auto" w:fill="auto"/>
            <w:noWrap/>
            <w:vAlign w:val="center"/>
          </w:tcPr>
          <w:p w14:paraId="1477FFFC"/>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39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开展藏传佛教文明和谐寺庙省、州、县三级联创活动效果</w:t>
            </w:r>
          </w:p>
        </w:tc>
        <w:tc>
          <w:tcPr>
            <w:tcW w:w="720" w:type="dxa"/>
            <w:tcBorders>
              <w:top w:val="nil"/>
              <w:left w:val="single" w:color="000000" w:sz="4" w:space="0"/>
              <w:bottom w:val="single" w:color="000000" w:sz="4" w:space="0"/>
              <w:right w:val="single" w:color="000000" w:sz="4" w:space="0"/>
            </w:tcBorders>
            <w:shd w:val="clear" w:color="auto" w:fill="auto"/>
            <w:noWrap/>
            <w:vAlign w:val="center"/>
          </w:tcPr>
          <w:p w14:paraId="2CEDB9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4734" w:type="dxa"/>
            <w:vMerge w:val="continue"/>
            <w:tcBorders>
              <w:top w:val="nil"/>
              <w:left w:val="single" w:color="000000" w:sz="4" w:space="0"/>
              <w:bottom w:val="nil"/>
              <w:right w:val="single" w:color="000000" w:sz="4" w:space="0"/>
            </w:tcBorders>
            <w:shd w:val="clear" w:color="auto" w:fill="auto"/>
            <w:noWrap/>
            <w:vAlign w:val="center"/>
          </w:tcPr>
          <w:p w14:paraId="2062639E"/>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A66E7">
            <w:pPr>
              <w:keepNext w:val="0"/>
              <w:keepLines w:val="0"/>
              <w:widowControl/>
              <w:suppressLineNumbers w:val="0"/>
              <w:jc w:val="right"/>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EC3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368E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nil"/>
              <w:left w:val="single" w:color="000000" w:sz="4" w:space="0"/>
              <w:bottom w:val="nil"/>
              <w:right w:val="single" w:color="000000" w:sz="4" w:space="0"/>
            </w:tcBorders>
            <w:shd w:val="clear" w:color="auto" w:fill="auto"/>
            <w:noWrap/>
            <w:vAlign w:val="center"/>
          </w:tcPr>
          <w:p w14:paraId="4B0FC69B"/>
        </w:tc>
        <w:tc>
          <w:tcPr>
            <w:tcW w:w="146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A8E9C43"/>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FCB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认真接待佛教徒、僧尼和信教群众的来信来访履职效果</w:t>
            </w:r>
          </w:p>
        </w:tc>
        <w:tc>
          <w:tcPr>
            <w:tcW w:w="720" w:type="dxa"/>
            <w:tcBorders>
              <w:top w:val="nil"/>
              <w:left w:val="single" w:color="000000" w:sz="4" w:space="0"/>
              <w:bottom w:val="single" w:color="000000" w:sz="4" w:space="0"/>
              <w:right w:val="single" w:color="000000" w:sz="4" w:space="0"/>
            </w:tcBorders>
            <w:shd w:val="clear" w:color="auto" w:fill="auto"/>
            <w:noWrap/>
            <w:vAlign w:val="center"/>
          </w:tcPr>
          <w:p w14:paraId="44B8EF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4734"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7CC6470"/>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D0B62">
            <w:pPr>
              <w:keepNext w:val="0"/>
              <w:keepLines w:val="0"/>
              <w:widowControl/>
              <w:suppressLineNumbers w:val="0"/>
              <w:jc w:val="right"/>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022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1294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6C836"/>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B26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预算管理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19E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4FE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D00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558BE">
            <w:pPr>
              <w:keepNext w:val="0"/>
              <w:keepLines w:val="0"/>
              <w:widowControl/>
              <w:suppressLineNumbers w:val="0"/>
              <w:jc w:val="center"/>
              <w:textAlignment w:val="center"/>
              <w:rPr>
                <w:rFonts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7.48</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AA9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7F88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A57CA"/>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3B873"/>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5CC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64D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23F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C3DE3">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20D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789A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31857"/>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78524"/>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26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32A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0B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2FD08">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CA2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5548B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2BB39"/>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8CD6D"/>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49B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862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616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6CF1E">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4C1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35B65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9E35C"/>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B34F3"/>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713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370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8A0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A84BF">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69E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470E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9D88C"/>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3C8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财务管理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60F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A25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FE0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BA969">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7B7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2935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4820C"/>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AA9EF"/>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CB9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CB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1F8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67873">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769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EEEF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6014D"/>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C7AC9"/>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D46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31C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347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054EB">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562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5F3B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B8776"/>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8CD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资产管理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C89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7C7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DD5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2CABA">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5D1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151CD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5F661"/>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A676C"/>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3B2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039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DFC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C9891">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DF2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66024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F2D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总体绩效</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CAE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资产管理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BC1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B96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EF2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7E684">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76A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3209E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3BF61"/>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BBD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采购管理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B11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6DC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E7F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DD6D0">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EAF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6D7EB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6C79B"/>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4067C"/>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5D5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CDF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0FB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8BB21">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6C9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3C26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C8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项目绩效</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noWrap/>
            <w:vAlign w:val="center"/>
          </w:tcPr>
          <w:p w14:paraId="0A78FC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项目决策</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777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34D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B10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02D13">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477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B402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481CA"/>
        </w:tc>
        <w:tc>
          <w:tcPr>
            <w:tcW w:w="1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661309E"/>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AD8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E0A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E5E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65B5C">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F2B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940B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D6F70"/>
        </w:tc>
        <w:tc>
          <w:tcPr>
            <w:tcW w:w="1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46788CB"/>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861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E7E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D35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7A9D2">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A3D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3BFB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16473"/>
        </w:tc>
        <w:tc>
          <w:tcPr>
            <w:tcW w:w="1462" w:type="dxa"/>
            <w:vMerge w:val="restart"/>
            <w:tcBorders>
              <w:top w:val="single" w:color="000000" w:sz="4" w:space="0"/>
              <w:left w:val="single" w:color="000000" w:sz="4" w:space="0"/>
              <w:bottom w:val="nil"/>
              <w:right w:val="single" w:color="000000" w:sz="4" w:space="0"/>
            </w:tcBorders>
            <w:shd w:val="clear" w:color="auto" w:fill="auto"/>
            <w:noWrap/>
            <w:vAlign w:val="center"/>
          </w:tcPr>
          <w:p w14:paraId="250EA4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项目执行</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5C0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948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498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F1B09">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666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3B1B5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E9785"/>
        </w:tc>
        <w:tc>
          <w:tcPr>
            <w:tcW w:w="1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67652A8"/>
        </w:tc>
        <w:tc>
          <w:tcPr>
            <w:tcW w:w="1665" w:type="dxa"/>
            <w:tcBorders>
              <w:top w:val="single" w:color="000000" w:sz="4" w:space="0"/>
              <w:left w:val="single" w:color="000000" w:sz="4" w:space="0"/>
              <w:bottom w:val="nil"/>
              <w:right w:val="single" w:color="000000" w:sz="4" w:space="0"/>
            </w:tcBorders>
            <w:shd w:val="clear" w:color="auto" w:fill="auto"/>
            <w:noWrap/>
            <w:vAlign w:val="center"/>
          </w:tcPr>
          <w:p w14:paraId="1DE101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E63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315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6FE16">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CBC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1C1C8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5B974"/>
        </w:tc>
        <w:tc>
          <w:tcPr>
            <w:tcW w:w="1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69E5985"/>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AD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97E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C90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ACAFC">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616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1B39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77F68"/>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931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目标实现</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6BE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55F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5E3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E0B96">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441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9720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9BCB7"/>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67FD0"/>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34D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A2A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EC9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AA15C">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CAE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59F38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58E36"/>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D0046"/>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8A3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AE7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106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30FDD">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060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23ED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E9D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扣分项</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94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209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1C6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F5215">
            <w:pPr>
              <w:jc w:val="center"/>
              <w:rPr>
                <w:rFonts w:hint="eastAsia" w:ascii="宋体" w:eastAsia="宋体" w:cs="宋体"/>
                <w:i w:val="0"/>
                <w:color w:val="000000"/>
                <w:kern w:val="0"/>
                <w:sz w:val="24"/>
                <w:szCs w:val="24"/>
                <w:u w:val="none"/>
                <w:lang w:val="en-US" w:eastAsia="zh-CN"/>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F1A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bl>
    <w:p w14:paraId="05BA18B8">
      <w:pPr>
        <w:rPr>
          <w:rFonts w:ascii="Times New Roman" w:hAnsi="Times New Roman" w:eastAsia="黑体" w:cs="Times New Roman"/>
          <w:kern w:val="2"/>
          <w:sz w:val="32"/>
          <w:szCs w:val="24"/>
          <w:highlight w:val="none"/>
          <w:lang w:val="en-US" w:eastAsia="zh-CN" w:bidi="ar-SA"/>
        </w:rPr>
      </w:pPr>
      <w:r>
        <w:rPr>
          <w:rFonts w:ascii="Times New Roman" w:hAnsi="Times New Roman" w:eastAsia="黑体" w:cs="Times New Roman"/>
          <w:kern w:val="2"/>
          <w:sz w:val="32"/>
          <w:szCs w:val="24"/>
          <w:highlight w:val="none"/>
          <w:lang w:val="en-US" w:eastAsia="zh-CN" w:bidi="ar-SA"/>
        </w:rPr>
        <w:br w:type="page"/>
      </w:r>
    </w:p>
    <w:p w14:paraId="6C5E9CC4">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hAnsi="Times New Roman" w:eastAsia="黑体" w:cs="Times New Roman"/>
          <w:kern w:val="2"/>
          <w:sz w:val="32"/>
          <w:szCs w:val="24"/>
          <w:highlight w:val="none"/>
          <w:lang w:val="en-US" w:eastAsia="zh-CN" w:bidi="ar-SA"/>
        </w:rPr>
      </w:pPr>
      <w:r>
        <w:rPr>
          <w:rFonts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2</w:t>
      </w:r>
    </w:p>
    <w:tbl>
      <w:tblPr>
        <w:tblStyle w:val="17"/>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5"/>
        <w:gridCol w:w="1289"/>
        <w:gridCol w:w="36"/>
        <w:gridCol w:w="1022"/>
        <w:gridCol w:w="926"/>
        <w:gridCol w:w="1113"/>
      </w:tblGrid>
      <w:tr w14:paraId="06EC9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10"/>
            <w:tcBorders>
              <w:top w:val="nil"/>
              <w:left w:val="nil"/>
              <w:bottom w:val="nil"/>
              <w:right w:val="nil"/>
            </w:tcBorders>
            <w:shd w:val="clear" w:color="auto" w:fill="auto"/>
            <w:noWrap/>
            <w:vAlign w:val="center"/>
          </w:tcPr>
          <w:p w14:paraId="6F9E0E7B">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hAnsi="Times New Roman" w:eastAsia="黑体" w:cs="Times New Roman"/>
                <w:i w:val="0"/>
                <w:color w:val="000000"/>
                <w:sz w:val="28"/>
                <w:szCs w:val="28"/>
                <w:u w:val="none"/>
              </w:rPr>
            </w:pPr>
            <w:r>
              <w:rPr>
                <w:rFonts w:ascii="Times New Roman" w:hAnsi="Times New Roman" w:eastAsia="方正小标宋简体" w:cs="Times New Roman"/>
                <w:i w:val="0"/>
                <w:color w:val="000000"/>
                <w:kern w:val="0"/>
                <w:sz w:val="44"/>
                <w:szCs w:val="44"/>
                <w:u w:val="none"/>
                <w:lang w:val="en-US" w:eastAsia="zh-CN"/>
              </w:rPr>
              <w:t>部门整体绩效目标完成情况自评表</w:t>
            </w:r>
          </w:p>
        </w:tc>
      </w:tr>
      <w:tr w14:paraId="29C82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tcBorders>
              <w:top w:val="nil"/>
              <w:left w:val="nil"/>
              <w:bottom w:val="nil"/>
              <w:right w:val="nil"/>
            </w:tcBorders>
            <w:shd w:val="clear" w:color="auto" w:fill="auto"/>
            <w:noWrap/>
            <w:vAlign w:val="center"/>
          </w:tcPr>
          <w:p w14:paraId="00BA5D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8"/>
                <w:szCs w:val="28"/>
                <w:u w:val="none"/>
              </w:rPr>
            </w:pPr>
            <w:r>
              <w:rPr>
                <w:rFonts w:ascii="Times New Roman" w:hAnsi="Times New Roman" w:eastAsia="宋体" w:cs="Times New Roman"/>
                <w:i w:val="0"/>
                <w:color w:val="000000"/>
                <w:kern w:val="0"/>
                <w:sz w:val="28"/>
                <w:szCs w:val="28"/>
                <w:u w:val="none"/>
                <w:lang w:val="en-US" w:eastAsia="zh-CN"/>
              </w:rPr>
              <w:t>（202</w:t>
            </w:r>
            <w:r>
              <w:rPr>
                <w:rFonts w:hint="eastAsia" w:eastAsia="宋体" w:cs="Times New Roman"/>
                <w:i w:val="0"/>
                <w:color w:val="000000"/>
                <w:kern w:val="0"/>
                <w:sz w:val="28"/>
                <w:szCs w:val="28"/>
                <w:u w:val="none"/>
                <w:lang w:val="en-US" w:eastAsia="zh-CN"/>
              </w:rPr>
              <w:t>4</w:t>
            </w:r>
            <w:r>
              <w:rPr>
                <w:rFonts w:ascii="Times New Roman" w:hAnsi="Times New Roman" w:eastAsia="宋体" w:cs="Times New Roman"/>
                <w:i w:val="0"/>
                <w:color w:val="000000"/>
                <w:kern w:val="0"/>
                <w:sz w:val="28"/>
                <w:szCs w:val="28"/>
                <w:u w:val="none"/>
                <w:lang w:val="en-US" w:eastAsia="zh-CN"/>
              </w:rPr>
              <w:t>年度）</w:t>
            </w:r>
          </w:p>
        </w:tc>
      </w:tr>
      <w:tr w14:paraId="5DD8E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tcBorders>
              <w:top w:val="nil"/>
              <w:left w:val="nil"/>
              <w:bottom w:val="single" w:color="000000" w:sz="4" w:space="0"/>
              <w:right w:val="nil"/>
            </w:tcBorders>
            <w:shd w:val="clear" w:color="auto" w:fill="auto"/>
            <w:noWrap/>
            <w:vAlign w:val="center"/>
          </w:tcPr>
          <w:p w14:paraId="71F51BFB">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ascii="Times New Roman" w:hAnsi="Times New Roman" w:eastAsia="宋体" w:cs="Times New Roman"/>
                <w:i w:val="0"/>
                <w:color w:val="000000"/>
                <w:sz w:val="21"/>
                <w:szCs w:val="21"/>
                <w:u w:val="none"/>
              </w:rPr>
            </w:pPr>
            <w:r>
              <w:rPr>
                <w:rFonts w:ascii="Times New Roman" w:hAnsi="Times New Roman" w:eastAsia="宋体" w:cs="Times New Roman"/>
                <w:i w:val="0"/>
                <w:color w:val="000000"/>
                <w:kern w:val="0"/>
                <w:sz w:val="21"/>
                <w:szCs w:val="21"/>
                <w:u w:val="none"/>
                <w:lang w:val="en-US" w:eastAsia="zh-CN"/>
              </w:rPr>
              <w:t>单位：万元</w:t>
            </w:r>
          </w:p>
        </w:tc>
      </w:tr>
      <w:tr w14:paraId="57FB3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FEB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449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金川县佛教协会本级</w:t>
            </w:r>
          </w:p>
        </w:tc>
      </w:tr>
      <w:tr w14:paraId="72CAE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BFC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DC2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资金总额</w:t>
            </w:r>
          </w:p>
        </w:tc>
        <w:tc>
          <w:tcPr>
            <w:tcW w:w="357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7EE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财政拨款</w:t>
            </w:r>
          </w:p>
        </w:tc>
        <w:tc>
          <w:tcPr>
            <w:tcW w:w="30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BBB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其他资金</w:t>
            </w:r>
          </w:p>
        </w:tc>
      </w:tr>
      <w:tr w14:paraId="0E71E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84BF3"/>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408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ascii="Times New Roman" w:hAnsi="Times New Roman" w:eastAsia="宋体" w:cs="Times New Roman"/>
                <w:i w:val="0"/>
                <w:color w:val="000000"/>
                <w:kern w:val="0"/>
                <w:sz w:val="24"/>
                <w:szCs w:val="24"/>
                <w:u w:val="none"/>
                <w:lang w:val="en-US" w:eastAsia="zh-CN"/>
              </w:rPr>
              <w:t>175.35</w:t>
            </w:r>
          </w:p>
        </w:tc>
        <w:tc>
          <w:tcPr>
            <w:tcW w:w="357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18E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ascii="Times New Roman" w:hAnsi="Times New Roman" w:eastAsia="宋体" w:cs="Times New Roman"/>
                <w:i w:val="0"/>
                <w:color w:val="000000"/>
                <w:kern w:val="0"/>
                <w:sz w:val="24"/>
                <w:szCs w:val="24"/>
                <w:u w:val="none"/>
                <w:lang w:val="en-US" w:eastAsia="zh-CN"/>
              </w:rPr>
              <w:t>175.35</w:t>
            </w:r>
          </w:p>
        </w:tc>
        <w:tc>
          <w:tcPr>
            <w:tcW w:w="30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120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p>
        </w:tc>
      </w:tr>
      <w:tr w14:paraId="76321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D66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年度总体</w:t>
            </w:r>
          </w:p>
          <w:p w14:paraId="20681A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C8CD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1、根据宪法和有关法律、法规、政策的规定，维护佛教徒宗教信仰自由权利和佛教团体、佛教活动场所、佛教自养服务事业的合法权益；密切联系各民族佛教徒，深入调查研究，如实反映情况，就落实宗教政策等问题，向有关部门提出建议和意见。</w:t>
            </w:r>
          </w:p>
          <w:p w14:paraId="4EDE00E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2、坚持对佛教徒进行爱国主义和社会主义的教育，加强对宪法和有关法律、法规、政策的学习，提高佛教徒爱国主义和社会主义觉悟，做到爱国爱教；维护法律尊严，维护人民利益，维护民族团结，维护祖国统一，反对分裂倒退。</w:t>
            </w:r>
          </w:p>
          <w:p w14:paraId="17BD107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3、坚持独立自主自办原则，抵御渗透，反对分裂，弘扬正法，反对邪教。</w:t>
            </w:r>
          </w:p>
          <w:p w14:paraId="6D87E30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4、督促佛教寺院搞好自身建设和管理，严肃清规戒律，树立优良的教风、学风，开展正常的教务活动，制定和完善僧尼入寺、学经、考试、受戒、僧纪等规章制度和具体办法。</w:t>
            </w:r>
          </w:p>
          <w:p w14:paraId="260539B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5、兴办佛教教育事业，培养佛教人才，提高佛教的整体素质，积极参与佛教文化学术研究，编印流通佛教内部资料性出版物，保护佛教文物古迹。</w:t>
            </w:r>
          </w:p>
          <w:p w14:paraId="3956182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6、引导佛教徒在各自岗位上努力工作，兴办符合佛教特点的自养服务事业，支持、参与社会公益事业，造福社会利益人群。</w:t>
            </w:r>
          </w:p>
          <w:p w14:paraId="013D5FA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7、开展同台湾同胞、港澳同胞、海外侨胞中佛教徒的联谊工作，增进了解，加强团结，促进祖国统一和佛教事业的发展。</w:t>
            </w:r>
          </w:p>
          <w:p w14:paraId="194F0C4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8、支持佛教寺院开展正常的佛事活动，按规定认定教职人员资格，指导和监督寺庙开展辩经活动，并对各寺庙工作实行督导和检查。各寺院、佛教徒有义务贯彻执行本会的决议和决定。</w:t>
            </w:r>
          </w:p>
        </w:tc>
      </w:tr>
      <w:tr w14:paraId="78CEF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nil"/>
              <w:right w:val="single" w:color="000000" w:sz="4" w:space="0"/>
            </w:tcBorders>
            <w:shd w:val="clear" w:color="auto" w:fill="auto"/>
            <w:noWrap/>
            <w:vAlign w:val="center"/>
          </w:tcPr>
          <w:p w14:paraId="3DA7CB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年度主要</w:t>
            </w:r>
          </w:p>
          <w:p w14:paraId="0D36B2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CD2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151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主要内容</w:t>
            </w:r>
          </w:p>
        </w:tc>
      </w:tr>
      <w:tr w14:paraId="0C7AD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nil"/>
              <w:left w:val="single" w:color="000000" w:sz="4" w:space="0"/>
              <w:bottom w:val="nil"/>
              <w:right w:val="single" w:color="000000" w:sz="4" w:space="0"/>
            </w:tcBorders>
            <w:shd w:val="clear" w:color="auto" w:fill="auto"/>
            <w:noWrap/>
            <w:vAlign w:val="center"/>
          </w:tcPr>
          <w:p w14:paraId="40009662"/>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11AE0">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落实宗教政策</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09B6D">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根据宪法和有关法律、法规、政策的规定，维护佛教徒宗教信仰自由权利和佛教团体、佛教活动场所、佛教自养服务事业的合法权益；密切联系各民族佛教徒，深入调查研究，如实反映情况，就落实宗教政策等问题，向有关部门提出建议和意见。</w:t>
            </w:r>
          </w:p>
        </w:tc>
      </w:tr>
      <w:tr w14:paraId="6410E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nil"/>
              <w:left w:val="single" w:color="000000" w:sz="4" w:space="0"/>
              <w:bottom w:val="nil"/>
              <w:right w:val="single" w:color="000000" w:sz="4" w:space="0"/>
            </w:tcBorders>
            <w:shd w:val="clear" w:color="auto" w:fill="auto"/>
            <w:noWrap/>
            <w:vAlign w:val="center"/>
          </w:tcPr>
          <w:p w14:paraId="11EEEC6D"/>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EAF7D">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维护民族团结</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72A1E">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坚持对佛教徒进行爱国主义和社会主义的教育，加强对宪法和有关法律、法规、政策的学习，提高佛教徒爱国主义和社会主义觉悟，做到爱国爱教；维护法律尊严，维护人民利益，维护民族团结，维护祖国统一，反对分裂倒退。</w:t>
            </w:r>
          </w:p>
        </w:tc>
      </w:tr>
      <w:tr w14:paraId="29B38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nil"/>
              <w:left w:val="single" w:color="000000" w:sz="4" w:space="0"/>
              <w:bottom w:val="nil"/>
              <w:right w:val="single" w:color="000000" w:sz="4" w:space="0"/>
            </w:tcBorders>
            <w:shd w:val="clear" w:color="auto" w:fill="auto"/>
            <w:noWrap/>
            <w:vAlign w:val="center"/>
          </w:tcPr>
          <w:p w14:paraId="210DC89F"/>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0E32F">
            <w:pPr>
              <w:keepNext w:val="0"/>
              <w:keepLines w:val="0"/>
              <w:widowControl/>
              <w:suppressLineNumbers w:val="0"/>
              <w:jc w:val="left"/>
              <w:textAlignment w:val="center"/>
              <w:rPr>
                <w:rFonts w:ascii="宋体" w:eastAsia="宋体" w:cs="宋体"/>
                <w:i w:val="0"/>
                <w:iCs w:val="0"/>
                <w:color w:val="000000"/>
                <w:kern w:val="0"/>
                <w:sz w:val="18"/>
                <w:szCs w:val="18"/>
                <w:u w:val="none"/>
                <w:lang w:val="en-US" w:eastAsia="zh-CN"/>
              </w:rPr>
            </w:pPr>
            <w:r>
              <w:rPr>
                <w:rFonts w:ascii="宋体" w:eastAsia="宋体" w:cs="宋体"/>
                <w:i w:val="0"/>
                <w:iCs w:val="0"/>
                <w:color w:val="000000"/>
                <w:kern w:val="0"/>
                <w:sz w:val="18"/>
                <w:szCs w:val="18"/>
                <w:u w:val="none"/>
                <w:lang w:val="en-US" w:eastAsia="zh-CN"/>
              </w:rPr>
              <w:t>开展正常的教务活动</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B52D">
            <w:pPr>
              <w:keepNext w:val="0"/>
              <w:keepLines w:val="0"/>
              <w:widowControl/>
              <w:suppressLineNumbers w:val="0"/>
              <w:jc w:val="left"/>
              <w:textAlignment w:val="center"/>
              <w:rPr>
                <w:rFonts w:ascii="宋体" w:eastAsia="宋体" w:cs="宋体"/>
                <w:i w:val="0"/>
                <w:iCs w:val="0"/>
                <w:color w:val="000000"/>
                <w:kern w:val="0"/>
                <w:sz w:val="18"/>
                <w:szCs w:val="18"/>
                <w:u w:val="none"/>
                <w:lang w:val="en-US" w:eastAsia="zh-CN"/>
              </w:rPr>
            </w:pPr>
            <w:r>
              <w:rPr>
                <w:rFonts w:ascii="宋体" w:eastAsia="宋体" w:cs="宋体"/>
                <w:i w:val="0"/>
                <w:iCs w:val="0"/>
                <w:color w:val="000000"/>
                <w:kern w:val="0"/>
                <w:sz w:val="18"/>
                <w:szCs w:val="18"/>
                <w:u w:val="none"/>
                <w:lang w:val="en-US" w:eastAsia="zh-CN"/>
              </w:rPr>
              <w:t>督促佛教寺院搞好自身建设和管理，严肃清规戒律，树立优良的教风、学风，开展正常的教务活动，制定和完善僧尼入寺、学经、考试、受戒、僧纪等规章制度和具体办法。</w:t>
            </w:r>
            <w:r>
              <w:rPr>
                <w:rFonts w:ascii="宋体" w:eastAsia="宋体" w:cs="宋体"/>
                <w:i w:val="0"/>
                <w:iCs w:val="0"/>
                <w:color w:val="000000"/>
                <w:kern w:val="0"/>
                <w:sz w:val="18"/>
                <w:szCs w:val="18"/>
                <w:u w:val="none"/>
                <w:lang w:val="en-US" w:eastAsia="zh-CN"/>
              </w:rPr>
              <w:br w:type="textWrapping"/>
            </w:r>
            <w:r>
              <w:rPr>
                <w:rFonts w:ascii="宋体" w:eastAsia="宋体" w:cs="宋体"/>
                <w:i w:val="0"/>
                <w:iCs w:val="0"/>
                <w:color w:val="000000"/>
                <w:kern w:val="0"/>
                <w:sz w:val="18"/>
                <w:szCs w:val="18"/>
                <w:u w:val="none"/>
                <w:lang w:val="en-US" w:eastAsia="zh-CN"/>
              </w:rPr>
              <w:t>兴办佛教教育事业，培养佛教人才，提高佛教的整体素质，积极参与佛教文化学术研究，编印流通佛教内部资料性出版物，保护佛教文物古迹。</w:t>
            </w:r>
          </w:p>
        </w:tc>
      </w:tr>
      <w:tr w14:paraId="7F94A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401A27E"/>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8124C">
            <w:pPr>
              <w:keepNext w:val="0"/>
              <w:keepLines w:val="0"/>
              <w:widowControl/>
              <w:suppressLineNumbers w:val="0"/>
              <w:jc w:val="left"/>
              <w:textAlignment w:val="center"/>
              <w:rPr>
                <w:rFonts w:ascii="宋体" w:eastAsia="宋体" w:cs="宋体"/>
                <w:i w:val="0"/>
                <w:iCs w:val="0"/>
                <w:color w:val="000000"/>
                <w:kern w:val="0"/>
                <w:sz w:val="18"/>
                <w:szCs w:val="18"/>
                <w:u w:val="none"/>
                <w:lang w:val="en-US" w:eastAsia="zh-CN"/>
              </w:rPr>
            </w:pPr>
            <w:r>
              <w:rPr>
                <w:rFonts w:ascii="宋体" w:eastAsia="宋体" w:cs="宋体"/>
                <w:i w:val="0"/>
                <w:iCs w:val="0"/>
                <w:color w:val="000000"/>
                <w:kern w:val="0"/>
                <w:sz w:val="18"/>
                <w:szCs w:val="18"/>
                <w:u w:val="none"/>
                <w:lang w:val="en-US" w:eastAsia="zh-CN"/>
              </w:rPr>
              <w:t>其他综合事务</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711D1">
            <w:pPr>
              <w:keepNext w:val="0"/>
              <w:keepLines w:val="0"/>
              <w:widowControl/>
              <w:suppressLineNumbers w:val="0"/>
              <w:jc w:val="left"/>
              <w:textAlignment w:val="center"/>
              <w:rPr>
                <w:rFonts w:ascii="宋体" w:eastAsia="宋体" w:cs="宋体"/>
                <w:i w:val="0"/>
                <w:iCs w:val="0"/>
                <w:color w:val="000000"/>
                <w:kern w:val="0"/>
                <w:sz w:val="18"/>
                <w:szCs w:val="18"/>
                <w:u w:val="none"/>
                <w:lang w:val="en-US" w:eastAsia="zh-CN"/>
              </w:rPr>
            </w:pPr>
            <w:r>
              <w:rPr>
                <w:rFonts w:ascii="宋体" w:eastAsia="宋体" w:cs="宋体"/>
                <w:i w:val="0"/>
                <w:iCs w:val="0"/>
                <w:color w:val="000000"/>
                <w:kern w:val="0"/>
                <w:sz w:val="18"/>
                <w:szCs w:val="18"/>
                <w:u w:val="none"/>
                <w:lang w:val="en-US" w:eastAsia="zh-CN"/>
              </w:rPr>
              <w:t>完成县委县政府交办的其他任务</w:t>
            </w:r>
          </w:p>
        </w:tc>
      </w:tr>
      <w:tr w14:paraId="148AA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60C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年度绩效</w:t>
            </w:r>
          </w:p>
          <w:p w14:paraId="72159F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97A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2CD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F4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478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绩效指标</w:t>
            </w:r>
          </w:p>
          <w:p w14:paraId="4E6F9B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F98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绩效指标值</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059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绩效度量单位</w:t>
            </w:r>
          </w:p>
        </w:tc>
        <w:tc>
          <w:tcPr>
            <w:tcW w:w="926" w:type="dxa"/>
            <w:tcBorders>
              <w:top w:val="single" w:color="000000" w:sz="4" w:space="0"/>
              <w:left w:val="single" w:color="000000" w:sz="4" w:space="0"/>
              <w:bottom w:val="single" w:color="000000" w:sz="4" w:space="0"/>
              <w:right w:val="nil"/>
            </w:tcBorders>
            <w:shd w:val="clear" w:color="auto" w:fill="auto"/>
            <w:noWrap/>
            <w:vAlign w:val="center"/>
          </w:tcPr>
          <w:p w14:paraId="70827B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B9F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实际完成</w:t>
            </w:r>
          </w:p>
          <w:p w14:paraId="2BAEF7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指标值</w:t>
            </w:r>
          </w:p>
        </w:tc>
      </w:tr>
      <w:tr w14:paraId="260A4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D1DA2"/>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F9EA5">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BB590">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6F2CE">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科目调整次数</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C8433">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38BA7">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5</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BF203">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次</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6F31F">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15</w:t>
            </w:r>
          </w:p>
        </w:tc>
        <w:tc>
          <w:tcPr>
            <w:tcW w:w="1113" w:type="dxa"/>
            <w:tcBorders>
              <w:top w:val="nil"/>
              <w:left w:val="single" w:color="000000" w:sz="4" w:space="0"/>
              <w:bottom w:val="single" w:color="000000" w:sz="4" w:space="0"/>
              <w:right w:val="single" w:color="000000" w:sz="4" w:space="0"/>
            </w:tcBorders>
            <w:shd w:val="clear" w:color="auto" w:fill="auto"/>
            <w:noWrap/>
            <w:vAlign w:val="center"/>
          </w:tcPr>
          <w:p w14:paraId="7070B68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w:t>
            </w:r>
            <w:r>
              <w:rPr>
                <w:rFonts w:ascii="宋体" w:eastAsia="宋体" w:cs="宋体"/>
                <w:i w:val="0"/>
                <w:iCs w:val="0"/>
                <w:color w:val="000000"/>
                <w:kern w:val="0"/>
                <w:sz w:val="18"/>
                <w:szCs w:val="18"/>
                <w:u w:val="none"/>
                <w:lang w:val="en-US" w:eastAsia="zh-CN"/>
              </w:rPr>
              <w:t>次</w:t>
            </w:r>
          </w:p>
        </w:tc>
      </w:tr>
      <w:tr w14:paraId="23546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FAED8"/>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AB79C"/>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CC78B">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39A0E">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预算编制正确率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DA965">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4B1AF">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97</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B1CBD">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7D2E3">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E24DC">
            <w:pPr>
              <w:keepNext w:val="0"/>
              <w:keepLines w:val="0"/>
              <w:widowControl/>
              <w:suppressLineNumbers w:val="0"/>
              <w:jc w:val="left"/>
              <w:textAlignment w:val="center"/>
              <w:rPr>
                <w:rFonts w:ascii="Times New Roman" w:hAnsi="Times New Roman" w:eastAsia="宋体" w:cs="Times New Roman"/>
                <w:i w:val="0"/>
                <w:color w:val="000000"/>
                <w:kern w:val="2"/>
                <w:sz w:val="24"/>
                <w:szCs w:val="24"/>
                <w:u w:val="none"/>
                <w:lang w:val="en-US" w:eastAsia="zh-CN" w:bidi="ar-SA"/>
              </w:rPr>
            </w:pPr>
            <w:r>
              <w:rPr>
                <w:rFonts w:ascii="宋体" w:eastAsia="宋体" w:cs="宋体"/>
                <w:i w:val="0"/>
                <w:iCs w:val="0"/>
                <w:color w:val="000000"/>
                <w:kern w:val="0"/>
                <w:sz w:val="18"/>
                <w:szCs w:val="18"/>
                <w:u w:val="none"/>
                <w:lang w:val="en-US" w:eastAsia="zh-CN"/>
              </w:rPr>
              <w:t>97%</w:t>
            </w:r>
          </w:p>
        </w:tc>
      </w:tr>
      <w:tr w14:paraId="5197B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7F872"/>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2AB99"/>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81BAF">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F8295">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按时发放率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79710">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0183B">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100</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B8E18">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B3480">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B87BA">
            <w:pPr>
              <w:keepNext w:val="0"/>
              <w:keepLines w:val="0"/>
              <w:widowControl/>
              <w:suppressLineNumbers w:val="0"/>
              <w:jc w:val="left"/>
              <w:textAlignment w:val="center"/>
              <w:rPr>
                <w:rFonts w:ascii="Times New Roman" w:hAnsi="Times New Roman" w:eastAsia="宋体" w:cs="Times New Roman"/>
                <w:i w:val="0"/>
                <w:color w:val="000000"/>
                <w:kern w:val="2"/>
                <w:sz w:val="24"/>
                <w:szCs w:val="24"/>
                <w:u w:val="none"/>
                <w:lang w:val="en-US" w:eastAsia="zh-CN" w:bidi="ar-SA"/>
              </w:rPr>
            </w:pPr>
            <w:r>
              <w:rPr>
                <w:rFonts w:ascii="宋体" w:eastAsia="宋体" w:cs="宋体"/>
                <w:i w:val="0"/>
                <w:iCs w:val="0"/>
                <w:color w:val="000000"/>
                <w:kern w:val="0"/>
                <w:sz w:val="18"/>
                <w:szCs w:val="18"/>
                <w:u w:val="none"/>
                <w:lang w:val="en-US" w:eastAsia="zh-CN"/>
              </w:rPr>
              <w:t>100%</w:t>
            </w:r>
          </w:p>
        </w:tc>
      </w:tr>
      <w:tr w14:paraId="401AE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8B7BD"/>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2DC8E">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3A77C">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E425D">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服务对象的满意度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9B6D4">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63CE0">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95</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352EE">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50EE4">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EA543">
            <w:pPr>
              <w:keepNext w:val="0"/>
              <w:keepLines w:val="0"/>
              <w:widowControl/>
              <w:suppressLineNumbers w:val="0"/>
              <w:jc w:val="left"/>
              <w:textAlignment w:val="center"/>
              <w:rPr>
                <w:rFonts w:ascii="Times New Roman" w:hAnsi="Times New Roman" w:eastAsia="宋体" w:cs="Times New Roman"/>
                <w:i w:val="0"/>
                <w:color w:val="000000"/>
                <w:kern w:val="2"/>
                <w:sz w:val="24"/>
                <w:szCs w:val="24"/>
                <w:u w:val="none"/>
                <w:lang w:val="en-US" w:eastAsia="zh-CN" w:bidi="ar-SA"/>
              </w:rPr>
            </w:pPr>
            <w:r>
              <w:rPr>
                <w:rFonts w:ascii="宋体" w:eastAsia="宋体" w:cs="宋体"/>
                <w:i w:val="0"/>
                <w:iCs w:val="0"/>
                <w:color w:val="000000"/>
                <w:kern w:val="0"/>
                <w:sz w:val="18"/>
                <w:szCs w:val="18"/>
                <w:u w:val="none"/>
                <w:lang w:val="en-US" w:eastAsia="zh-CN"/>
              </w:rPr>
              <w:t>95%</w:t>
            </w:r>
          </w:p>
        </w:tc>
      </w:tr>
      <w:tr w14:paraId="74320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E535C"/>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C9BAC">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成本指标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F87D4">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经济成本指标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E9C9">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三公经费控制率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6775D">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5EC11">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100</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EE6DE">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802CC">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66225">
            <w:pPr>
              <w:keepNext w:val="0"/>
              <w:keepLines w:val="0"/>
              <w:widowControl/>
              <w:suppressLineNumbers w:val="0"/>
              <w:jc w:val="left"/>
              <w:textAlignment w:val="center"/>
              <w:rPr>
                <w:rFonts w:ascii="Times New Roman" w:hAnsi="Times New Roman" w:eastAsia="宋体" w:cs="Times New Roman"/>
                <w:i w:val="0"/>
                <w:color w:val="000000"/>
                <w:kern w:val="2"/>
                <w:sz w:val="24"/>
                <w:szCs w:val="24"/>
                <w:u w:val="none"/>
                <w:lang w:val="en-US" w:eastAsia="zh-CN" w:bidi="ar-SA"/>
              </w:rPr>
            </w:pPr>
            <w:r>
              <w:rPr>
                <w:rFonts w:ascii="宋体" w:eastAsia="宋体" w:cs="宋体"/>
                <w:i w:val="0"/>
                <w:iCs w:val="0"/>
                <w:color w:val="000000"/>
                <w:kern w:val="0"/>
                <w:sz w:val="18"/>
                <w:szCs w:val="18"/>
                <w:u w:val="none"/>
                <w:lang w:val="en-US" w:eastAsia="zh-CN"/>
              </w:rPr>
              <w:t>100%</w:t>
            </w:r>
          </w:p>
        </w:tc>
      </w:tr>
      <w:tr w14:paraId="232EE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03016"/>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CD36E"/>
        </w:tc>
        <w:tc>
          <w:tcPr>
            <w:tcW w:w="1273"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7FCA470"/>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7432A">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预算结余率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9F110">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29D8E">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5</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C8427">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34931">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43064">
            <w:pPr>
              <w:keepNext w:val="0"/>
              <w:keepLines w:val="0"/>
              <w:widowControl/>
              <w:suppressLineNumbers w:val="0"/>
              <w:jc w:val="left"/>
              <w:textAlignment w:val="center"/>
              <w:rPr>
                <w:rFonts w:ascii="Times New Roman" w:hAnsi="Times New Roman" w:eastAsia="宋体" w:cs="Times New Roman"/>
                <w:i w:val="0"/>
                <w:color w:val="000000"/>
                <w:kern w:val="2"/>
                <w:sz w:val="24"/>
                <w:szCs w:val="24"/>
                <w:u w:val="none"/>
                <w:lang w:val="en-US" w:eastAsia="zh-CN" w:bidi="ar-SA"/>
              </w:rPr>
            </w:pPr>
            <w:r>
              <w:rPr>
                <w:rFonts w:hint="eastAsia" w:ascii="宋体" w:eastAsia="宋体" w:cs="宋体"/>
                <w:i w:val="0"/>
                <w:iCs w:val="0"/>
                <w:color w:val="000000"/>
                <w:kern w:val="0"/>
                <w:sz w:val="18"/>
                <w:szCs w:val="18"/>
                <w:u w:val="none"/>
                <w:lang w:val="en-US" w:eastAsia="zh-CN"/>
              </w:rPr>
              <w:t>0</w:t>
            </w:r>
          </w:p>
        </w:tc>
      </w:tr>
      <w:tr w14:paraId="2CD65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66F77"/>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D964"/>
        </w:tc>
        <w:tc>
          <w:tcPr>
            <w:tcW w:w="1273"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4113CF9"/>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FB63C">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运转保障率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678D2">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F059A">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100</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3AA2E">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30CE6">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7D5EC">
            <w:pPr>
              <w:keepNext w:val="0"/>
              <w:keepLines w:val="0"/>
              <w:widowControl/>
              <w:suppressLineNumbers w:val="0"/>
              <w:jc w:val="left"/>
              <w:textAlignment w:val="center"/>
              <w:rPr>
                <w:rFonts w:ascii="Times New Roman" w:hAnsi="Times New Roman" w:eastAsia="宋体" w:cs="Times New Roman"/>
                <w:i w:val="0"/>
                <w:color w:val="000000"/>
                <w:kern w:val="2"/>
                <w:sz w:val="24"/>
                <w:szCs w:val="24"/>
                <w:u w:val="none"/>
                <w:lang w:val="en-US" w:eastAsia="zh-CN" w:bidi="ar-SA"/>
              </w:rPr>
            </w:pPr>
            <w:r>
              <w:rPr>
                <w:rFonts w:ascii="宋体" w:eastAsia="宋体" w:cs="宋体"/>
                <w:i w:val="0"/>
                <w:iCs w:val="0"/>
                <w:color w:val="000000"/>
                <w:kern w:val="0"/>
                <w:sz w:val="18"/>
                <w:szCs w:val="18"/>
                <w:u w:val="none"/>
                <w:lang w:val="en-US" w:eastAsia="zh-CN"/>
              </w:rPr>
              <w:t>100%</w:t>
            </w:r>
          </w:p>
        </w:tc>
      </w:tr>
      <w:tr w14:paraId="6B4BD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D1E82"/>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9F7E0"/>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B7E63">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97864">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预算编制正确率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F95F8">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7494F">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97</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B3519">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3E094">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68EBD">
            <w:pPr>
              <w:keepNext w:val="0"/>
              <w:keepLines w:val="0"/>
              <w:widowControl/>
              <w:suppressLineNumbers w:val="0"/>
              <w:jc w:val="left"/>
              <w:textAlignment w:val="center"/>
              <w:rPr>
                <w:rFonts w:ascii="Times New Roman" w:hAnsi="Times New Roman" w:eastAsia="宋体" w:cs="Times New Roman"/>
                <w:i w:val="0"/>
                <w:color w:val="000000"/>
                <w:kern w:val="2"/>
                <w:sz w:val="24"/>
                <w:szCs w:val="24"/>
                <w:u w:val="none"/>
                <w:lang w:val="en-US" w:eastAsia="zh-CN" w:bidi="ar-SA"/>
              </w:rPr>
            </w:pPr>
            <w:r>
              <w:rPr>
                <w:rFonts w:ascii="宋体" w:eastAsia="宋体" w:cs="宋体"/>
                <w:i w:val="0"/>
                <w:iCs w:val="0"/>
                <w:color w:val="000000"/>
                <w:kern w:val="0"/>
                <w:sz w:val="18"/>
                <w:szCs w:val="18"/>
                <w:u w:val="none"/>
                <w:lang w:val="en-US" w:eastAsia="zh-CN"/>
              </w:rPr>
              <w:t>97%</w:t>
            </w:r>
          </w:p>
        </w:tc>
      </w:tr>
    </w:tbl>
    <w:p w14:paraId="1A86F223">
      <w:pPr>
        <w:rPr>
          <w:rFonts w:ascii="Times New Roman" w:hAnsi="Times New Roman" w:eastAsia="黑体" w:cs="Times New Roman"/>
          <w:sz w:val="24"/>
          <w:szCs w:val="24"/>
          <w:highlight w:val="none"/>
          <w:lang w:val="en-US" w:eastAsia="zh-CN"/>
        </w:rPr>
      </w:pPr>
      <w:r>
        <w:rPr>
          <w:rFonts w:ascii="Times New Roman" w:hAnsi="Times New Roman" w:eastAsia="黑体" w:cs="Times New Roman"/>
          <w:sz w:val="24"/>
          <w:szCs w:val="24"/>
          <w:highlight w:val="none"/>
          <w:lang w:val="en-US" w:eastAsia="zh-CN"/>
        </w:rPr>
        <w:br w:type="page"/>
      </w:r>
    </w:p>
    <w:bookmarkEnd w:id="19"/>
    <w:p w14:paraId="35473758">
      <w:pPr>
        <w:pStyle w:val="3"/>
        <w:jc w:val="center"/>
        <w:rPr>
          <w:rFonts w:ascii="黑体" w:eastAsia="黑体"/>
        </w:rPr>
      </w:pPr>
      <w:r>
        <w:rPr>
          <w:rFonts w:hint="eastAsia" w:ascii="黑体" w:eastAsia="黑体"/>
        </w:rPr>
        <w:t>第五部分 附表</w:t>
      </w:r>
    </w:p>
    <w:p w14:paraId="5CF9214D">
      <w:pPr>
        <w:rPr>
          <w:rFonts w:ascii="仿宋" w:eastAsia="仿宋"/>
          <w:sz w:val="32"/>
          <w:szCs w:val="32"/>
        </w:rPr>
      </w:pPr>
      <w:r>
        <w:rPr>
          <w:rFonts w:hint="eastAsia" w:ascii="仿宋" w:eastAsia="仿宋"/>
          <w:sz w:val="32"/>
          <w:szCs w:val="32"/>
        </w:rPr>
        <w:t>一、收入支出决算总表</w:t>
      </w:r>
    </w:p>
    <w:p w14:paraId="43B7658D">
      <w:pPr>
        <w:rPr>
          <w:rFonts w:ascii="仿宋" w:eastAsia="仿宋"/>
          <w:sz w:val="32"/>
          <w:szCs w:val="32"/>
        </w:rPr>
      </w:pPr>
      <w:r>
        <w:rPr>
          <w:rFonts w:hint="eastAsia" w:ascii="仿宋" w:eastAsia="仿宋"/>
          <w:sz w:val="32"/>
          <w:szCs w:val="32"/>
        </w:rPr>
        <w:t>二、收入决算表</w:t>
      </w:r>
    </w:p>
    <w:p w14:paraId="6C3C379F">
      <w:pPr>
        <w:rPr>
          <w:rFonts w:ascii="仿宋" w:eastAsia="仿宋"/>
          <w:sz w:val="32"/>
          <w:szCs w:val="32"/>
        </w:rPr>
      </w:pPr>
      <w:r>
        <w:rPr>
          <w:rFonts w:hint="eastAsia" w:ascii="仿宋" w:eastAsia="仿宋"/>
          <w:sz w:val="32"/>
          <w:szCs w:val="32"/>
        </w:rPr>
        <w:t>三、支出决算表</w:t>
      </w:r>
    </w:p>
    <w:p w14:paraId="7E5AC23A">
      <w:pPr>
        <w:rPr>
          <w:rFonts w:ascii="仿宋" w:eastAsia="仿宋"/>
          <w:sz w:val="32"/>
          <w:szCs w:val="32"/>
        </w:rPr>
      </w:pPr>
      <w:r>
        <w:rPr>
          <w:rFonts w:hint="eastAsia" w:ascii="仿宋" w:eastAsia="仿宋"/>
          <w:sz w:val="32"/>
          <w:szCs w:val="32"/>
        </w:rPr>
        <w:t>四、财政拨款收入支出决算总表</w:t>
      </w:r>
    </w:p>
    <w:p w14:paraId="34787FA4">
      <w:pPr>
        <w:rPr>
          <w:rFonts w:ascii="仿宋" w:eastAsia="仿宋"/>
          <w:sz w:val="32"/>
          <w:szCs w:val="32"/>
        </w:rPr>
      </w:pPr>
      <w:r>
        <w:rPr>
          <w:rFonts w:hint="eastAsia" w:ascii="仿宋" w:eastAsia="仿宋"/>
          <w:sz w:val="32"/>
          <w:szCs w:val="32"/>
        </w:rPr>
        <w:t>五、财政拨款支出决算明细表</w:t>
      </w:r>
    </w:p>
    <w:p w14:paraId="362427C7">
      <w:pPr>
        <w:rPr>
          <w:rFonts w:ascii="仿宋" w:eastAsia="仿宋"/>
          <w:sz w:val="32"/>
          <w:szCs w:val="32"/>
        </w:rPr>
      </w:pPr>
      <w:r>
        <w:rPr>
          <w:rFonts w:hint="eastAsia" w:ascii="仿宋" w:eastAsia="仿宋"/>
          <w:sz w:val="32"/>
          <w:szCs w:val="32"/>
        </w:rPr>
        <w:t>六、一般公共预算财政拨款支出决算表</w:t>
      </w:r>
    </w:p>
    <w:p w14:paraId="63052373">
      <w:pPr>
        <w:rPr>
          <w:rFonts w:ascii="仿宋" w:eastAsia="仿宋"/>
          <w:sz w:val="32"/>
          <w:szCs w:val="32"/>
        </w:rPr>
      </w:pPr>
      <w:r>
        <w:rPr>
          <w:rFonts w:hint="eastAsia" w:ascii="仿宋" w:eastAsia="仿宋"/>
          <w:sz w:val="32"/>
          <w:szCs w:val="32"/>
        </w:rPr>
        <w:t>七、一般公共预算财政拨款支出决算明细表</w:t>
      </w:r>
    </w:p>
    <w:p w14:paraId="34AF62ED">
      <w:pPr>
        <w:rPr>
          <w:rFonts w:ascii="仿宋" w:eastAsia="仿宋"/>
          <w:sz w:val="32"/>
          <w:szCs w:val="32"/>
        </w:rPr>
      </w:pPr>
      <w:r>
        <w:rPr>
          <w:rFonts w:hint="eastAsia" w:ascii="仿宋" w:eastAsia="仿宋"/>
          <w:sz w:val="32"/>
          <w:szCs w:val="32"/>
        </w:rPr>
        <w:t>八、一般公共预算财政拨款基本支出决算表</w:t>
      </w:r>
    </w:p>
    <w:p w14:paraId="550BF179">
      <w:pPr>
        <w:rPr>
          <w:rFonts w:ascii="仿宋" w:eastAsia="仿宋"/>
          <w:sz w:val="32"/>
          <w:szCs w:val="32"/>
        </w:rPr>
      </w:pPr>
      <w:r>
        <w:rPr>
          <w:rFonts w:hint="eastAsia" w:ascii="仿宋" w:eastAsia="仿宋"/>
          <w:sz w:val="32"/>
          <w:szCs w:val="32"/>
        </w:rPr>
        <w:t>九、一般公共预算财政拨款项目支出决算表</w:t>
      </w:r>
    </w:p>
    <w:p w14:paraId="72202487">
      <w:pPr>
        <w:rPr>
          <w:rFonts w:ascii="仿宋" w:eastAsia="仿宋"/>
          <w:sz w:val="32"/>
          <w:szCs w:val="32"/>
        </w:rPr>
      </w:pPr>
      <w:r>
        <w:rPr>
          <w:rFonts w:hint="eastAsia" w:ascii="仿宋" w:eastAsia="仿宋"/>
          <w:sz w:val="32"/>
          <w:szCs w:val="32"/>
        </w:rPr>
        <w:t>十、政府性基金预算财政拨款收入支出决算表</w:t>
      </w:r>
    </w:p>
    <w:p w14:paraId="4DED1D2F">
      <w:pPr>
        <w:rPr>
          <w:rFonts w:ascii="仿宋" w:eastAsia="仿宋"/>
          <w:sz w:val="32"/>
          <w:szCs w:val="32"/>
        </w:rPr>
      </w:pPr>
      <w:r>
        <w:rPr>
          <w:rFonts w:hint="eastAsia" w:ascii="仿宋" w:eastAsia="仿宋"/>
          <w:sz w:val="32"/>
          <w:szCs w:val="32"/>
        </w:rPr>
        <w:t>十一、国有资本经营预算财政拨款收入支出决算表</w:t>
      </w:r>
    </w:p>
    <w:p w14:paraId="66BAB6FF">
      <w:pPr>
        <w:rPr>
          <w:rFonts w:ascii="仿宋" w:eastAsia="仿宋"/>
          <w:sz w:val="32"/>
          <w:szCs w:val="32"/>
        </w:rPr>
      </w:pPr>
      <w:r>
        <w:rPr>
          <w:rFonts w:hint="eastAsia" w:ascii="仿宋" w:eastAsia="仿宋"/>
          <w:sz w:val="32"/>
          <w:szCs w:val="32"/>
        </w:rPr>
        <w:t>十二、国有资本经营预算财政拨款支出决算表</w:t>
      </w:r>
    </w:p>
    <w:p w14:paraId="7F8EFC2E">
      <w:pPr>
        <w:rPr>
          <w:rFonts w:ascii="仿宋" w:eastAsia="仿宋"/>
          <w:sz w:val="32"/>
          <w:szCs w:val="32"/>
        </w:rPr>
      </w:pPr>
      <w:r>
        <w:rPr>
          <w:rFonts w:hint="eastAsia" w:ascii="仿宋" w:eastAsia="仿宋"/>
          <w:sz w:val="32"/>
          <w:szCs w:val="32"/>
        </w:rPr>
        <w:t>十三、财政拨款“三公”经费支出决算表</w:t>
      </w:r>
    </w:p>
    <w:p w14:paraId="21BAC90F">
      <w:pPr>
        <w:keepNext w:val="0"/>
        <w:keepLines w:val="0"/>
        <w:pageBreakBefore w:val="0"/>
        <w:widowControl/>
        <w:kinsoku/>
        <w:wordWrap/>
        <w:overflowPunct/>
        <w:topLinePunct w:val="0"/>
        <w:autoSpaceDE/>
        <w:autoSpaceDN/>
        <w:bidi w:val="0"/>
        <w:adjustRightInd w:val="0"/>
        <w:snapToGrid w:val="0"/>
        <w:spacing w:line="578" w:lineRule="exact"/>
        <w:contextualSpacing/>
        <w:jc w:val="left"/>
        <w:textAlignment w:val="auto"/>
        <w:outlineLvl w:val="9"/>
        <w:rPr>
          <w:rFonts w:hint="eastAsia" w:ascii="Times New Roman" w:hAnsi="Times New Roman"/>
          <w:lang w:eastAsia="zh-CN"/>
        </w:rPr>
      </w:pPr>
    </w:p>
    <w:sectPr>
      <w:footerReference r:id="rId7" w:type="first"/>
      <w:footerReference r:id="rId6" w:type="default"/>
      <w:pgSz w:w="11906" w:h="16838"/>
      <w:pgMar w:top="1213" w:right="1800" w:bottom="1440" w:left="1800"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RomanS">
    <w:altName w:val="Segoe Print"/>
    <w:panose1 w:val="00000000000000000000"/>
    <w:charset w:val="00"/>
    <w:family w:val="auto"/>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0D82A">
    <w:pPr>
      <w:pStyle w:val="12"/>
      <w:jc w:val="cente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227965" cy="133350"/>
              <wp:effectExtent l="0" t="0" r="0" b="0"/>
              <wp:wrapNone/>
              <wp:docPr id="1" name="文本框 6"/>
              <wp:cNvGraphicFramePr/>
              <a:graphic xmlns:a="http://schemas.openxmlformats.org/drawingml/2006/main">
                <a:graphicData uri="http://schemas.microsoft.com/office/word/2010/wordprocessingShape">
                  <wps:wsp>
                    <wps:cNvSpPr/>
                    <wps:spPr>
                      <a:xfrm>
                        <a:off x="0" y="0"/>
                        <a:ext cx="227914" cy="133159"/>
                      </a:xfrm>
                      <a:prstGeom prst="rect">
                        <a:avLst/>
                      </a:prstGeom>
                      <a:noFill/>
                      <a:ln w="6350" cap="flat" cmpd="sng">
                        <a:noFill/>
                        <a:prstDash val="solid"/>
                        <a:round/>
                      </a:ln>
                    </wps:spPr>
                    <wps:txbx>
                      <w:txbxContent>
                        <w:p w14:paraId="570A3805">
                          <w:pPr>
                            <w:pStyle w:val="12"/>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rect id="文本框 6" o:spid="_x0000_s1026" o:spt="1" style="position:absolute;left:0pt;margin-top:0pt;height:10.5pt;width:17.95pt;mso-position-horizontal:center;mso-position-horizontal-relative:margin;mso-wrap-style:none;z-index:251659264;mso-width-relative:page;mso-height-relative:page;" filled="f" stroked="f" coordsize="21600,21600" o:gfxdata="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Ya7CG1wAAAAMBAAAPAAAAAAAAAAEAIAAAACIAAABkcnMv&#10;ZG93bnJldi54bWxQSwECFAAUAAAACACHTuJAF6/P0wQCAAD0AwAADgAAAAAAAAABACAAAAAmAQAA&#10;ZHJzL2Uyb0RvYy54bWxQSwUGAAAAAAYABgBZAQAAnAUAAAAA&#10;">
              <v:fill on="f" focussize="0,0"/>
              <v:stroke on="f" weight="0.5pt" joinstyle="round"/>
              <v:imagedata o:title=""/>
              <o:lock v:ext="edit" aspectratio="f"/>
              <v:textbox inset="0mm,0mm,0mm,0mm" style="mso-fit-shape-to-text:t;">
                <w:txbxContent>
                  <w:p w14:paraId="570A3805">
                    <w:pPr>
                      <w:pStyle w:val="12"/>
                    </w:pPr>
                    <w:r>
                      <w:fldChar w:fldCharType="begin"/>
                    </w:r>
                    <w:r>
                      <w:instrText xml:space="preserve"> PAGE  \* MERGEFORMAT </w:instrText>
                    </w:r>
                    <w:r>
                      <w:fldChar w:fldCharType="separate"/>
                    </w:r>
                    <w:r>
                      <w:t>- 1 -</w:t>
                    </w:r>
                    <w:r>
                      <w:fldChar w:fldCharType="end"/>
                    </w:r>
                  </w:p>
                </w:txbxContent>
              </v:textbox>
            </v:rect>
          </w:pict>
        </mc:Fallback>
      </mc:AlternateContent>
    </w:r>
  </w:p>
  <w:p w14:paraId="7E0236DE">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C957E">
    <w:pPr>
      <w:pStyle w:val="12"/>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227965" cy="133350"/>
              <wp:effectExtent l="0" t="0" r="0" b="0"/>
              <wp:wrapNone/>
              <wp:docPr id="4" name="文本框 8"/>
              <wp:cNvGraphicFramePr/>
              <a:graphic xmlns:a="http://schemas.openxmlformats.org/drawingml/2006/main">
                <a:graphicData uri="http://schemas.microsoft.com/office/word/2010/wordprocessingShape">
                  <wps:wsp>
                    <wps:cNvSpPr/>
                    <wps:spPr>
                      <a:xfrm>
                        <a:off x="0" y="0"/>
                        <a:ext cx="227914" cy="133159"/>
                      </a:xfrm>
                      <a:prstGeom prst="rect">
                        <a:avLst/>
                      </a:prstGeom>
                      <a:noFill/>
                      <a:ln w="6350" cap="flat" cmpd="sng">
                        <a:noFill/>
                        <a:prstDash val="solid"/>
                        <a:round/>
                      </a:ln>
                    </wps:spPr>
                    <wps:txbx>
                      <w:txbxContent>
                        <w:p w14:paraId="7DE14537">
                          <w:pPr>
                            <w:pStyle w:val="12"/>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rect id="文本框 8" o:spid="_x0000_s1026" o:spt="1" style="position:absolute;left:0pt;margin-top:0pt;height:10.5pt;width:17.95pt;mso-position-horizontal:center;mso-position-horizontal-relative:margin;mso-wrap-style:none;z-index:251659264;mso-width-relative:page;mso-height-relative:page;" filled="f" stroked="f" coordsize="21600,21600" o:gfxdata="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Ya7CG1wAAAAMBAAAPAAAAAAAAAAEAIAAAACIAAABkcnMv&#10;ZG93bnJldi54bWxQSwECFAAUAAAACACHTuJAiO9d2wQCAAD0AwAADgAAAAAAAAABACAAAAAmAQAA&#10;ZHJzL2Uyb0RvYy54bWxQSwUGAAAAAAYABgBZAQAAnAUAAAAA&#10;">
              <v:fill on="f" focussize="0,0"/>
              <v:stroke on="f" weight="0.5pt" joinstyle="round"/>
              <v:imagedata o:title=""/>
              <o:lock v:ext="edit" aspectratio="f"/>
              <v:textbox inset="0mm,0mm,0mm,0mm" style="mso-fit-shape-to-text:t;">
                <w:txbxContent>
                  <w:p w14:paraId="7DE14537">
                    <w:pPr>
                      <w:pStyle w:val="12"/>
                    </w:pPr>
                    <w:r>
                      <w:fldChar w:fldCharType="begin"/>
                    </w:r>
                    <w:r>
                      <w:instrText xml:space="preserve"> PAGE  \* MERGEFORMAT </w:instrText>
                    </w:r>
                    <w:r>
                      <w:fldChar w:fldCharType="separate"/>
                    </w:r>
                    <w:r>
                      <w:t>- 1 -</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93AB4">
    <w:pPr>
      <w:pStyle w:val="12"/>
      <w:jc w:val="cente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300355" cy="133350"/>
              <wp:effectExtent l="0" t="0" r="0" b="0"/>
              <wp:wrapNone/>
              <wp:docPr id="7" name="文本框 9"/>
              <wp:cNvGraphicFramePr/>
              <a:graphic xmlns:a="http://schemas.openxmlformats.org/drawingml/2006/main">
                <a:graphicData uri="http://schemas.microsoft.com/office/word/2010/wordprocessingShape">
                  <wps:wsp>
                    <wps:cNvSpPr/>
                    <wps:spPr>
                      <a:xfrm>
                        <a:off x="0" y="0"/>
                        <a:ext cx="300609" cy="133159"/>
                      </a:xfrm>
                      <a:prstGeom prst="rect">
                        <a:avLst/>
                      </a:prstGeom>
                      <a:noFill/>
                      <a:ln w="6350" cap="flat" cmpd="sng">
                        <a:noFill/>
                        <a:prstDash val="solid"/>
                        <a:round/>
                      </a:ln>
                    </wps:spPr>
                    <wps:txbx>
                      <w:txbxContent>
                        <w:p w14:paraId="18F9ADC5">
                          <w:pPr>
                            <w:pStyle w:val="12"/>
                          </w:pPr>
                          <w:r>
                            <w:fldChar w:fldCharType="begin"/>
                          </w:r>
                          <w:r>
                            <w:instrText xml:space="preserve"> PAGE  \* MERGEFORMAT </w:instrText>
                          </w:r>
                          <w:r>
                            <w:fldChar w:fldCharType="separate"/>
                          </w:r>
                          <w:r>
                            <w:t>- 2 -</w:t>
                          </w:r>
                          <w:r>
                            <w:fldChar w:fldCharType="end"/>
                          </w:r>
                        </w:p>
                      </w:txbxContent>
                    </wps:txbx>
                    <wps:bodyPr vert="horz" wrap="none" lIns="0" tIns="0" rIns="0" bIns="0" anchor="t" anchorCtr="0" upright="0">
                      <a:spAutoFit/>
                    </wps:bodyPr>
                  </wps:wsp>
                </a:graphicData>
              </a:graphic>
            </wp:anchor>
          </w:drawing>
        </mc:Choice>
        <mc:Fallback>
          <w:pict>
            <v:rect id="文本框 9" o:spid="_x0000_s1026" o:spt="1" style="position:absolute;left:0pt;margin-top:0pt;height:10.5pt;width:23.65pt;mso-position-horizontal:center;mso-position-horizontal-relative:margin;mso-wrap-style:none;z-index:251659264;mso-width-relative:page;mso-height-relative:page;" filled="f" stroked="f" coordsize="21600,21600" o:gfxdata="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XeCdo1wAAAAMBAAAPAAAAAAAAAAEAIAAAACIAAABkcnMv&#10;ZG93bnJldi54bWxQSwECFAAUAAAACACHTuJA/tZU8QQCAAD0AwAADgAAAAAAAAABACAAAAAmAQAA&#10;ZHJzL2Uyb0RvYy54bWxQSwUGAAAAAAYABgBZAQAAnAUAAAAA&#10;">
              <v:fill on="f" focussize="0,0"/>
              <v:stroke on="f" weight="0.5pt" joinstyle="round"/>
              <v:imagedata o:title=""/>
              <o:lock v:ext="edit" aspectratio="f"/>
              <v:textbox inset="0mm,0mm,0mm,0mm" style="mso-fit-shape-to-text:t;">
                <w:txbxContent>
                  <w:p w14:paraId="18F9ADC5">
                    <w:pPr>
                      <w:pStyle w:val="12"/>
                    </w:pPr>
                    <w:r>
                      <w:fldChar w:fldCharType="begin"/>
                    </w:r>
                    <w:r>
                      <w:instrText xml:space="preserve"> PAGE  \* MERGEFORMAT </w:instrText>
                    </w:r>
                    <w:r>
                      <w:fldChar w:fldCharType="separate"/>
                    </w:r>
                    <w:r>
                      <w:t>- 2 -</w:t>
                    </w:r>
                    <w:r>
                      <w:fldChar w:fldCharType="end"/>
                    </w:r>
                  </w:p>
                </w:txbxContent>
              </v:textbox>
            </v:rect>
          </w:pict>
        </mc:Fallback>
      </mc:AlternateContent>
    </w:r>
  </w:p>
  <w:p w14:paraId="39668532">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50DC2">
    <w:pPr>
      <w:pStyle w:val="12"/>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227965" cy="133350"/>
              <wp:effectExtent l="0" t="0" r="0" b="0"/>
              <wp:wrapNone/>
              <wp:docPr id="10" name="文本框 10"/>
              <wp:cNvGraphicFramePr/>
              <a:graphic xmlns:a="http://schemas.openxmlformats.org/drawingml/2006/main">
                <a:graphicData uri="http://schemas.microsoft.com/office/word/2010/wordprocessingShape">
                  <wps:wsp>
                    <wps:cNvSpPr/>
                    <wps:spPr>
                      <a:xfrm>
                        <a:off x="0" y="0"/>
                        <a:ext cx="227914" cy="133159"/>
                      </a:xfrm>
                      <a:prstGeom prst="rect">
                        <a:avLst/>
                      </a:prstGeom>
                      <a:noFill/>
                      <a:ln w="6350" cap="flat" cmpd="sng">
                        <a:noFill/>
                        <a:prstDash val="solid"/>
                        <a:round/>
                      </a:ln>
                    </wps:spPr>
                    <wps:txbx>
                      <w:txbxContent>
                        <w:p w14:paraId="5D7BC8DF">
                          <w:pPr>
                            <w:pStyle w:val="12"/>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rect id="文本框 10" o:spid="_x0000_s1026" o:spt="1" style="position:absolute;left:0pt;margin-top:0pt;height:10.5pt;width:17.95pt;mso-position-horizontal:center;mso-position-horizontal-relative:margin;mso-wrap-style:none;z-index:251659264;mso-width-relative:page;mso-height-relative:page;" filled="f" stroked="f" coordsize="21600,21600" o:gfxdata="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Ya7CG1wAAAAMBAAAPAAAAAAAAAAEAIAAAACIAAABkcnMv&#10;ZG93bnJldi54bWxQSwECFAAUAAAACACHTuJAOsqadQQCAAD2AwAADgAAAAAAAAABACAAAAAmAQAA&#10;ZHJzL2Uyb0RvYy54bWxQSwUGAAAAAAYABgBZAQAAnAUAAAAA&#10;">
              <v:fill on="f" focussize="0,0"/>
              <v:stroke on="f" weight="0.5pt" joinstyle="round"/>
              <v:imagedata o:title=""/>
              <o:lock v:ext="edit" aspectratio="f"/>
              <v:textbox inset="0mm,0mm,0mm,0mm" style="mso-fit-shape-to-text:t;">
                <w:txbxContent>
                  <w:p w14:paraId="5D7BC8DF">
                    <w:pPr>
                      <w:pStyle w:val="12"/>
                    </w:pPr>
                    <w:r>
                      <w:fldChar w:fldCharType="begin"/>
                    </w:r>
                    <w:r>
                      <w:instrText xml:space="preserve"> PAGE  \* MERGEFORMAT </w:instrText>
                    </w:r>
                    <w:r>
                      <w:fldChar w:fldCharType="separate"/>
                    </w:r>
                    <w:r>
                      <w:t>- 1 -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B0543">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CB7761"/>
    <w:multiLevelType w:val="singleLevel"/>
    <w:tmpl w:val="85CB7761"/>
    <w:lvl w:ilvl="0" w:tentative="0">
      <w:start w:val="3"/>
      <w:numFmt w:val="chineseCounting"/>
      <w:suff w:val="nothing"/>
      <w:lvlText w:val="（%1）"/>
      <w:lvlJc w:val="left"/>
      <w:pPr>
        <w:tabs>
          <w:tab w:val="left" w:pos="0"/>
        </w:tabs>
        <w:ind w:left="0" w:firstLine="0"/>
      </w:pPr>
      <w:rPr>
        <w:rFonts w:hint="eastAsia"/>
      </w:rPr>
    </w:lvl>
  </w:abstractNum>
  <w:abstractNum w:abstractNumId="1">
    <w:nsid w:val="8A73E426"/>
    <w:multiLevelType w:val="singleLevel"/>
    <w:tmpl w:val="8A73E426"/>
    <w:lvl w:ilvl="0" w:tentative="0">
      <w:start w:val="3"/>
      <w:numFmt w:val="chineseCounting"/>
      <w:suff w:val="space"/>
      <w:lvlText w:val="第%1部分"/>
      <w:lvlJc w:val="left"/>
      <w:pPr>
        <w:tabs>
          <w:tab w:val="left" w:pos="0"/>
        </w:tabs>
        <w:ind w:left="0" w:firstLine="0"/>
      </w:pPr>
      <w:rPr>
        <w:rFonts w:hint="eastAsia"/>
      </w:rPr>
    </w:lvl>
  </w:abstractNum>
  <w:abstractNum w:abstractNumId="2">
    <w:nsid w:val="91F1F7DB"/>
    <w:multiLevelType w:val="singleLevel"/>
    <w:tmpl w:val="91F1F7DB"/>
    <w:lvl w:ilvl="0" w:tentative="0">
      <w:start w:val="2"/>
      <w:numFmt w:val="chineseCounting"/>
      <w:suff w:val="nothing"/>
      <w:lvlText w:val="（%1）"/>
      <w:lvlJc w:val="left"/>
      <w:pPr>
        <w:tabs>
          <w:tab w:val="left" w:pos="0"/>
        </w:tabs>
        <w:ind w:left="0" w:firstLine="0"/>
      </w:pPr>
      <w:rPr>
        <w:rFonts w:hint="eastAsia"/>
      </w:rPr>
    </w:lvl>
  </w:abstractNum>
  <w:abstractNum w:abstractNumId="3">
    <w:nsid w:val="B67D7876"/>
    <w:multiLevelType w:val="singleLevel"/>
    <w:tmpl w:val="B67D7876"/>
    <w:lvl w:ilvl="0" w:tentative="0">
      <w:start w:val="2"/>
      <w:numFmt w:val="decimal"/>
      <w:suff w:val="nothing"/>
      <w:lvlText w:val="（%1）"/>
      <w:lvlJc w:val="left"/>
      <w:pPr>
        <w:tabs>
          <w:tab w:val="left" w:pos="0"/>
        </w:tabs>
        <w:ind w:left="0" w:firstLine="0"/>
      </w:pPr>
    </w:lvl>
  </w:abstractNum>
  <w:abstractNum w:abstractNumId="4">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5">
    <w:nsid w:val="D7D13802"/>
    <w:multiLevelType w:val="singleLevel"/>
    <w:tmpl w:val="D7D13802"/>
    <w:lvl w:ilvl="0" w:tentative="0">
      <w:start w:val="2"/>
      <w:numFmt w:val="decimal"/>
      <w:suff w:val="nothing"/>
      <w:lvlText w:val="（%1）"/>
      <w:lvlJc w:val="left"/>
      <w:pPr>
        <w:tabs>
          <w:tab w:val="left" w:pos="0"/>
        </w:tabs>
        <w:ind w:left="0" w:firstLine="0"/>
      </w:pPr>
    </w:lvl>
  </w:abstractNum>
  <w:abstractNum w:abstractNumId="6">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7">
    <w:nsid w:val="4A5A7DA3"/>
    <w:multiLevelType w:val="singleLevel"/>
    <w:tmpl w:val="4A5A7DA3"/>
    <w:lvl w:ilvl="0" w:tentative="0">
      <w:start w:val="1"/>
      <w:numFmt w:val="chineseCounting"/>
      <w:suff w:val="nothing"/>
      <w:lvlText w:val="%1、"/>
      <w:lvlJc w:val="left"/>
      <w:pPr>
        <w:tabs>
          <w:tab w:val="left" w:pos="0"/>
        </w:tabs>
        <w:ind w:left="0" w:firstLine="0"/>
      </w:pPr>
      <w:rPr>
        <w:rFonts w:hint="eastAsia"/>
      </w:rPr>
    </w:lvl>
  </w:abstractNum>
  <w:abstractNum w:abstractNumId="8">
    <w:nsid w:val="62621CDC"/>
    <w:multiLevelType w:val="multilevel"/>
    <w:tmpl w:val="62621CDC"/>
    <w:lvl w:ilvl="0" w:tentative="0">
      <w:start w:val="1"/>
      <w:numFmt w:val="decimal"/>
      <w:lvlText w:val="%1."/>
      <w:lvlJc w:val="left"/>
      <w:pPr>
        <w:tabs>
          <w:tab w:val="left" w:pos="0"/>
        </w:tabs>
        <w:ind w:left="1152" w:hanging="480"/>
      </w:pPr>
      <w:rPr>
        <w:rFonts w:hint="default"/>
      </w:rPr>
    </w:lvl>
    <w:lvl w:ilvl="1" w:tentative="0">
      <w:start w:val="1"/>
      <w:numFmt w:val="lowerLetter"/>
      <w:lvlText w:val="%2)"/>
      <w:lvlJc w:val="left"/>
      <w:pPr>
        <w:tabs>
          <w:tab w:val="left" w:pos="0"/>
        </w:tabs>
        <w:ind w:left="1512" w:hanging="420"/>
      </w:pPr>
    </w:lvl>
    <w:lvl w:ilvl="2" w:tentative="0">
      <w:start w:val="1"/>
      <w:numFmt w:val="lowerRoman"/>
      <w:lvlText w:val="%3."/>
      <w:lvlJc w:val="right"/>
      <w:pPr>
        <w:tabs>
          <w:tab w:val="left" w:pos="0"/>
        </w:tabs>
        <w:ind w:left="1932" w:hanging="420"/>
      </w:pPr>
    </w:lvl>
    <w:lvl w:ilvl="3" w:tentative="0">
      <w:start w:val="1"/>
      <w:numFmt w:val="decimal"/>
      <w:lvlText w:val="%4."/>
      <w:lvlJc w:val="left"/>
      <w:pPr>
        <w:tabs>
          <w:tab w:val="left" w:pos="0"/>
        </w:tabs>
        <w:ind w:left="2352" w:hanging="420"/>
      </w:pPr>
    </w:lvl>
    <w:lvl w:ilvl="4" w:tentative="0">
      <w:start w:val="1"/>
      <w:numFmt w:val="lowerLetter"/>
      <w:lvlText w:val="%5)"/>
      <w:lvlJc w:val="left"/>
      <w:pPr>
        <w:tabs>
          <w:tab w:val="left" w:pos="0"/>
        </w:tabs>
        <w:ind w:left="2772" w:hanging="420"/>
      </w:pPr>
    </w:lvl>
    <w:lvl w:ilvl="5" w:tentative="0">
      <w:start w:val="1"/>
      <w:numFmt w:val="lowerRoman"/>
      <w:lvlText w:val="%6."/>
      <w:lvlJc w:val="right"/>
      <w:pPr>
        <w:tabs>
          <w:tab w:val="left" w:pos="0"/>
        </w:tabs>
        <w:ind w:left="3192" w:hanging="420"/>
      </w:pPr>
    </w:lvl>
    <w:lvl w:ilvl="6" w:tentative="0">
      <w:start w:val="1"/>
      <w:numFmt w:val="decimal"/>
      <w:lvlText w:val="%7."/>
      <w:lvlJc w:val="left"/>
      <w:pPr>
        <w:tabs>
          <w:tab w:val="left" w:pos="0"/>
        </w:tabs>
        <w:ind w:left="3612" w:hanging="420"/>
      </w:pPr>
    </w:lvl>
    <w:lvl w:ilvl="7" w:tentative="0">
      <w:start w:val="1"/>
      <w:numFmt w:val="lowerLetter"/>
      <w:lvlText w:val="%8)"/>
      <w:lvlJc w:val="left"/>
      <w:pPr>
        <w:tabs>
          <w:tab w:val="left" w:pos="0"/>
        </w:tabs>
        <w:ind w:left="4032" w:hanging="420"/>
      </w:pPr>
    </w:lvl>
    <w:lvl w:ilvl="8" w:tentative="0">
      <w:start w:val="1"/>
      <w:numFmt w:val="lowerRoman"/>
      <w:lvlText w:val="%9."/>
      <w:lvlJc w:val="right"/>
      <w:pPr>
        <w:tabs>
          <w:tab w:val="left" w:pos="0"/>
        </w:tabs>
        <w:ind w:left="4452" w:hanging="420"/>
      </w:pPr>
    </w:lvl>
  </w:abstractNum>
  <w:num w:numId="1">
    <w:abstractNumId w:val="7"/>
  </w:num>
  <w:num w:numId="2">
    <w:abstractNumId w:val="8"/>
  </w:num>
  <w:num w:numId="3">
    <w:abstractNumId w:val="6"/>
  </w:num>
  <w:num w:numId="4">
    <w:abstractNumId w:val="4"/>
  </w:num>
  <w:num w:numId="5">
    <w:abstractNumId w:val="1"/>
  </w:num>
  <w:num w:numId="6">
    <w:abstractNumId w:val="0"/>
  </w:num>
  <w:num w:numId="7">
    <w:abstractNumId w:val="2"/>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TU2Mzk0NTdjZTFkZWExZThhNmRhYjE3YzE4YjE4YTMifQ=="/>
  </w:docVars>
  <w:rsids>
    <w:rsidRoot w:val="00000000"/>
    <w:rsid w:val="362334BA"/>
    <w:rsid w:val="68F531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1"/>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2"/>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uiPriority w:val="0"/>
    <w:pPr>
      <w:keepNext/>
      <w:keepLines/>
      <w:widowControl w:val="0"/>
      <w:spacing w:before="260" w:after="260" w:line="415" w:lineRule="auto"/>
      <w:outlineLvl w:val="2"/>
    </w:pPr>
    <w:rPr>
      <w:b/>
      <w:bCs/>
      <w:sz w:val="32"/>
      <w:szCs w:val="32"/>
    </w:rPr>
  </w:style>
  <w:style w:type="character" w:default="1" w:styleId="18">
    <w:name w:val="Default Paragraph Fon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table of figures"/>
    <w:basedOn w:val="1"/>
    <w:next w:val="1"/>
    <w:uiPriority w:val="0"/>
    <w:pPr>
      <w:ind w:left="400" w:leftChars="200" w:hanging="200" w:hangingChars="200"/>
    </w:pPr>
  </w:style>
  <w:style w:type="paragraph" w:styleId="6">
    <w:name w:val="Normal Indent"/>
    <w:basedOn w:val="1"/>
    <w:uiPriority w:val="0"/>
    <w:pPr>
      <w:ind w:firstLine="200" w:firstLineChars="200"/>
    </w:pPr>
  </w:style>
  <w:style w:type="paragraph" w:styleId="7">
    <w:name w:val="Body Text"/>
    <w:basedOn w:val="1"/>
    <w:uiPriority w:val="0"/>
    <w:pPr>
      <w:spacing w:before="30" w:beforeLines="30"/>
    </w:pPr>
    <w:rPr>
      <w:rFonts w:ascii="仿宋_GB2312" w:eastAsia="仿宋_GB2312"/>
      <w:kern w:val="0"/>
      <w:sz w:val="30"/>
    </w:rPr>
  </w:style>
  <w:style w:type="paragraph" w:styleId="8">
    <w:name w:val="Body Text Indent"/>
    <w:basedOn w:val="1"/>
    <w:next w:val="9"/>
    <w:uiPriority w:val="0"/>
    <w:pPr>
      <w:spacing w:after="120"/>
      <w:ind w:left="200" w:leftChars="200"/>
    </w:pPr>
    <w:rPr>
      <w:rFonts w:ascii="仿宋_GB2312" w:hAnsi="仿宋_GB2312"/>
      <w:szCs w:val="32"/>
    </w:rPr>
  </w:style>
  <w:style w:type="paragraph" w:styleId="9">
    <w:name w:val="Body Text First Indent 2"/>
    <w:basedOn w:val="8"/>
    <w:uiPriority w:val="0"/>
    <w:pPr>
      <w:ind w:firstLine="200" w:firstLineChars="200"/>
    </w:pPr>
  </w:style>
  <w:style w:type="paragraph" w:styleId="10">
    <w:name w:val="toc 3"/>
    <w:basedOn w:val="1"/>
    <w:next w:val="1"/>
    <w:uiPriority w:val="0"/>
    <w:pPr>
      <w:tabs>
        <w:tab w:val="right" w:leader="dot" w:pos="8296"/>
      </w:tabs>
      <w:ind w:left="400" w:leftChars="400"/>
    </w:pPr>
  </w:style>
  <w:style w:type="paragraph" w:styleId="11">
    <w:name w:val="Balloon Text"/>
    <w:basedOn w:val="1"/>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iPriority w:val="0"/>
    <w:pPr>
      <w:tabs>
        <w:tab w:val="right" w:leader="dot" w:pos="8296"/>
      </w:tabs>
      <w:spacing w:before="93"/>
      <w:jc w:val="center"/>
    </w:pPr>
    <w:rPr>
      <w:rFonts w:ascii="仿宋" w:eastAsia="仿宋"/>
      <w:sz w:val="28"/>
      <w:szCs w:val="28"/>
    </w:rPr>
  </w:style>
  <w:style w:type="paragraph" w:styleId="15">
    <w:name w:val="footnote text"/>
    <w:basedOn w:val="1"/>
    <w:next w:val="9"/>
    <w:qFormat/>
    <w:uiPriority w:val="0"/>
    <w:pPr>
      <w:snapToGrid w:val="0"/>
      <w:jc w:val="left"/>
    </w:pPr>
    <w:rPr>
      <w:sz w:val="18"/>
      <w:szCs w:val="18"/>
    </w:rPr>
  </w:style>
  <w:style w:type="paragraph" w:styleId="16">
    <w:name w:val="toc 2"/>
    <w:basedOn w:val="1"/>
    <w:next w:val="1"/>
    <w:uiPriority w:val="0"/>
    <w:pPr>
      <w:tabs>
        <w:tab w:val="right" w:leader="dot" w:pos="8296"/>
      </w:tabs>
      <w:ind w:left="200" w:leftChars="200"/>
    </w:pPr>
  </w:style>
  <w:style w:type="character" w:styleId="19">
    <w:name w:val="Strong"/>
    <w:basedOn w:val="18"/>
    <w:qFormat/>
    <w:uiPriority w:val="0"/>
    <w:rPr>
      <w:b/>
    </w:rPr>
  </w:style>
  <w:style w:type="character" w:styleId="20">
    <w:name w:val="Hyperlink"/>
    <w:basedOn w:val="18"/>
    <w:uiPriority w:val="0"/>
    <w:rPr>
      <w:color w:val="0000FF"/>
      <w:u w:val="single"/>
    </w:rPr>
  </w:style>
  <w:style w:type="character" w:customStyle="1" w:styleId="21">
    <w:name w:val="heading 1 Char"/>
    <w:basedOn w:val="18"/>
    <w:link w:val="3"/>
    <w:uiPriority w:val="0"/>
    <w:rPr>
      <w:rFonts w:ascii="Times New Roman" w:hAnsi="Times New Roman" w:eastAsia="宋体" w:cs="Times New Roman"/>
      <w:b/>
      <w:bCs/>
      <w:kern w:val="44"/>
      <w:sz w:val="44"/>
      <w:szCs w:val="44"/>
      <w:lang w:val="en-US" w:eastAsia="zh-CN" w:bidi="ar-SA"/>
    </w:rPr>
  </w:style>
  <w:style w:type="character" w:customStyle="1" w:styleId="22">
    <w:name w:val="heading 2 Char"/>
    <w:basedOn w:val="18"/>
    <w:link w:val="4"/>
    <w:uiPriority w:val="0"/>
    <w:rPr>
      <w:rFonts w:ascii="Cambria" w:hAnsi="Cambria" w:eastAsia="宋体" w:cs="Times New Roman"/>
      <w:b/>
      <w:bCs/>
      <w:kern w:val="2"/>
      <w:sz w:val="32"/>
      <w:szCs w:val="32"/>
      <w:lang w:val="en-US" w:eastAsia="zh-CN" w:bidi="ar-SA"/>
    </w:rPr>
  </w:style>
  <w:style w:type="paragraph" w:customStyle="1" w:styleId="23">
    <w:name w:val="标题 5（有编号）（绿盟科技）"/>
    <w:next w:val="1"/>
    <w:qFormat/>
    <w:uiPriority w:val="0"/>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4">
    <w:name w:val="Header Char"/>
    <w:basedOn w:val="18"/>
    <w:uiPriority w:val="0"/>
    <w:rPr>
      <w:rFonts w:ascii="Times New Roman" w:hAnsi="Times New Roman"/>
      <w:sz w:val="18"/>
      <w:szCs w:val="18"/>
    </w:rPr>
  </w:style>
  <w:style w:type="character" w:customStyle="1" w:styleId="25">
    <w:name w:val="Footer Char"/>
    <w:basedOn w:val="18"/>
    <w:qFormat/>
    <w:uiPriority w:val="0"/>
    <w:rPr>
      <w:rFonts w:ascii="Times New Roman" w:hAnsi="Times New Roman"/>
      <w:sz w:val="18"/>
      <w:szCs w:val="18"/>
    </w:rPr>
  </w:style>
  <w:style w:type="character" w:customStyle="1" w:styleId="26">
    <w:name w:val="Body Text Char"/>
    <w:basedOn w:val="18"/>
    <w:qFormat/>
    <w:uiPriority w:val="0"/>
    <w:rPr>
      <w:rFonts w:ascii="Times New Roman" w:hAnsi="Times New Roman"/>
      <w:szCs w:val="24"/>
    </w:rPr>
  </w:style>
  <w:style w:type="paragraph" w:customStyle="1" w:styleId="27">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8">
    <w:name w:val="List Paragraph"/>
    <w:basedOn w:val="1"/>
    <w:qFormat/>
    <w:uiPriority w:val="0"/>
    <w:pPr>
      <w:ind w:firstLine="200" w:firstLineChars="200"/>
    </w:pPr>
  </w:style>
  <w:style w:type="paragraph" w:customStyle="1" w:styleId="29">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0">
    <w:name w:val="TOC Heading"/>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1">
    <w:name w:val="四号正文"/>
    <w:basedOn w:val="1"/>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图表标题</a:t>
            </a:r>
            <a:endParaRPr lang="zh-CN"/>
          </a:p>
        </c:rich>
      </c:tx>
      <c:layout>
        <c:manualLayout>
          <c:xMode val="edge"/>
          <c:yMode val="edge"/>
          <c:x val="0.42707384"/>
          <c:y val="0.043595992"/>
        </c:manualLayout>
      </c:layout>
      <c:overlay val="0"/>
      <c:spPr>
        <a:noFill/>
        <a:ln>
          <a:noFill/>
        </a:ln>
      </c:spPr>
    </c:title>
    <c:autoTitleDeleted val="0"/>
    <c:plotArea>
      <c:layout>
        <c:manualLayout>
          <c:layoutTarget val="inner"/>
          <c:xMode val="edge"/>
          <c:yMode val="edge"/>
          <c:x val="0.08039865"/>
          <c:y val="0.16913632"/>
          <c:w val="0.9150435"/>
          <c:h val="0.625501"/>
        </c:manualLayout>
      </c:layout>
      <c:barChart>
        <c:barDir val="col"/>
        <c:grouping val="clustered"/>
        <c:varyColors val="0"/>
        <c:ser>
          <c:idx val="0"/>
          <c:order val="0"/>
          <c:tx>
            <c:strRef>
              <c:f>'Sheet1'!$B$1</c:f>
              <c:strCache>
                <c:ptCount val="1"/>
                <c:pt idx="0">
                  <c:v>2024年</c:v>
                </c:pt>
              </c:strCache>
            </c:strRef>
          </c:tx>
          <c:spPr>
            <a:solidFill>
              <a:srgbClr val="5B9BD5"/>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'Sheet1'!$B$2:$B$3</c:f>
              <c:numCache>
                <c:formatCode>General</c:formatCode>
                <c:ptCount val="2"/>
                <c:pt idx="0">
                  <c:v>175.35</c:v>
                </c:pt>
                <c:pt idx="1">
                  <c:v>175.35</c:v>
                </c:pt>
              </c:numCache>
            </c:numRef>
          </c:val>
        </c:ser>
        <c:ser>
          <c:idx val="1"/>
          <c:order val="1"/>
          <c:tx>
            <c:strRef>
              <c:f>'Sheet1'!$C$1</c:f>
              <c:strCache>
                <c:ptCount val="1"/>
                <c:pt idx="0">
                  <c:v>2023年</c:v>
                </c:pt>
              </c:strCache>
            </c:strRef>
          </c:tx>
          <c:spPr>
            <a:solidFill>
              <a:srgbClr val="ED7D31"/>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'Sheet1'!$C$2:$C$3</c:f>
              <c:numCache>
                <c:formatCode>General</c:formatCode>
                <c:ptCount val="2"/>
                <c:pt idx="0">
                  <c:v>179.83</c:v>
                </c:pt>
                <c:pt idx="1">
                  <c:v>179.83</c:v>
                </c:pt>
              </c:numCache>
            </c:numRef>
          </c:val>
        </c:ser>
        <c:ser>
          <c:idx val="2"/>
          <c:order val="2"/>
          <c:spPr>
            <a:solidFill>
              <a:srgbClr val="A5A5A5"/>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1534ae96-73ad-4a8b-acc2-1f4bdc9db29f}"/>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rgbClr val="4F81BD"/>
            </a:solidFill>
            <a:ln>
              <a:noFill/>
            </a:ln>
          </c:spPr>
          <c:explosion val="0"/>
          <c:dPt>
            <c:idx val="0"/>
            <c:bubble3D val="0"/>
            <c:spPr>
              <a:solidFill>
                <a:srgbClr val="4F81BD"/>
              </a:solidFill>
              <a:ln>
                <a:noFill/>
              </a:ln>
            </c:spPr>
          </c:dPt>
          <c:dPt>
            <c:idx val="1"/>
            <c:bubble3D val="0"/>
            <c:spPr>
              <a:solidFill>
                <a:srgbClr val="C0504D"/>
              </a:solidFill>
              <a:ln>
                <a:noFill/>
              </a:ln>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zh-CN" sz="1000" b="0" i="0" u="none" strike="noStrike" baseline="0">
                        <a:solidFill>
                          <a:srgbClr val="000000"/>
                        </a:solidFill>
                        <a:latin typeface="AR PL UKai CN"/>
                        <a:ea typeface="AR PL UKai CN"/>
                        <a:cs typeface="Lucida Sans" panose="020B0602030504020204"/>
                      </a:rPr>
                      <a:t>2024年, 一般公共预算财政收入,723.15万元, 100%</a:t>
                    </a:r>
                    <a:endParaRPr lang="zh-CN" sz="1000" b="0" i="0" u="none" strike="noStrike" baseline="0">
                      <a:solidFill>
                        <a:srgbClr val="000000"/>
                      </a:solidFill>
                      <a:latin typeface="AR PL UKai CN"/>
                      <a:ea typeface="AR PL UKai CN"/>
                      <a:cs typeface="Lucida Sans" panose="020B0602030504020204"/>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1"/>
              <c:showVal val="1"/>
              <c:showCatName val="1"/>
              <c:showSerName val="1"/>
              <c:showPercent val="1"/>
              <c:showBubbleSize val="1"/>
              <c:extLst>
                <c:ext xmlns:c15="http://schemas.microsoft.com/office/drawing/2012/chart" uri="{CE6537A1-D6FC-4f65-9D91-7224C49458BB}"/>
              </c:extLst>
            </c:dLbl>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{"一般公共预算财政收入","其他收入"}</c:f>
              <c:strCache>
                <c:ptCount val="2"/>
                <c:pt idx="0">
                  <c:v>一般公共预算财政收入</c:v>
                </c:pt>
                <c:pt idx="1">
                  <c:v>其他收入</c:v>
                </c:pt>
              </c:strCache>
            </c:strRef>
          </c:cat>
          <c:val>
            <c:numRef>
              <c:f>{7732.42,0}</c:f>
              <c:numCache>
                <c:formatCode>General</c:formatCode>
                <c:ptCount val="2"/>
                <c:pt idx="0">
                  <c:v>7732.42</c:v>
                </c:pt>
                <c:pt idx="1">
                  <c:v>0</c:v>
                </c:pt>
              </c:numCache>
            </c:numRef>
          </c:val>
        </c:ser>
        <c:dLbls>
          <c:showLegendKey val="1"/>
          <c:showVal val="1"/>
          <c:showCatName val="1"/>
          <c:showSerName val="1"/>
          <c:showPercent val="1"/>
          <c:showBubbleSize val="1"/>
          <c:showLeaderLines val="1"/>
        </c:dLbls>
        <c:firstSliceAng val="0"/>
      </c:pieChart>
      <c:spPr>
        <a:noFill/>
      </c:spPr>
    </c:plotArea>
    <c:legend>
      <c:legendPos val="r"/>
      <c:layout>
        <c:manualLayout>
          <c:xMode val="edge"/>
          <c:yMode val="edge"/>
          <c:x val="0.66004723"/>
          <c:y val="0.4753757"/>
        </c:manualLayout>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6e0b6ded-2666-49b7-aba4-37426cc754d4}"/>
      </c:ext>
    </c:extLst>
  </c:chart>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支出决算情况</a:t>
            </a:r>
            <a:endParaRPr lang="zh-CN"/>
          </a:p>
        </c:rich>
      </c:tx>
      <c:layout/>
      <c:overlay val="0"/>
      <c:spPr>
        <a:noFill/>
        <a:ln>
          <a:noFill/>
        </a:ln>
      </c:spPr>
    </c:title>
    <c:autoTitleDeleted val="0"/>
    <c:plotArea>
      <c:layout/>
      <c:pieChart>
        <c:varyColors val="1"/>
        <c:ser>
          <c:idx val="0"/>
          <c:order val="0"/>
          <c:tx>
            <c:strRef>
              <c:f>'Sheet1 (2)'!$B$1</c:f>
              <c:strCache>
                <c:ptCount val="1"/>
                <c:pt idx="0">
                  <c:v>金额</c:v>
                </c:pt>
              </c:strCache>
            </c:strRef>
          </c:tx>
          <c:spPr>
            <a:solidFill>
              <a:srgbClr val="4F81BD"/>
            </a:solidFill>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(2)'!$A$2:$A$3</c:f>
              <c:strCache>
                <c:ptCount val="2"/>
                <c:pt idx="0">
                  <c:v>基本支出</c:v>
                </c:pt>
                <c:pt idx="1">
                  <c:v>项目支出</c:v>
                </c:pt>
              </c:strCache>
            </c:strRef>
          </c:cat>
          <c:val>
            <c:numRef>
              <c:f>'Sheet1 (2)'!$B$2:$B$3</c:f>
              <c:numCache>
                <c:formatCode>General</c:formatCode>
                <c:ptCount val="2"/>
                <c:pt idx="0">
                  <c:v>170.2</c:v>
                </c:pt>
                <c:pt idx="1">
                  <c:v>5.15</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92194970-fd59-4f4f-a9f1-f258ad477210}"/>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图表标题</a:t>
            </a:r>
            <a:endParaRPr lang="zh-CN"/>
          </a:p>
        </c:rich>
      </c:tx>
      <c:layout>
        <c:manualLayout>
          <c:xMode val="edge"/>
          <c:yMode val="edge"/>
          <c:x val="0.42707384"/>
          <c:y val="0.043595992"/>
        </c:manualLayout>
      </c:layout>
      <c:overlay val="0"/>
      <c:spPr>
        <a:noFill/>
        <a:ln>
          <a:noFill/>
        </a:ln>
      </c:spPr>
    </c:title>
    <c:autoTitleDeleted val="0"/>
    <c:plotArea>
      <c:layout>
        <c:manualLayout>
          <c:layoutTarget val="inner"/>
          <c:xMode val="edge"/>
          <c:yMode val="edge"/>
          <c:x val="0.08039865"/>
          <c:y val="0.16913632"/>
          <c:w val="0.9150435"/>
          <c:h val="0.625501"/>
        </c:manualLayout>
      </c:layout>
      <c:barChart>
        <c:barDir val="col"/>
        <c:grouping val="clustered"/>
        <c:varyColors val="0"/>
        <c:ser>
          <c:idx val="0"/>
          <c:order val="0"/>
          <c:tx>
            <c:strRef>
              <c:f>'Sheet1 (3)'!$B$1</c:f>
              <c:strCache>
                <c:ptCount val="1"/>
                <c:pt idx="0">
                  <c:v>2024年</c:v>
                </c:pt>
              </c:strCache>
            </c:strRef>
          </c:tx>
          <c:spPr>
            <a:solidFill>
              <a:srgbClr val="5B9BD5"/>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收入</c:v>
                </c:pt>
                <c:pt idx="1">
                  <c:v>支出</c:v>
                </c:pt>
              </c:strCache>
            </c:strRef>
          </c:cat>
          <c:val>
            <c:numRef>
              <c:f>'Sheet1 (3)'!$B$2:$B$3</c:f>
              <c:numCache>
                <c:formatCode>General</c:formatCode>
                <c:ptCount val="2"/>
                <c:pt idx="0">
                  <c:v>175.35</c:v>
                </c:pt>
                <c:pt idx="1">
                  <c:v>175.35</c:v>
                </c:pt>
              </c:numCache>
            </c:numRef>
          </c:val>
        </c:ser>
        <c:ser>
          <c:idx val="1"/>
          <c:order val="1"/>
          <c:tx>
            <c:strRef>
              <c:f>'Sheet1 (3)'!$C$1</c:f>
              <c:strCache>
                <c:ptCount val="1"/>
                <c:pt idx="0">
                  <c:v>2023年</c:v>
                </c:pt>
              </c:strCache>
            </c:strRef>
          </c:tx>
          <c:spPr>
            <a:solidFill>
              <a:srgbClr val="ED7D31"/>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收入</c:v>
                </c:pt>
                <c:pt idx="1">
                  <c:v>支出</c:v>
                </c:pt>
              </c:strCache>
            </c:strRef>
          </c:cat>
          <c:val>
            <c:numRef>
              <c:f>'Sheet1 (3)'!$C$2:$C$3</c:f>
              <c:numCache>
                <c:formatCode>General</c:formatCode>
                <c:ptCount val="2"/>
                <c:pt idx="0">
                  <c:v>179.83</c:v>
                </c:pt>
                <c:pt idx="1">
                  <c:v>179.83</c:v>
                </c:pt>
              </c:numCache>
            </c:numRef>
          </c:val>
        </c:ser>
        <c:ser>
          <c:idx val="2"/>
          <c:order val="2"/>
          <c:spPr>
            <a:solidFill>
              <a:srgbClr val="A5A5A5"/>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收入</c:v>
                </c:pt>
                <c:pt idx="1">
                  <c:v>支出</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0"/>
        <c:crossesAt val="1"/>
        <c:crossBetween val="between"/>
      </c:valAx>
      <c:spPr>
        <a:noFill/>
        <a:ln>
          <a:noFill/>
        </a:ln>
      </c:spPr>
    </c:plotArea>
    <c:legend>
      <c:legendPos val="b"/>
      <c:layout>
        <c:manualLayout>
          <c:xMode val="edge"/>
          <c:yMode val="edge"/>
          <c:x val="0.36979643"/>
          <c:y val="0.88275117"/>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684eb1eb-3948-49e5-aff5-b8c195a078af}"/>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(4)'!$B$1</c:f>
              <c:strCache>
                <c:ptCount val="1"/>
                <c:pt idx="0">
                  <c:v>金额</c:v>
                </c:pt>
              </c:strCache>
            </c:strRef>
          </c:tx>
          <c:spPr>
            <a:solidFill>
              <a:srgbClr val="4F81BD"/>
            </a:solidFill>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4472C4"/>
              </a:solidFill>
              <a:ln w="19050">
                <a:solidFill>
                  <a:srgbClr val="FFFFFF"/>
                </a:solidFill>
                <a:prstDash val="solid"/>
              </a:ln>
            </c:spPr>
          </c:dPt>
          <c:dLbls>
            <c:dLbl>
              <c:idx val="0"/>
              <c:delete val="1"/>
            </c:dLbl>
            <c:dLbl>
              <c:idx val="1"/>
              <c:delete val="1"/>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(4)'!$A$2:$A$6</c:f>
              <c:strCache>
                <c:ptCount val="5"/>
                <c:pt idx="0">
                  <c:v>一般公共服务支出</c:v>
                </c:pt>
                <c:pt idx="1">
                  <c:v>社会保障和就业</c:v>
                </c:pt>
                <c:pt idx="2">
                  <c:v>卫生健康支出</c:v>
                </c:pt>
                <c:pt idx="3">
                  <c:v>教育支出</c:v>
                </c:pt>
                <c:pt idx="4">
                  <c:v>住房保障支出</c:v>
                </c:pt>
              </c:strCache>
            </c:strRef>
          </c:cat>
          <c:val>
            <c:numRef>
              <c:f>'Sheet1 (4)'!$B$2:$B$6</c:f>
              <c:numCache>
                <c:formatCode>General</c:formatCode>
                <c:ptCount val="5"/>
                <c:pt idx="0">
                  <c:v>125.35</c:v>
                </c:pt>
                <c:pt idx="1">
                  <c:v>23.35</c:v>
                </c:pt>
                <c:pt idx="2">
                  <c:v>9.67</c:v>
                </c:pt>
                <c:pt idx="3">
                  <c:v>4.4</c:v>
                </c:pt>
                <c:pt idx="4">
                  <c:v>12.58</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manualLayout>
          <c:xMode val="edge"/>
          <c:yMode val="edge"/>
          <c:x val="0.076699436"/>
          <c:y val="0.8292579"/>
          <c:w val="0.915686"/>
          <c:h val="0.15373166"/>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7f261e60-bd42-4f04-a7b2-91a1b4571a5d}"/>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“三公”经费支出决算情况</a:t>
            </a:r>
            <a:endParaRPr lang="zh-CN"/>
          </a:p>
        </c:rich>
      </c:tx>
      <c:layout/>
      <c:overlay val="0"/>
      <c:spPr>
        <a:noFill/>
        <a:ln>
          <a:noFill/>
        </a:ln>
      </c:spPr>
    </c:title>
    <c:autoTitleDeleted val="0"/>
    <c:plotArea>
      <c:layout/>
      <c:pieChart>
        <c:varyColors val="1"/>
        <c:ser>
          <c:idx val="0"/>
          <c:order val="0"/>
          <c:tx>
            <c:strRef>
              <c:f>'Sheet1 (5)'!$B$1</c:f>
              <c:strCache>
                <c:ptCount val="1"/>
                <c:pt idx="0">
                  <c:v>金额</c:v>
                </c:pt>
              </c:strCache>
            </c:strRef>
          </c:tx>
          <c:spPr>
            <a:solidFill>
              <a:srgbClr val="4F81BD"/>
            </a:solidFill>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4F81BD"/>
              </a:solidFill>
              <a:ln>
                <a:noFill/>
              </a:ln>
            </c:spPr>
          </c:dPt>
          <c:dLbls>
            <c:dLbl>
              <c:idx val="0"/>
              <c:delete val="1"/>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(5)'!$A$2:$A$5</c:f>
              <c:strCache>
                <c:ptCount val="4"/>
                <c:pt idx="0">
                  <c:v>因公出国（境）费支出</c:v>
                </c:pt>
                <c:pt idx="1">
                  <c:v>公务用车购置及运行维护费支出</c:v>
                </c:pt>
                <c:pt idx="2">
                  <c:v>公务用车运行维护费</c:v>
                </c:pt>
                <c:pt idx="3">
                  <c:v>公务接待费支出</c:v>
                </c:pt>
              </c:strCache>
            </c:strRef>
          </c:cat>
          <c:val>
            <c:numRef>
              <c:f>'Sheet1 (5)'!$B$2:$B$5</c:f>
              <c:numCache>
                <c:formatCode>General</c:formatCode>
                <c:ptCount val="4"/>
                <c:pt idx="0">
                  <c:v>0</c:v>
                </c:pt>
                <c:pt idx="1">
                  <c:v>0</c:v>
                </c:pt>
                <c:pt idx="2">
                  <c:v>0</c:v>
                </c:pt>
                <c:pt idx="3">
                  <c:v>0</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manualLayout>
          <c:xMode val="edge"/>
          <c:yMode val="edge"/>
          <c:x val="0.14086236"/>
          <c:y val="0.77692306"/>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93671f91-3786-437d-b9bf-47c35bc1343e}"/>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28</Pages>
  <Words>7319</Words>
  <Characters>8517</Characters>
  <Lines>859</Lines>
  <Paragraphs>452</Paragraphs>
  <TotalTime>1</TotalTime>
  <ScaleCrop>false</ScaleCrop>
  <LinksUpToDate>false</LinksUpToDate>
  <CharactersWithSpaces>8545</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盐星星</cp:lastModifiedBy>
  <cp:lastPrinted>2025-08-26T07:43:00Z</cp:lastPrinted>
  <dcterms:modified xsi:type="dcterms:W3CDTF">2025-09-24T07:49:12Z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421DB5FFCFC641D18A7F22865C75ACA9</vt:lpwstr>
  </property>
  <property fmtid="{D5CDD505-2E9C-101B-9397-08002B2CF9AE}" pid="4" name="KSOTemplateDocerSaveRecord">
    <vt:lpwstr>eyJoZGlkIjoiZDVjZjE1OTBmZTc4M2ZlNjdmNWM1MmQ5OThkMGU1NjEiLCJ1c2VySWQiOiIxMDYwOTQ0NDM1In0=</vt:lpwstr>
  </property>
</Properties>
</file>