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2DB15">
      <w:pPr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金川县市政公用事业服务中心</w:t>
      </w:r>
    </w:p>
    <w:p w14:paraId="4ECCC469">
      <w:pPr>
        <w:jc w:val="center"/>
        <w:rPr>
          <w:rFonts w:hint="eastAsia"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2025年度部门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61B7F2F6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2025年，我单位部门预算1474.7万元 ，均严格按绩效管理要求实现项目绩效目标管理，其中特定项目预算5个，现将情况说明如下：</w:t>
      </w:r>
    </w:p>
    <w:p w14:paraId="6C092042">
      <w:pPr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1399094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完成了2025年本级部门预算整体绩效目标申报和1个特定项目预算绩效目标申报，并编报7个特定项目预算事前绩效评估报告。</w:t>
      </w:r>
    </w:p>
    <w:p w14:paraId="0A69188F">
      <w:pPr>
        <w:numPr>
          <w:ilvl w:val="0"/>
          <w:numId w:val="1"/>
        </w:numPr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C4066AF">
      <w:pPr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宣传贯彻执行国家、省、州、县有关市政公用事业服务的法律、法规和政策；研究制定市政公用事业服务的中长期规划和年度计划；负责对临时占用城乡城市道路（含人行道）的行政监督管理；负责全县停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车场（库）、菜市场（以下简称“两场”）建设的中、长期规划布点并组织实施，研究拟订“两场”建设的配套政策；负责城乡城市户外广告总体规划实施的协调，定点设置的审查和监督管理；配合住建局开展其他涉及城市建设方面的工作；完成县委、县政府、县住房和城乡建设局交办的其他任务。对涉及城市公用事业服务的各项工作进行综合协调,配合县住建局开展对城乡市容环境、市政设施的行政事业性收费工作；负责数字化城市管理模式的组织、试点和实施工作；负责县城市政公共基础设施维修维护；受理居民有关城乡城市管理、城乡城市管理行政执法方面的来信来访和群众投诉。 </w:t>
      </w:r>
    </w:p>
    <w:p w14:paraId="20923500">
      <w:pPr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B8ABE9D">
      <w:pPr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重点项目1：</w:t>
      </w:r>
      <w:r>
        <w:rPr>
          <w:rFonts w:ascii="宋体" w:eastAsia="宋体" w:cs="宋体"/>
          <w:b/>
          <w:bCs/>
          <w:sz w:val="24"/>
          <w:szCs w:val="24"/>
        </w:rPr>
        <w:t>市政水电费</w:t>
      </w:r>
    </w:p>
    <w:p w14:paraId="03628798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  <w:t>为保障市政照明、光彩亮化、公共厕所、市政的正常用水，2025年市政照明、城镇光彩亮化工程、公共厕所用水、市政用水预计每月需水电费10万元全年共计120万元，通过该项目的实施美化、亮化了城市环境，方便了市民夜间出行及夜间道路安全，保障了公共厕所、市政的正常用水。</w:t>
      </w:r>
    </w:p>
    <w:p w14:paraId="335F9501">
      <w:pPr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hAnsi="仿宋_GB231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设置7个绩效指标，绩效指标</w:t>
      </w:r>
      <w:r>
        <w:rPr>
          <w:rFonts w:hint="eastAsia" w:ascii="仿宋_GB2312" w:hAnsi="仿宋_GB2312"/>
          <w:szCs w:val="32"/>
        </w:rPr>
        <w:t>可考核，</w:t>
      </w:r>
      <w:r>
        <w:rPr>
          <w:rFonts w:hint="eastAsia" w:ascii="仿宋_GB2312" w:hAnsi="仿宋_GB2312"/>
          <w:szCs w:val="32"/>
          <w:lang w:eastAsia="zh-CN"/>
        </w:rPr>
        <w:t>与整体目标</w:t>
      </w:r>
      <w:r>
        <w:rPr>
          <w:rFonts w:hint="eastAsia" w:ascii="仿宋_GB2312" w:hAnsi="仿宋_GB2312"/>
          <w:szCs w:val="32"/>
        </w:rPr>
        <w:t>相匹配，全面完整，产出和效果相关联</w:t>
      </w:r>
      <w:r>
        <w:rPr>
          <w:rFonts w:hint="eastAsia" w:ascii="仿宋_GB2312" w:hAnsi="仿宋_GB2312"/>
          <w:szCs w:val="32"/>
          <w:lang w:eastAsia="zh-CN"/>
        </w:rPr>
        <w:t>。</w:t>
      </w:r>
    </w:p>
    <w:p w14:paraId="7741C4D9">
      <w:pPr>
        <w:pStyle w:val="10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" w:eastAsia="仿宋" w:cs="仿宋"/>
          <w:b w:val="0"/>
          <w:bCs/>
          <w:szCs w:val="32"/>
          <w:lang w:eastAsia="zh-CN"/>
        </w:rPr>
        <w:t>市政水电费</w:t>
      </w:r>
      <w:r>
        <w:rPr>
          <w:rFonts w:hint="eastAsia" w:ascii="仿宋_GB2312" w:eastAsia="仿宋_GB2312"/>
        </w:rPr>
        <w:t>项目绩效目标表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493A3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13B30F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CD9FB5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7BD389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B4FF22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  <w:tr w14:paraId="20BB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A6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29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A3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每年需电费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C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</w:tr>
      <w:tr w14:paraId="0157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F5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99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62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保障路灯用电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</w:tr>
      <w:tr w14:paraId="7EEF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CC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D5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8C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_GB2312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提升城市形象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A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</w:tr>
      <w:tr w14:paraId="3896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04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89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1B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及时支付水电费率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33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 w14:paraId="1EB67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B2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20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服务对象满意度指标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32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BA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6F0B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93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7F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A0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每年需水费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A4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0787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5F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21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5E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市政照明、光彩亮化工程亮灯率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D0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</w:tbl>
    <w:p w14:paraId="62F0E298">
      <w:pPr>
        <w:pStyle w:val="2"/>
        <w:rPr>
          <w:rFonts w:hint="eastAsia"/>
          <w:lang w:val="en-US" w:eastAsia="zh-CN"/>
        </w:rPr>
      </w:pPr>
    </w:p>
    <w:p w14:paraId="092D6A83">
      <w:pPr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A4D3AC9">
      <w:pPr>
        <w:ind w:firstLine="643" w:firstLineChars="200"/>
        <w:rPr>
          <w:rFonts w:hint="eastAsia" w:ascii="仿宋" w:eastAsia="仿宋" w:cs="仿宋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重点项目2：</w:t>
      </w:r>
      <w:r>
        <w:rPr>
          <w:rFonts w:hint="eastAsia" w:ascii="仿宋" w:eastAsia="仿宋" w:cs="仿宋"/>
          <w:b/>
          <w:bCs/>
          <w:sz w:val="32"/>
          <w:szCs w:val="32"/>
        </w:rPr>
        <w:t>民贸市场租赁费用</w:t>
      </w:r>
    </w:p>
    <w:p w14:paraId="69714D60">
      <w:pPr>
        <w:ind w:firstLine="640" w:firstLineChars="200"/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  <w:t>租赁民贸市场（老政府院坝改造的摊区）面积900平方米，摊位75个，租期2021年12月14日至2022年12月14日。租金为13万元，进一步规范和加强农副产品自产自销经营活动的管理，解决农副产品自产自销“沿街为市”的乱象，市街面更加整洁。</w:t>
      </w:r>
    </w:p>
    <w:p w14:paraId="1E28C420">
      <w:pPr>
        <w:ind w:firstLine="640" w:firstLineChars="200"/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  <w:t>绩效指标设置情况：设置7个绩效指标，绩效指标可考核，与整体目标相匹配，全面完整，产出和效果相关联。</w:t>
      </w:r>
    </w:p>
    <w:p w14:paraId="1DD151E3">
      <w:pPr>
        <w:pStyle w:val="10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" w:eastAsia="仿宋" w:cs="仿宋"/>
          <w:b w:val="0"/>
          <w:bCs/>
          <w:sz w:val="32"/>
          <w:szCs w:val="32"/>
        </w:rPr>
        <w:t>民贸市场租赁费</w:t>
      </w:r>
      <w:r>
        <w:rPr>
          <w:rFonts w:hint="eastAsia" w:ascii="仿宋" w:eastAsia="仿宋" w:cs="仿宋"/>
          <w:b w:val="0"/>
          <w:bCs/>
          <w:sz w:val="32"/>
          <w:szCs w:val="32"/>
          <w:lang w:eastAsia="zh-CN"/>
        </w:rPr>
        <w:t>用</w:t>
      </w:r>
      <w:r>
        <w:rPr>
          <w:rFonts w:hint="eastAsia" w:ascii="仿宋_GB2312" w:eastAsia="仿宋_GB2312"/>
        </w:rPr>
        <w:t>项目绩效目标表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1917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92D079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735522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4A0BB4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973A3A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  <w:tr w14:paraId="473E4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5E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55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AC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租金及时支付率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F3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10CD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AA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DF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DC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C3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</w:tr>
      <w:tr w14:paraId="4D85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59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51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B3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租赁周期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6C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F22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E7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77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41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租赁摊位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4D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</w:tr>
      <w:tr w14:paraId="05810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29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B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94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提高市场环境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7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5EE8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B5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F7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27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街面整洁率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AD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3858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C6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2A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F4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每年租金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0F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</w:tbl>
    <w:p w14:paraId="664051C5">
      <w:pPr>
        <w:ind w:firstLine="964" w:firstLineChars="3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重点项目3：城市管理协管人员工资及保险</w:t>
      </w:r>
    </w:p>
    <w:p w14:paraId="30206E5A">
      <w:pPr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局共聘有6名协管人员，负责街面自产自销、蔬菜批发及全天候协助店外店、占道经营管理工作，每月需工资保险合计2.5万元，全年共计需工资保险30万元，保障了街面自产自销、蔬菜批发及全天候协助店外店、占道经营管理工作正常有序。</w:t>
      </w:r>
    </w:p>
    <w:p w14:paraId="2C9C5FD4">
      <w:pPr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绩效指标设置情况：设置7个绩效指标，绩效指标可考核，与整体目标相匹配，全面完整，产出和效果相关联。</w:t>
      </w:r>
    </w:p>
    <w:p w14:paraId="5380B259">
      <w:pPr>
        <w:pStyle w:val="10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" w:eastAsia="仿宋" w:cs="仿宋"/>
          <w:b w:val="0"/>
          <w:bCs/>
          <w:szCs w:val="32"/>
        </w:rPr>
        <w:t>城市管理协管人员工资及保险</w:t>
      </w:r>
      <w:r>
        <w:rPr>
          <w:rFonts w:hint="eastAsia" w:ascii="仿宋_GB2312" w:eastAsia="仿宋_GB2312"/>
        </w:rPr>
        <w:t>项目绩效目标表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92"/>
        <w:gridCol w:w="2638"/>
      </w:tblGrid>
      <w:tr w14:paraId="5788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7F1E24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40501E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7ADBBD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9BC44E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</w:tbl>
    <w:tbl>
      <w:tblPr>
        <w:tblStyle w:val="8"/>
        <w:tblW w:w="830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1290"/>
        <w:gridCol w:w="2805"/>
        <w:gridCol w:w="2655"/>
      </w:tblGrid>
      <w:tr w14:paraId="54FBD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7F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500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FB2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市场管理达标率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01E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3AB60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966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D58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2F3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保障街面摊贩正常有序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8C3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7770C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78B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562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F3D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工资按时发放率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5A1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044F9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13A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C8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DD9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协管人员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40B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42F4F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8B2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E51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64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减少街面乱摆乱放摊贩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45E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4D4E3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C88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D32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894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协管员满意度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38A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 w14:paraId="523D4D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6DB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299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774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每年工资及保险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584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</w:tbl>
    <w:p w14:paraId="399FA76C">
      <w:pP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1F84B445">
      <w:pPr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重点项目4：金川县勒乌镇垃圾无害化处理站运行服务</w:t>
      </w:r>
    </w:p>
    <w:p w14:paraId="3054C455">
      <w:pPr>
        <w:adjustRightInd w:val="0"/>
        <w:snapToGrid w:val="0"/>
        <w:spacing w:line="520" w:lineRule="exact"/>
        <w:ind w:left="0" w:firstLine="640" w:firstLineChars="200"/>
        <w:jc w:val="left"/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该项目的实施，保障了金川县勒乌镇垃圾无害化处理站正常运行，达到日处理生活垃圾40t，使城区更加干净整洁，减少有害垃圾排放，让环境更加优美。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设置7个绩效指标，绩效指标</w:t>
      </w:r>
      <w:r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  <w:t>可考核，与整体目标相匹配，全面完整，产出和效果相关联。</w:t>
      </w:r>
    </w:p>
    <w:p w14:paraId="13D7783F">
      <w:pPr>
        <w:adjustRightInd w:val="0"/>
        <w:snapToGrid w:val="0"/>
        <w:spacing w:line="520" w:lineRule="exact"/>
        <w:ind w:left="0" w:firstLine="640" w:firstLineChars="200"/>
        <w:jc w:val="center"/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  <w:t>金川县勒乌镇垃圾无害化处理站运行服务项目</w:t>
      </w:r>
    </w:p>
    <w:p w14:paraId="69713E8B">
      <w:pPr>
        <w:pStyle w:val="10"/>
        <w:spacing w:line="560" w:lineRule="exact"/>
        <w:jc w:val="center"/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>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73DBD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50EF77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6607DB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7ED109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696FB7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指标值</w:t>
            </w:r>
          </w:p>
        </w:tc>
      </w:tr>
      <w:tr w14:paraId="5FF86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42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39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74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垃圾无害化处理达标率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15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7CC2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80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D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30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宋体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日处理量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AC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 w14:paraId="2979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C1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93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9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_GB2312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及时处理率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39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19B2F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5C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BB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CA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减少环境污染率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57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</w:tr>
      <w:tr w14:paraId="3083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59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94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67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提升城市形象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80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</w:tr>
      <w:tr w14:paraId="255A9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E4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D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D3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69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</w:tr>
      <w:tr w14:paraId="21BC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73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E4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02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11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</w:tbl>
    <w:p w14:paraId="3C7DF2E9">
      <w:pPr>
        <w:pStyle w:val="2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799D17E">
      <w:pPr>
        <w:pStyle w:val="2"/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重点项目5：</w:t>
      </w:r>
      <w:r>
        <w:rPr>
          <w:rFonts w:hint="eastAsia" w:ascii="仿宋" w:eastAsia="仿宋"/>
          <w:b/>
          <w:bCs/>
          <w:sz w:val="32"/>
          <w:szCs w:val="32"/>
          <w:highlight w:val="none"/>
          <w:lang w:val="en-US" w:eastAsia="zh-CN"/>
        </w:rPr>
        <w:t>城市维护费项目</w:t>
      </w:r>
    </w:p>
    <w:p w14:paraId="2FC42D11">
      <w:pPr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绩效总体目标为：我中心开展市政维修维护、环境整治工作及重要节日营造氛围工作产生城市维护费预计需300万元，通过项目的实施确保市政设施的完好，提供干净整洁的城市环境。</w:t>
      </w:r>
    </w:p>
    <w:p w14:paraId="64859539">
      <w:pPr>
        <w:pStyle w:val="2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绩效目标设置数量指标、质量指标、时效指标、满意度指标、成本指标，绩效指标可量化可考核，相匹配，全面完整，契合政策或项目实质，与部门的长期规划目标、年度工作目标相一致，产出和效果相关联，满意度达到95%以上。</w:t>
      </w:r>
    </w:p>
    <w:p w14:paraId="63BA04C6">
      <w:pPr>
        <w:ind w:firstLine="2240" w:firstLineChars="7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城市维护费项目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58349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B8D50E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553680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061280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E1BEC7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  <w:tr w14:paraId="6E7A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7F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A2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89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8D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</w:tr>
      <w:tr w14:paraId="6A2A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D1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17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7E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提高城市环境干净整洁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16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39BD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89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42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D9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每年维护费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91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287A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9C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9D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FC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维修次数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5A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</w:tr>
      <w:tr w14:paraId="19E5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79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D0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37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保持市政设施完整率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6B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</w:tr>
      <w:tr w14:paraId="0850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3E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E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32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维修合格率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5F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</w:tbl>
    <w:p w14:paraId="326057BA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4AD18D2"/>
    <w:rsid w:val="1FB5305E"/>
    <w:rsid w:val="5488217D"/>
    <w:rsid w:val="75A22C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0">
    <w:name w:val="NormalIndent"/>
    <w:next w:val="6"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11">
    <w:name w:val="font01"/>
    <w:basedOn w:val="9"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2165</Words>
  <Characters>2247</Characters>
  <Lines>253</Lines>
  <Paragraphs>184</Paragraphs>
  <TotalTime>1</TotalTime>
  <ScaleCrop>false</ScaleCrop>
  <LinksUpToDate>false</LinksUpToDate>
  <CharactersWithSpaces>2254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2025-03-05T01:08:45Z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455C6FE9688D40A39F533BF92CB856DE_13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