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金川县市政公用事业服务中心</w:t>
      </w:r>
    </w:p>
    <w:p>
      <w:pPr>
        <w:jc w:val="center"/>
        <w:rPr>
          <w:rFonts w:ascii="方正小标宋_GBK" w:eastAsia="方正小标宋_GBK" w:cs="方正小标宋_GBK" w:hint="eastAsia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2024年度部门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2024年，我单位部门预算1347.37万元 ，均严格按绩效管理要求实现项目绩效目标管理，其中特定项目预算5个，现将情况说明如下：</w:t>
      </w:r>
    </w:p>
    <w:p>
      <w:pPr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 完成了2024年本级部门预算整体绩效目标申报和1个特定项目预算绩效目标申报，并编报5个特定项目预算事前绩效评估报告。</w:t>
      </w:r>
    </w:p>
    <w:p>
      <w:pPr>
        <w:numPr>
          <w:ilvl w:val="0"/>
          <w:numId w:val="1"/>
        </w:num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宣传贯彻执行国家、省、州、县有关市政公用事业服务的法律、法规和政策；研究制定市政公用事业服务的中长期规划和年度计划；负责对临时占用城乡城市道路（含人行道）的行政监督管理；负责全县车场（库）、菜市场（以下简称“两场”）建设的中、长期规划布点并组织实施，研究拟订“两场”建设的配套政策；负责城乡城市户外广告总体规划实施的协调，定点设置的审查和监督管理；配合住建局开展其他涉及城市建设方面的工作；完成县委、县政府、县住房和城乡建设局交办的其他任务。对涉及城市公用事业服务的各项工作进行综合协调,配合县住建局开展对城乡市容环境、市政设施的行政事业性收费工作；负责数字化城市管理模式的组织、试点和实施工作；负责县城市政公共基础设施维修维护；受理居民有关城乡城市管理、城乡城市管理行政执法方面的来信来访和群众投诉。 </w:t>
      </w:r>
    </w:p>
    <w:p>
      <w:p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ind w:firstLineChars="200" w:firstLine="640"/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重点项目1：</w:t>
      </w:r>
      <w:r>
        <w:rPr>
          <w:rFonts w:ascii="宋体" w:eastAsia="宋体" w:cs="宋体"/>
          <w:b/>
          <w:bCs/>
          <w:sz w:val="24"/>
          <w:szCs w:val="24"/>
        </w:rPr>
        <w:t>市政水电费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  <w:r>
        <w:rPr>
          <w:rFonts w:ascii="仿宋" w:eastAsia="仿宋" w:cs="Times New Roman" w:hint="eastAsia"/>
          <w:sz w:val="32"/>
          <w:szCs w:val="32"/>
          <w:lang w:val="en-US" w:eastAsia="zh-CN"/>
          <w:highlight w:val="auto"/>
        </w:rPr>
        <w:t>为保障市政照明、光彩亮化、公共厕所、市政的正常用水，2024年市政照明、城镇光彩亮化工程、公共厕所用水、市政用水预计每月需水电费10万元全年共计120万元，通过该项目的实施美化、亮化了城市环境，方便了市民夜间出行及夜间道路安全，保障了公共厕所、市政的正常用水。</w:t>
      </w:r>
    </w:p>
    <w:p>
      <w:pPr>
        <w:adjustRightInd w:val="0"/>
        <w:snapToGrid w:val="0"/>
        <w:spacing w:line="520" w:lineRule="exact"/>
        <w:ind w:firstLineChars="200" w:firstLine="640"/>
        <w:jc w:val="left"/>
        <w:rPr>
          <w:rFonts w:ascii="仿宋_GB2312" w:hAnsi="仿宋_GB2312" w:hint="eastAsia"/>
          <w:szCs w:val="32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</w:t>
      </w:r>
      <w:r>
        <w:rPr>
          <w:rFonts w:ascii="仿宋_GB2312" w:cs="仿宋_GB2312" w:hAnsi="仿宋_GB2312" w:hint="eastAsia"/>
          <w:sz w:val="32"/>
          <w:szCs w:val="32"/>
          <w:lang w:val="en-US" w:eastAsia="zh-CN"/>
        </w:rPr>
        <w:t>设置7个绩效指标，绩效指标</w:t>
      </w:r>
      <w:r>
        <w:rPr>
          <w:rFonts w:ascii="仿宋_GB2312" w:hAnsi="仿宋_GB2312" w:hint="eastAsia"/>
          <w:szCs w:val="32"/>
        </w:rPr>
        <w:t>可考核，</w:t>
      </w:r>
      <w:r>
        <w:rPr>
          <w:rFonts w:ascii="仿宋_GB2312" w:hAnsi="仿宋_GB2312" w:hint="eastAsia"/>
          <w:szCs w:val="32"/>
          <w:lang w:eastAsia="zh-CN"/>
        </w:rPr>
        <w:t>与整体目标</w:t>
      </w:r>
      <w:r>
        <w:rPr>
          <w:rFonts w:ascii="仿宋_GB2312" w:hAnsi="仿宋_GB2312" w:hint="eastAsia"/>
          <w:szCs w:val="32"/>
        </w:rPr>
        <w:t>相匹配，全面完整，产出和效果相关联</w:t>
      </w:r>
      <w:r>
        <w:rPr>
          <w:rFonts w:ascii="仿宋_GB2312" w:hAnsi="仿宋_GB2312" w:hint="eastAsia"/>
          <w:szCs w:val="32"/>
          <w:lang w:eastAsia="zh-CN"/>
        </w:rPr>
        <w:t>。</w:t>
      </w:r>
    </w:p>
    <w:p>
      <w:pPr>
        <w:pStyle w:val="18"/>
        <w:spacing w:line="560" w:lineRule="exact"/>
        <w:ind w:left="0" w:firstLineChars="200" w:firstLine="640"/>
        <w:jc w:val="center"/>
        <w:rPr>
          <w:rFonts w:ascii="仿宋_GB2312" w:eastAsia="仿宋_GB2312" w:hint="eastAsia"/>
        </w:rPr>
      </w:pPr>
      <w:r>
        <w:rPr>
          <w:rFonts w:ascii="仿宋" w:eastAsia="仿宋" w:cs="仿宋" w:hint="eastAsia"/>
          <w:b w:val="0"/>
          <w:bCs/>
          <w:szCs w:val="32"/>
          <w:lang w:eastAsia="zh-CN"/>
        </w:rPr>
        <w:t>市政水电费</w:t>
      </w:r>
      <w:r>
        <w:rPr>
          <w:rFonts w:ascii="仿宋_GB2312" w:eastAsia="仿宋_GB2312" w:hint="eastAsia"/>
        </w:rPr>
        <w:t>项目绩效目标表</w:t>
      </w:r>
    </w:p>
    <w:tbl>
      <w:tblPr>
        <w:tblpPr w:leftFromText="180" w:rightFromText="180" w:vertAnchor="text" w:horzAnchor="page" w:tblpX="1905" w:tblpY="112"/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05"/>
        <w:gridCol w:w="2730"/>
        <w:gridCol w:w="2700"/>
      </w:tblGrid>
      <w:tr>
        <w:trPr>
          <w:trHeight w:val="499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一级指标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二级指标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jc w:val="center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三级指标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jc w:val="center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指标值</w:t>
            </w:r>
          </w:p>
        </w:tc>
      </w:tr>
      <w:tr>
        <w:trPr>
          <w:trHeight w:val="9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数量指标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保障</w:t>
            </w: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路灯用电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578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时效指标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按时支付水电费率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100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质量指标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="0"/>
              <w:rPr>
                <w:rFonts w:ascii="仿宋" w:eastAsia="仿宋_GB2312" w:cs="仿宋" w:hAnsi="仿宋"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市政照明、光彩亮化工程亮灯</w:t>
            </w:r>
            <w:r>
              <w:rPr>
                <w:rFonts w:hint="eastAsia"/>
                <w:sz w:val="21"/>
                <w:szCs w:val="21"/>
                <w:lang w:eastAsia="zh-CN"/>
              </w:rPr>
              <w:t>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99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效益指标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社会效益指标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提升城市形象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优良中低差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满意度指标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服务对象满意度指标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群众满意度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98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每年需水费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5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每年需电费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115</w:t>
            </w:r>
          </w:p>
        </w:tc>
      </w:tr>
    </w:tbl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ind w:firstLineChars="200" w:firstLine="640"/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</w:p>
    <w:p>
      <w:pPr>
        <w:ind w:firstLineChars="200" w:firstLine="640"/>
        <w:rPr>
          <w:rFonts w:ascii="仿宋" w:eastAsia="仿宋" w:cs="仿宋" w:hint="eastAsia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重点项目2：</w:t>
      </w:r>
      <w:r>
        <w:rPr>
          <w:rFonts w:ascii="仿宋" w:eastAsia="仿宋" w:cs="仿宋" w:hint="eastAsia"/>
          <w:b/>
          <w:bCs/>
          <w:sz w:val="32"/>
          <w:szCs w:val="32"/>
        </w:rPr>
        <w:t>民贸市场租赁费用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  <w:r>
        <w:rPr>
          <w:rFonts w:ascii="仿宋" w:eastAsia="仿宋" w:cs="Times New Roman" w:hint="eastAsia"/>
          <w:sz w:val="32"/>
          <w:szCs w:val="32"/>
          <w:lang w:val="en-US" w:eastAsia="zh-CN"/>
          <w:highlight w:val="auto"/>
        </w:rPr>
        <w:t>为进一步规范和加强农副产品自产自销经营活动的管理，解决农副产品自产自销“沿街为市”的乱象，租赁民贸市场（老政府院坝改造的摊区）面积900平方米，摊位75个，租期一年。</w:t>
      </w:r>
    </w:p>
    <w:p>
      <w:pPr>
        <w:snapToGrid w:val="0"/>
        <w:spacing w:line="600" w:lineRule="atLeast"/>
        <w:ind w:firstLineChars="200" w:firstLine="640"/>
        <w:rPr>
          <w:rFonts w:ascii="仿宋_GB2312" w:hAnsi="仿宋_GB2312" w:hint="eastAsia"/>
          <w:szCs w:val="32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</w:t>
      </w:r>
      <w:r>
        <w:rPr>
          <w:rFonts w:ascii="仿宋_GB2312" w:cs="仿宋_GB2312" w:hAnsi="仿宋_GB2312" w:hint="eastAsia"/>
          <w:sz w:val="32"/>
          <w:szCs w:val="32"/>
          <w:lang w:val="en-US" w:eastAsia="zh-CN"/>
        </w:rPr>
        <w:t>设置7个绩效指标，绩效指标</w:t>
      </w:r>
      <w:r>
        <w:rPr>
          <w:rFonts w:ascii="仿宋_GB2312" w:hAnsi="仿宋_GB2312" w:hint="eastAsia"/>
          <w:szCs w:val="32"/>
        </w:rPr>
        <w:t>可考核，</w:t>
      </w:r>
      <w:r>
        <w:rPr>
          <w:rFonts w:ascii="仿宋_GB2312" w:hAnsi="仿宋_GB2312" w:hint="eastAsia"/>
          <w:szCs w:val="32"/>
          <w:lang w:eastAsia="zh-CN"/>
        </w:rPr>
        <w:t>与整体目标</w:t>
      </w:r>
      <w:r>
        <w:rPr>
          <w:rFonts w:ascii="仿宋_GB2312" w:hAnsi="仿宋_GB2312" w:hint="eastAsia"/>
          <w:szCs w:val="32"/>
        </w:rPr>
        <w:t>相匹配，全面完整，产出和效果相关联</w:t>
      </w:r>
      <w:r>
        <w:rPr>
          <w:rFonts w:ascii="仿宋_GB2312" w:hAnsi="仿宋_GB2312" w:hint="eastAsia"/>
          <w:szCs w:val="32"/>
          <w:lang w:eastAsia="zh-CN"/>
        </w:rPr>
        <w:t>。</w:t>
      </w:r>
    </w:p>
    <w:p>
      <w:pPr>
        <w:pStyle w:val="18"/>
        <w:spacing w:line="560" w:lineRule="exact"/>
        <w:ind w:left="0" w:firstLineChars="200" w:firstLine="640"/>
        <w:jc w:val="center"/>
        <w:rPr>
          <w:rFonts w:ascii="仿宋_GB2312" w:eastAsia="仿宋_GB2312" w:hint="eastAsia"/>
        </w:rPr>
      </w:pPr>
      <w:r>
        <w:rPr>
          <w:rFonts w:ascii="仿宋" w:eastAsia="仿宋" w:cs="仿宋" w:hint="eastAsia"/>
          <w:b w:val="0"/>
          <w:bCs/>
          <w:sz w:val="32"/>
          <w:szCs w:val="32"/>
        </w:rPr>
        <w:t>民贸市场租赁费</w:t>
      </w:r>
      <w:r>
        <w:rPr>
          <w:rFonts w:ascii="仿宋" w:eastAsia="仿宋" w:cs="仿宋" w:hint="eastAsia"/>
          <w:b w:val="0"/>
          <w:bCs/>
          <w:sz w:val="32"/>
          <w:szCs w:val="32"/>
          <w:lang w:eastAsia="zh-CN"/>
        </w:rPr>
        <w:t>用</w:t>
      </w:r>
      <w:r>
        <w:rPr>
          <w:rFonts w:ascii="仿宋_GB2312" w:eastAsia="仿宋_GB2312" w:hint="eastAsia"/>
        </w:rPr>
        <w:t>项目绩效目标表</w:t>
      </w:r>
    </w:p>
    <w:tbl>
      <w:tblPr>
        <w:tblpPr w:leftFromText="180" w:rightFromText="180" w:vertAnchor="text" w:horzAnchor="page" w:tblpX="1905" w:tblpY="112"/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05"/>
        <w:gridCol w:w="2730"/>
        <w:gridCol w:w="2700"/>
      </w:tblGrid>
      <w:tr>
        <w:trPr>
          <w:trHeight w:val="499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一级指标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二级指标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jc w:val="center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三级指标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jc w:val="center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指标值</w:t>
            </w:r>
          </w:p>
        </w:tc>
      </w:tr>
      <w:tr>
        <w:trPr>
          <w:trHeight w:val="9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数量指标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租赁摊位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75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质量指标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街面整洁率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98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时效指标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租金及时支付率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100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效益指标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社会效益指标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提高市场环境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98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满意度指标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服务对象满意度指标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群众满意度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95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每年租金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13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时效指标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租赁周期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1</w:t>
            </w:r>
          </w:p>
        </w:tc>
      </w:tr>
    </w:tbl>
    <w:p>
      <w:pPr>
        <w:ind w:firstLineChars="200" w:firstLine="640"/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重点项目3：城市管理协管人员工资及保险</w:t>
      </w:r>
    </w:p>
    <w:p>
      <w:pPr>
        <w:adjustRightInd w:val="0"/>
        <w:snapToGrid w:val="0"/>
        <w:spacing w:line="520" w:lineRule="exact"/>
        <w:ind w:firstLineChars="200" w:firstLine="640"/>
        <w:jc w:val="left"/>
        <w:rPr>
          <w:rFonts w:ascii="仿宋_GB2312" w:hAnsi="仿宋_GB2312" w:hint="eastAsia"/>
          <w:szCs w:val="32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我局共聘有6名协管人员，负责街面自产自销、蔬菜批发及全天候协助店外店、占道经营管理工作，每月需工资保险合计2.5万元，全年共计需工资保险30万元，保障了街面自产自销、蔬菜批发及全天候协助店外店、占道经营管理工作正常有序。绩效指标设置情况：</w:t>
      </w:r>
      <w:r>
        <w:rPr>
          <w:rFonts w:ascii="仿宋_GB2312" w:cs="仿宋_GB2312" w:hAnsi="仿宋_GB2312" w:hint="eastAsia"/>
          <w:sz w:val="32"/>
          <w:szCs w:val="32"/>
          <w:lang w:val="en-US" w:eastAsia="zh-CN"/>
        </w:rPr>
        <w:t>设置7个绩效指标，绩效指标</w:t>
      </w:r>
      <w:r>
        <w:rPr>
          <w:rFonts w:ascii="仿宋_GB2312" w:hAnsi="仿宋_GB2312" w:hint="eastAsia"/>
          <w:szCs w:val="32"/>
        </w:rPr>
        <w:t>可考核，</w:t>
      </w:r>
      <w:r>
        <w:rPr>
          <w:rFonts w:ascii="仿宋_GB2312" w:hAnsi="仿宋_GB2312" w:hint="eastAsia"/>
          <w:szCs w:val="32"/>
          <w:lang w:eastAsia="zh-CN"/>
        </w:rPr>
        <w:t>与整体目标</w:t>
      </w:r>
      <w:r>
        <w:rPr>
          <w:rFonts w:ascii="仿宋_GB2312" w:hAnsi="仿宋_GB2312" w:hint="eastAsia"/>
          <w:szCs w:val="32"/>
        </w:rPr>
        <w:t>相匹配，全面完整，产出和效果相关联</w:t>
      </w:r>
      <w:r>
        <w:rPr>
          <w:rFonts w:ascii="仿宋_GB2312" w:hAnsi="仿宋_GB2312" w:hint="eastAsia"/>
          <w:szCs w:val="32"/>
          <w:lang w:eastAsia="zh-CN"/>
        </w:rPr>
        <w:t>。</w:t>
      </w:r>
    </w:p>
    <w:p>
      <w:pPr>
        <w:pStyle w:val="18"/>
        <w:spacing w:line="560" w:lineRule="exact"/>
        <w:ind w:left="0" w:firstLineChars="200" w:firstLine="640"/>
        <w:jc w:val="center"/>
        <w:rPr>
          <w:rFonts w:ascii="仿宋_GB2312" w:eastAsia="仿宋_GB2312" w:hint="eastAsia"/>
        </w:rPr>
      </w:pPr>
      <w:r>
        <w:rPr>
          <w:rFonts w:ascii="仿宋" w:eastAsia="仿宋" w:cs="仿宋" w:hint="eastAsia"/>
          <w:b w:val="0"/>
          <w:bCs/>
          <w:szCs w:val="32"/>
        </w:rPr>
        <w:t>城市管理协管人员工资及保险</w:t>
      </w:r>
      <w:r>
        <w:rPr>
          <w:rFonts w:ascii="仿宋_GB2312" w:eastAsia="仿宋_GB2312" w:hint="eastAsia"/>
        </w:rPr>
        <w:t>项目绩效目标表</w:t>
      </w:r>
    </w:p>
    <w:tbl>
      <w:tblPr>
        <w:tblpPr w:leftFromText="180" w:rightFromText="180" w:vertAnchor="text" w:horzAnchor="page" w:tblpX="1905" w:tblpY="112"/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05"/>
        <w:gridCol w:w="2730"/>
        <w:gridCol w:w="2700"/>
      </w:tblGrid>
      <w:tr>
        <w:trPr>
          <w:trHeight w:val="499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一级指标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二级指标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jc w:val="center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三级指标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jc w:val="center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指标值</w:t>
            </w:r>
          </w:p>
        </w:tc>
      </w:tr>
      <w:tr>
        <w:trPr>
          <w:trHeight w:val="9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数量指标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协管人员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6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质量指标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市场管理达标率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100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时效指标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工资按时发放率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100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效益指标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社会效益指标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保障街面摊贩正常有序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98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满意度指标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服务对象满意度指标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协管员</w:t>
            </w:r>
            <w:r>
              <w:rPr>
                <w:rFonts w:ascii="仿宋" w:eastAsia="仿宋" w:cs="仿宋" w:hint="eastAsia"/>
                <w:sz w:val="21"/>
                <w:szCs w:val="21"/>
              </w:rPr>
              <w:t>满意度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99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每年工资及保险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30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时效指标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及时处理率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100</w:t>
            </w:r>
          </w:p>
        </w:tc>
      </w:tr>
    </w:tbl>
    <w:p>
      <w:pPr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</w:p>
    <w:p>
      <w:pP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重点项目4：金川县勒乌镇垃圾无害化处理站运行服务</w:t>
      </w:r>
    </w:p>
    <w:p>
      <w:pPr>
        <w:adjustRightInd w:val="0"/>
        <w:snapToGrid w:val="0"/>
        <w:spacing w:line="520" w:lineRule="exact"/>
        <w:ind w:left="0" w:firstLineChars="200" w:firstLine="640"/>
        <w:jc w:val="left"/>
        <w:rPr>
          <w:rFonts w:ascii="仿宋" w:eastAsia="仿宋" w:cs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  <w:r>
        <w:rPr>
          <w:rFonts w:ascii="仿宋" w:eastAsia="仿宋" w:cs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为确保金川县城区，勒乌镇、咯尔、沙尔、庆林、河西、河东环境卫生的保洁，无害化处理站能正常运行。通过此项目实施保障了金川县勒乌镇垃圾无害化处理站正常运行，达到日处理生活垃圾40t，使城区更加干净整洁，减少有害垃圾排放，让环境更加优美。</w:t>
      </w:r>
    </w:p>
    <w:p>
      <w:pPr>
        <w:adjustRightInd w:val="0"/>
        <w:snapToGrid w:val="0"/>
        <w:spacing w:line="520" w:lineRule="exact"/>
        <w:ind w:left="0" w:firstLineChars="200" w:firstLine="640"/>
        <w:jc w:val="left"/>
        <w:rPr>
          <w:rFonts w:ascii="仿宋" w:eastAsia="仿宋" w:cs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</w:t>
      </w:r>
      <w:r>
        <w:rPr>
          <w:rFonts w:ascii="仿宋_GB2312" w:cs="仿宋_GB2312" w:hAnsi="仿宋_GB2312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</w:rPr>
        <w:t>设置6个绩效指标，绩效指标</w:t>
      </w:r>
      <w:r>
        <w:rPr>
          <w:rFonts w:ascii="仿宋" w:eastAsia="仿宋" w:cs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可考核，与整体目标相匹配，全面完整，产出和效果相关联。</w:t>
      </w:r>
    </w:p>
    <w:p>
      <w:pPr>
        <w:adjustRightInd w:val="0"/>
        <w:snapToGrid w:val="0"/>
        <w:spacing w:line="520" w:lineRule="exact"/>
        <w:ind w:left="0" w:firstLineChars="200" w:firstLine="640"/>
        <w:jc w:val="left"/>
        <w:rPr>
          <w:rFonts w:ascii="仿宋" w:eastAsia="仿宋" w:cs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</w:pPr>
      <w:r>
        <w:rPr>
          <w:rFonts w:ascii="仿宋" w:eastAsia="仿宋" w:cs="Times New Roman" w:hint="eastAsia"/>
          <w:color w:val="000000"/>
          <w:sz w:val="32"/>
          <w:szCs w:val="32"/>
          <w14:textFill>
            <w14:solidFill>
              <w14:srgbClr w14:val="000000"/>
            </w14:solidFill>
          </w14:textFill>
          <w:lang w:val="en-US" w:eastAsia="zh-CN"/>
          <w:highlight w:val="auto"/>
        </w:rPr>
        <w:t>金川县勒乌镇垃圾无害化处理站运行服务项目</w:t>
      </w:r>
    </w:p>
    <w:p>
      <w:pPr>
        <w:pStyle w:val="18"/>
        <w:spacing w:line="560" w:lineRule="exact"/>
        <w:jc w:val="both"/>
        <w:rPr>
          <w:rFonts w:ascii="仿宋_GB2312" w:eastAsia="仿宋_GB2312" w:hint="eastAsia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仿宋_GB2312" w:eastAsia="仿宋_GB2312" w:hint="eastAsia"/>
          <w:color w:val="000000"/>
          <w14:textFill>
            <w14:solidFill>
              <w14:srgbClr w14:val="000000"/>
            </w14:solidFill>
          </w14:textFill>
        </w:rPr>
        <w:t>绩效目标表</w:t>
      </w:r>
    </w:p>
    <w:tbl>
      <w:tblPr>
        <w:tblpPr w:leftFromText="180" w:rightFromText="180" w:vertAnchor="text" w:horzAnchor="page" w:tblpX="1905" w:tblpY="112"/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05"/>
        <w:gridCol w:w="2730"/>
        <w:gridCol w:w="2700"/>
      </w:tblGrid>
      <w:tr>
        <w:trPr>
          <w:trHeight w:val="499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</w:rPr>
              <w:t>一级指标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</w:rPr>
              <w:t>二级指标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jc w:val="center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</w:rPr>
              <w:t>三级指标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jc w:val="center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</w:rPr>
              <w:t>指标值</w:t>
            </w:r>
          </w:p>
        </w:tc>
      </w:tr>
      <w:tr>
        <w:trPr>
          <w:trHeight w:val="9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  <w:t>数量指标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</w:pPr>
            <w:r>
              <w:rPr>
                <w:rFonts w:ascii="宋体" w:eastAsia="宋体" w:cs="宋体" w:hint="eastAsia"/>
                <w:color w:val="000000"/>
                <w:sz w:val="24"/>
                <w:szCs w:val="24"/>
                <w14:textFill>
                  <w14:solidFill>
                    <w14:srgbClr w14:val="000000"/>
                  </w14:solidFill>
                </w14:textFill>
                <w:lang w:eastAsia="zh-CN"/>
              </w:rPr>
              <w:t>日处理量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300" w:firstLine="630"/>
              <w:rPr>
                <w:rFonts w:ascii="仿宋" w:eastAsia="仿宋" w:cs="仿宋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ascii="Arial" w:eastAsia="仿宋" w:cs="Arial" w:hAnsi="Arial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≥</w:t>
            </w: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40吨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  <w:t>时效指标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宋体" w:cs="仿宋" w:hAnsi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</w:pPr>
            <w:r>
              <w:rPr>
                <w:rFonts w:ascii="宋体" w:eastAsia="宋体" w:cs="宋体"/>
                <w:color w:val="000000"/>
                <w:sz w:val="24"/>
                <w:szCs w:val="24"/>
                <w14:textFill>
                  <w14:solidFill>
                    <w14:srgbClr w14:val="000000"/>
                  </w14:solidFill>
                </w14:textFill>
              </w:rPr>
              <w:t>及时</w:t>
            </w:r>
            <w:r>
              <w:rPr>
                <w:rFonts w:ascii="宋体" w:eastAsia="宋体" w:cs="宋体" w:hint="eastAsia"/>
                <w:color w:val="000000"/>
                <w:sz w:val="24"/>
                <w:szCs w:val="24"/>
                <w14:textFill>
                  <w14:solidFill>
                    <w14:srgbClr w14:val="000000"/>
                  </w14:solidFill>
                </w14:textFill>
                <w:lang w:eastAsia="zh-CN"/>
              </w:rPr>
              <w:t>处理率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200" w:firstLine="420"/>
              <w:rPr>
                <w:rFonts w:ascii="仿宋" w:eastAsia="仿宋" w:cs="仿宋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ascii="Arial" w:eastAsia="仿宋" w:cs="Arial" w:hAnsi="Arial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≥</w:t>
            </w: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98%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  <w:t>质量指标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="0"/>
              <w:rPr>
                <w:rFonts w:ascii="仿宋" w:eastAsia="仿宋_GB2312" w:cs="仿宋" w:hAnsi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</w:rPr>
              <w:t>垃圾无害化处理达标率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200" w:firstLine="420"/>
              <w:rPr>
                <w:rFonts w:ascii="仿宋" w:eastAsia="仿宋" w:cs="仿宋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=100%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  <w:t>效益指标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  <w:t>社会效益指标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</w:rPr>
              <w:t>提升城市形象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200" w:firstLine="420"/>
              <w:rPr>
                <w:rFonts w:ascii="仿宋" w:eastAsia="仿宋" w:cs="仿宋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定性  优良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  <w:t>满意度指标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  <w:t>满意度指标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</w:rPr>
              <w:t>群众满意度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200" w:firstLine="420"/>
              <w:rPr>
                <w:rFonts w:ascii="仿宋" w:eastAsia="仿宋" w:cs="仿宋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ascii="Arial" w:eastAsia="仿宋" w:cs="Arial" w:hAnsi="Arial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≥</w:t>
            </w: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98%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  <w:t>成本指标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  <w:t>经济成本指标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  <w:t>服务费</w:t>
            </w:r>
            <w:bookmarkStart w:id="0" w:name="_GoBack"/>
            <w:bookmarkEnd w:id="0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100" w:firstLine="320"/>
              <w:rPr>
                <w:rFonts w:ascii="仿宋" w:eastAsia="仿宋" w:cs="仿宋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</w:pPr>
            <w:r>
              <w:rPr>
                <w:rFonts w:ascii="仿宋" w:eastAsia="仿宋" w:cs="Times New Roman" w:hint="eastAsia"/>
                <w:color w:val="000000"/>
                <w:sz w:val="32"/>
                <w:szCs w:val="32"/>
                <w14:textFill>
                  <w14:solidFill>
                    <w14:srgbClr w14:val="000000"/>
                  </w14:solidFill>
                </w14:textFill>
                <w:lang w:val="en-US" w:eastAsia="zh-CN"/>
                <w:highlight w:val="auto"/>
              </w:rPr>
              <w:t>=402万元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  <w:t>效益指标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  <w:t>生态效益指标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</w:pPr>
            <w:r>
              <w:rPr>
                <w:rFonts w:ascii="仿宋" w:eastAsia="仿宋" w:cs="仿宋" w:hint="eastAsia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eastAsia="zh-CN"/>
              </w:rPr>
              <w:t>减少环境污染率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200" w:firstLine="420"/>
              <w:rPr>
                <w:rFonts w:ascii="仿宋" w:eastAsia="仿宋" w:cs="Times New Roman"/>
                <w:color w:val="000000"/>
                <w:sz w:val="32"/>
                <w:szCs w:val="32"/>
                <w14:textFill>
                  <w14:solidFill>
                    <w14:srgbClr w14:val="000000"/>
                  </w14:solidFill>
                </w14:textFill>
                <w:lang w:val="en-US" w:eastAsia="zh-CN"/>
                <w:highlight w:val="auto"/>
              </w:rPr>
            </w:pPr>
            <w:r>
              <w:rPr>
                <w:rFonts w:ascii="Arial" w:eastAsia="仿宋" w:cs="Arial" w:hAnsi="Arial"/>
                <w:color w:val="000000"/>
                <w:sz w:val="21"/>
                <w:szCs w:val="21"/>
                <w14:textFill>
                  <w14:solidFill>
                    <w14:srgbClr w14:val="000000"/>
                  </w14:solidFill>
                </w14:textFill>
                <w:lang w:val="en-US" w:eastAsia="zh-CN"/>
              </w:rPr>
              <w:t>≥</w:t>
            </w:r>
            <w:r>
              <w:rPr>
                <w:rFonts w:ascii="仿宋" w:eastAsia="仿宋" w:cs="Times New Roman" w:hint="eastAsia"/>
                <w:color w:val="000000"/>
                <w:sz w:val="32"/>
                <w:szCs w:val="32"/>
                <w14:textFill>
                  <w14:solidFill>
                    <w14:srgbClr w14:val="000000"/>
                  </w14:solidFill>
                </w14:textFill>
                <w:lang w:val="en-US" w:eastAsia="zh-CN"/>
                <w:highlight w:val="auto"/>
              </w:rPr>
              <w:t>92%</w:t>
            </w:r>
          </w:p>
        </w:tc>
      </w:tr>
    </w:tbl>
    <w:p>
      <w:pPr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重点项目5：</w:t>
      </w:r>
      <w:r>
        <w:rPr>
          <w:rFonts w:ascii="仿宋" w:eastAsia="仿宋" w:hint="eastAsia"/>
          <w:b/>
          <w:bCs/>
          <w:sz w:val="32"/>
          <w:szCs w:val="32"/>
          <w:lang w:val="en-US" w:eastAsia="zh-CN"/>
          <w:highlight w:val="auto"/>
        </w:rPr>
        <w:t>城市维护费项目</w:t>
      </w:r>
    </w:p>
    <w:p>
      <w:pPr>
        <w:ind w:firstLineChars="300" w:firstLine="960"/>
        <w:rPr>
          <w:rFonts w:ascii="仿宋_GB2312" w:eastAsia="仿宋_GB2312" w:cs="Times New Roman" w:hint="eastAsia"/>
          <w:sz w:val="32"/>
          <w:szCs w:val="32"/>
          <w:lang w:val="en-US" w:eastAsia="zh-CN"/>
        </w:rPr>
      </w:pPr>
      <w:r>
        <w:rPr>
          <w:rFonts w:ascii="仿宋_GB2312" w:eastAsia="仿宋_GB2312" w:cs="Times New Roman" w:hint="eastAsia"/>
          <w:sz w:val="32"/>
          <w:szCs w:val="32"/>
          <w:lang w:val="en-US" w:eastAsia="zh-CN"/>
        </w:rPr>
        <w:t>绩效总体目标为：我中心开展市政维修维护、环境整治工作及重要节日营造氛围工作产生城市维护费需200万元，通过项目的实施确保市政设施的完好，提供干净整洁的城市环境。</w:t>
      </w:r>
    </w:p>
    <w:p>
      <w:pPr>
        <w:pStyle w:val="15"/>
        <w:tabs>
          <w:tab w:val="center" w:pos="4153"/>
          <w:tab w:val="right" w:pos="8306"/>
        </w:tabs>
        <w:ind w:firstLineChars="200" w:firstLine="640"/>
        <w:rPr>
          <w:rFonts w:ascii="仿宋_GB2312" w:eastAsia="仿宋_GB2312" w:cs="Times New Roman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</w:t>
      </w:r>
      <w:r>
        <w:rPr>
          <w:rFonts w:ascii="仿宋_GB2312" w:eastAsia="仿宋_GB2312" w:cs="Times New Roman" w:hint="eastAsia"/>
          <w:sz w:val="32"/>
          <w:szCs w:val="32"/>
          <w:lang w:val="en-US" w:eastAsia="zh-CN"/>
        </w:rPr>
        <w:t>绩效目标设置数量指标、质量指标、时效指标、满意度指标、成本指标，绩效指标可量化可考核，相匹配，全面完整，契合政策或项目实质，与部门的长期规划目标、年度工作目标相一致，产出和效果相关联，满意度达到95%以上。</w:t>
      </w:r>
    </w:p>
    <w:p>
      <w:pPr>
        <w:ind w:firstLineChars="300" w:firstLine="960"/>
        <w:rPr>
          <w:rFonts w:ascii="仿宋_GB2312" w:eastAsia="仿宋_GB2312" w:cs="Times New Roman" w:hint="eastAsia"/>
          <w:sz w:val="32"/>
          <w:szCs w:val="32"/>
          <w:lang w:val="en-US" w:eastAsia="zh-CN"/>
        </w:rPr>
      </w:pPr>
      <w:r>
        <w:rPr>
          <w:rFonts w:ascii="仿宋" w:eastAsia="仿宋" w:hint="eastAsia"/>
          <w:sz w:val="32"/>
          <w:szCs w:val="32"/>
          <w:lang w:val="en-US" w:eastAsia="zh-CN"/>
          <w:highlight w:val="auto"/>
        </w:rPr>
        <w:t>城市维护费项目</w:t>
      </w:r>
      <w:r>
        <w:rPr>
          <w:rFonts w:ascii="仿宋_GB2312" w:eastAsia="仿宋_GB2312" w:cs="Times New Roman" w:hint="eastAsia"/>
          <w:sz w:val="32"/>
          <w:szCs w:val="32"/>
          <w:lang w:val="en-US" w:eastAsia="zh-CN"/>
        </w:rPr>
        <w:t>绩效目标表</w:t>
      </w:r>
    </w:p>
    <w:tbl>
      <w:tblPr>
        <w:tblpPr w:leftFromText="180" w:rightFromText="180" w:vertAnchor="text" w:horzAnchor="page" w:tblpX="1905" w:tblpY="112"/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1305"/>
        <w:gridCol w:w="2730"/>
        <w:gridCol w:w="2700"/>
      </w:tblGrid>
      <w:tr>
        <w:trPr>
          <w:trHeight w:val="499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一级指标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二级指标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jc w:val="center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三级指标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jc w:val="center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指标值</w:t>
            </w:r>
          </w:p>
        </w:tc>
      </w:tr>
      <w:tr>
        <w:trPr>
          <w:trHeight w:val="9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数量指标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维修次数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Arial" w:eastAsia="仿宋" w:cs="Arial" w:hAnsi="Arial"/>
                <w:sz w:val="21"/>
                <w:szCs w:val="21"/>
                <w:lang w:val="en-US" w:eastAsia="zh-CN"/>
              </w:rPr>
              <w:t>≥</w:t>
            </w: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800次/年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质量指标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维修合格率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=100%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产出指标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时效指标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维修及时处理率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=100%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效益指标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社会效益指标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提高城市环境干净整洁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Arial" w:eastAsia="仿宋" w:cs="Arial" w:hAnsi="Arial"/>
                <w:sz w:val="21"/>
                <w:szCs w:val="21"/>
                <w:lang w:val="en-US" w:eastAsia="zh-CN"/>
              </w:rPr>
              <w:t>≥</w:t>
            </w: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98%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满意度指标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服务对象满意度指标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群众满意度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Arial" w:eastAsia="仿宋" w:cs="Arial" w:hAnsi="Arial"/>
                <w:sz w:val="21"/>
                <w:szCs w:val="21"/>
                <w:lang w:val="en-US" w:eastAsia="zh-CN"/>
              </w:rPr>
              <w:t>≥</w:t>
            </w:r>
            <w:r>
              <w:rPr>
                <w:rFonts w:ascii="仿宋" w:eastAsia="仿宋" w:cs="仿宋" w:hint="eastAsia"/>
                <w:sz w:val="21"/>
                <w:szCs w:val="21"/>
                <w:lang w:val="en-US" w:eastAsia="zh-CN"/>
              </w:rPr>
              <w:t>95%</w:t>
            </w:r>
          </w:p>
        </w:tc>
      </w:tr>
      <w:tr>
        <w:trPr>
          <w:trHeight w:val="601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  <w:lang w:eastAsia="zh-CN"/>
              </w:rPr>
            </w:pPr>
            <w:r>
              <w:rPr>
                <w:rFonts w:ascii="仿宋" w:eastAsia="仿宋" w:cs="仿宋" w:hint="eastAsia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 w:hint="eastAsia"/>
                <w:sz w:val="21"/>
                <w:szCs w:val="21"/>
              </w:rPr>
            </w:pPr>
            <w:r>
              <w:rPr>
                <w:rFonts w:ascii="仿宋" w:eastAsia="仿宋" w:cs="仿宋" w:hint="eastAsia"/>
                <w:sz w:val="21"/>
                <w:szCs w:val="21"/>
              </w:rPr>
              <w:t>项目总投资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560" w:lineRule="exact"/>
              <w:ind w:firstLineChars="0" w:firstLine="0"/>
              <w:rPr>
                <w:rFonts w:asci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ascii="仿宋" w:eastAsia="仿宋" w:cs="Times New Roman" w:hint="eastAsia"/>
                <w:sz w:val="32"/>
                <w:szCs w:val="32"/>
                <w:lang w:val="en-US" w:eastAsia="zh-CN"/>
                <w:highlight w:val="auto"/>
              </w:rPr>
              <w:t>=200万元</w:t>
            </w:r>
          </w:p>
        </w:tc>
      </w:tr>
    </w:tbl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7A"/>
    <w:family w:val="auto"/>
    <w:pitch w:val="variable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18">
    <w:name w:val="NormalIndent"/>
    <w:next w:val="16"/>
    <w:pPr>
      <w:widowControl w:val="0"/>
      <w:ind w:firstLineChars="200" w:firstLine="200"/>
      <w:jc w:val="both"/>
    </w:pPr>
    <w:rPr>
      <w:rFonts w:ascii="Times New Roman" w:eastAsia="仿宋_GB2312" w:cs="Times New Roman" w:hAnsi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Yozo_Office27021597764231179</Application>
  <Pages>6</Pages>
  <Words>2197</Words>
  <Characters>2285</Characters>
  <Lines>253</Lines>
  <Paragraphs>184</Paragraphs>
  <CharactersWithSpaces>2291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2024-03-11T07:23:51Z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2052-11.1.0.8799</vt:lpwstr>
  </property>
  <property fmtid="{D5CDD505-2E9C-101B-9397-08002B2CF9AE}" pid="3" name="ICV">
    <vt:lpwstr>60C3E43B10C0478CB4E3491DAA4E7EA2</vt:lpwstr>
  </property>
</Properties>
</file>