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480" w:lineRule="atLeast"/>
        <w:ind w:firstLine="60"/>
        <w:jc w:val="center"/>
        <w:rPr>
          <w:rFonts w:hint="eastAsia" w:ascii="方正小标宋简体" w:hAnsi="方正小标宋简体" w:eastAsia="方正小标宋简体" w:cs="方正小标宋简体"/>
          <w:color w:val="auto"/>
          <w:kern w:val="0"/>
          <w:sz w:val="36"/>
          <w:szCs w:val="36"/>
          <w:lang w:val="en-US" w:eastAsia="zh-CN"/>
        </w:rPr>
      </w:pPr>
      <w:r>
        <w:rPr>
          <w:rFonts w:hint="eastAsia" w:ascii="方正小标宋简体" w:hAnsi="方正小标宋简体" w:eastAsia="方正小标宋简体" w:cs="方正小标宋简体"/>
          <w:color w:val="auto"/>
          <w:kern w:val="0"/>
          <w:sz w:val="36"/>
          <w:szCs w:val="36"/>
          <w:lang w:eastAsia="zh-CN"/>
        </w:rPr>
        <w:t>金川县</w:t>
      </w:r>
      <w:r>
        <w:rPr>
          <w:rFonts w:hint="eastAsia" w:ascii="方正小标宋简体" w:hAnsi="方正小标宋简体" w:eastAsia="方正小标宋简体" w:cs="方正小标宋简体"/>
          <w:color w:val="auto"/>
          <w:kern w:val="0"/>
          <w:sz w:val="36"/>
          <w:szCs w:val="36"/>
          <w:lang w:val="en-US" w:eastAsia="zh-CN"/>
        </w:rPr>
        <w:t>市政公用事业服务中心</w:t>
      </w:r>
    </w:p>
    <w:p>
      <w:pPr>
        <w:jc w:val="center"/>
        <w:rPr>
          <w:rFonts w:hint="eastAsia" w:ascii="方正小标宋简体" w:hAnsi="方正小标宋简体" w:eastAsia="方正小标宋简体" w:cs="方正小标宋简体"/>
          <w:color w:val="auto"/>
          <w:sz w:val="40"/>
          <w:szCs w:val="40"/>
          <w:lang w:val="en-US"/>
        </w:rPr>
      </w:pPr>
      <w:r>
        <w:rPr>
          <w:rFonts w:hint="eastAsia" w:ascii="方正小标宋简体" w:hAnsi="方正小标宋简体" w:eastAsia="方正小标宋简体" w:cs="方正小标宋简体"/>
          <w:color w:val="auto"/>
          <w:sz w:val="40"/>
          <w:szCs w:val="40"/>
          <w:lang w:val="en-US" w:eastAsia="zh-CN"/>
        </w:rPr>
        <w:t>2023</w:t>
      </w:r>
      <w:r>
        <w:rPr>
          <w:rFonts w:hint="eastAsia" w:ascii="方正小标宋简体" w:hAnsi="方正小标宋简体" w:eastAsia="方正小标宋简体" w:cs="方正小标宋简体"/>
          <w:color w:val="auto"/>
          <w:sz w:val="40"/>
          <w:szCs w:val="40"/>
          <w:lang w:val="en-US"/>
        </w:rPr>
        <w:t>年部门预算编制说明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一、基本职能及主要工作</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（一）职能简介</w:t>
      </w:r>
    </w:p>
    <w:p>
      <w:pPr>
        <w:spacing w:line="560" w:lineRule="exact"/>
        <w:ind w:firstLine="800"/>
        <w:jc w:val="both"/>
        <w:rPr>
          <w:rFonts w:hint="eastAsia" w:ascii="仿宋" w:hAnsi="仿宋" w:eastAsia="仿宋" w:cs="仿宋"/>
          <w:sz w:val="32"/>
          <w:szCs w:val="32"/>
        </w:rPr>
      </w:pPr>
      <w:r>
        <w:rPr>
          <w:rFonts w:hint="eastAsia" w:ascii="仿宋_GB2312" w:hAnsi="仿宋_GB2312" w:eastAsia="仿宋_GB2312" w:cs="仿宋_GB2312"/>
          <w:color w:val="auto"/>
          <w:sz w:val="32"/>
          <w:szCs w:val="32"/>
          <w:lang w:val="en-US"/>
        </w:rPr>
        <w:t>　　</w:t>
      </w:r>
      <w:r>
        <w:rPr>
          <w:rFonts w:hint="eastAsia" w:ascii="仿宋" w:hAnsi="仿宋" w:eastAsia="仿宋" w:cs="仿宋"/>
          <w:color w:val="000000"/>
          <w:sz w:val="32"/>
          <w:szCs w:val="32"/>
        </w:rPr>
        <w:t>（一）宣传贯彻执行国家、省、州、县有关市政公用事业服务的法律、法规和政策；按照县政府要求，负责草拟本县城市环卫、市容市貌、园林绿化、市政设施、生活垃圾处理等方面规范性文件并组织实施。</w:t>
      </w:r>
    </w:p>
    <w:p>
      <w:pPr>
        <w:spacing w:line="560" w:lineRule="exact"/>
        <w:ind w:firstLine="800"/>
        <w:jc w:val="both"/>
        <w:rPr>
          <w:rFonts w:hint="eastAsia" w:ascii="仿宋" w:hAnsi="仿宋" w:eastAsia="仿宋" w:cs="仿宋"/>
          <w:sz w:val="32"/>
          <w:szCs w:val="32"/>
        </w:rPr>
      </w:pPr>
      <w:r>
        <w:rPr>
          <w:rFonts w:hint="eastAsia" w:ascii="仿宋" w:hAnsi="仿宋" w:eastAsia="仿宋" w:cs="仿宋"/>
          <w:color w:val="000000"/>
          <w:sz w:val="32"/>
          <w:szCs w:val="32"/>
        </w:rPr>
        <w:t>（二）研究制定市政公用事业服务的中长期规划和年度计划；编制市政公用事业服务工作经费的中长期计划和年度计划；对涉及城市公用事业服务的各项工作进行综合协调，配合县住建局开展对城乡市容环境、市政设施的行政事业性收费工作；负责数字化（智慧化）城市管理模式的组织、试点和实施工作。</w:t>
      </w:r>
    </w:p>
    <w:p>
      <w:pPr>
        <w:spacing w:line="560" w:lineRule="exact"/>
        <w:ind w:firstLine="800"/>
        <w:jc w:val="both"/>
        <w:rPr>
          <w:rFonts w:hint="eastAsia" w:ascii="仿宋" w:hAnsi="仿宋" w:eastAsia="仿宋" w:cs="仿宋"/>
          <w:sz w:val="32"/>
          <w:szCs w:val="32"/>
        </w:rPr>
      </w:pPr>
      <w:r>
        <w:rPr>
          <w:rFonts w:hint="eastAsia" w:ascii="仿宋" w:hAnsi="仿宋" w:eastAsia="仿宋" w:cs="仿宋"/>
          <w:color w:val="000000"/>
          <w:sz w:val="32"/>
          <w:szCs w:val="32"/>
        </w:rPr>
        <w:t>（三）负责城乡综合环境整治的政策、法律、法规和标准的贯彻执行。负责城乡城市市容环境卫生工作，依法对城乡环境卫生实施检查；参与大、中型市容环卫设施建设项目的方案审查和实施的检查工作，参与城乡新建、改扩建项目中的市容环卫配套设施方案的审核和实施检查工作，负责城乡城市道路的冲洗洒水和生活垃圾、特种垃圾、建筑垃圾的收集、清运、处置，负责机动车清洗、环境卫生的检查工作；建筑垃圾和建筑渣土运输、消纳等工作；负责建筑垃圾处置场地的规划，定点。负责县城卫生清扫、排污管理、环卫设施运行和维护等市容市貌的日常工作。</w:t>
      </w:r>
    </w:p>
    <w:p>
      <w:pPr>
        <w:spacing w:line="560" w:lineRule="exact"/>
        <w:ind w:firstLine="800"/>
        <w:jc w:val="both"/>
        <w:rPr>
          <w:rFonts w:hint="eastAsia" w:ascii="仿宋" w:hAnsi="仿宋" w:eastAsia="仿宋" w:cs="仿宋"/>
          <w:sz w:val="32"/>
          <w:szCs w:val="32"/>
        </w:rPr>
        <w:sectPr>
          <w:footerReference r:id="rId3" w:type="default"/>
          <w:pgSz w:w="11940" w:h="16840"/>
          <w:pgMar w:top="1260" w:right="1300" w:bottom="1440" w:left="1160" w:header="0" w:footer="940" w:gutter="0"/>
          <w:cols w:space="720" w:num="1"/>
        </w:sectPr>
      </w:pPr>
      <w:r>
        <w:rPr>
          <w:rFonts w:hint="eastAsia" w:ascii="仿宋" w:hAnsi="仿宋" w:eastAsia="仿宋" w:cs="仿宋"/>
          <w:color w:val="000000"/>
          <w:sz w:val="32"/>
          <w:szCs w:val="32"/>
        </w:rPr>
        <w:t>（四）负责实施对城乡城市道路（含人行道）和利用城乡城市道路设置建筑物、构筑物（路名牌、人行道护栏、车行道隔离</w:t>
      </w:r>
      <w:r>
        <w:rPr>
          <w:rFonts w:hint="eastAsia" w:ascii="仿宋" w:hAnsi="仿宋" w:eastAsia="仿宋" w:cs="仿宋"/>
          <w:sz w:val="32"/>
          <w:szCs w:val="32"/>
        </w:rPr>
        <mc:AlternateContent>
          <mc:Choice Requires="wps">
            <w:drawing>
              <wp:anchor distT="0" distB="0" distL="114300" distR="114300" simplePos="0" relativeHeight="251658240" behindDoc="0" locked="0" layoutInCell="1" allowOverlap="1">
                <wp:simplePos x="0" y="0"/>
                <wp:positionH relativeFrom="page">
                  <wp:posOffset>3492500</wp:posOffset>
                </wp:positionH>
                <wp:positionV relativeFrom="paragraph">
                  <wp:posOffset>9131300</wp:posOffset>
                </wp:positionV>
                <wp:extent cx="850900" cy="177800"/>
                <wp:effectExtent l="0" t="0" r="0" b="0"/>
                <wp:wrapNone/>
                <wp:docPr id="1"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pPr>
                              <w:spacing w:line="340" w:lineRule="exact"/>
                              <w:jc w:val="center"/>
                            </w:pPr>
                            <w:r>
                              <w:rPr>
                                <w:rFonts w:hint="eastAsia" w:ascii="Arial" w:hAnsi="Arial" w:eastAsia="Arial"/>
                                <w:color w:val="000000"/>
                                <w:sz w:val="20"/>
                              </w:rPr>
                              <w:t>-2-</w:t>
                            </w:r>
                          </w:p>
                        </w:txbxContent>
                      </wps:txbx>
                      <wps:bodyPr vert="horz" lIns="25400" tIns="0" rIns="25400" bIns="0" anchor="t">
                        <a:noAutofit/>
                      </wps:bodyPr>
                    </wps:wsp>
                  </a:graphicData>
                </a:graphic>
              </wp:anchor>
            </w:drawing>
          </mc:Choice>
          <mc:Fallback>
            <w:pict>
              <v:shape id="文本框 2" o:spid="_x0000_s1026" o:spt="202" type="#_x0000_t202" style="position:absolute;left:0pt;margin-left:275pt;margin-top:719pt;height:14pt;width:67pt;mso-position-horizontal-relative:page;z-index:251658240;mso-width-relative:page;mso-height-relative:page;" filled="f" stroked="f" coordsize="21600,21600" o:gfxdata="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JPMi/2QAAAA0BAAAPAAAAAAAAAAEAIAAA&#10;ACIAAABkcnMvZG93bnJldi54bWxQSwECFAAUAAAACACHTuJAI/wz0tIBAAB1AwAADgAAAAAAAAAB&#10;ACAAAAAoAQAAZHJzL2Uyb0RvYy54bWxQSwUGAAAAAAYABgBZAQAAbAUAAAAA&#10;">
                <v:fill on="f" focussize="0,0"/>
                <v:stroke on="f" weight="0.5pt"/>
                <v:imagedata o:title=""/>
                <o:lock v:ext="edit" aspectratio="f"/>
                <v:textbox inset="2pt,0mm,2pt,0mm">
                  <w:txbxContent>
                    <w:p>
                      <w:pPr>
                        <w:spacing w:line="340" w:lineRule="exact"/>
                        <w:jc w:val="center"/>
                      </w:pPr>
                      <w:r>
                        <w:rPr>
                          <w:rFonts w:hint="eastAsia" w:ascii="Arial" w:hAnsi="Arial" w:eastAsia="Arial"/>
                          <w:color w:val="000000"/>
                          <w:sz w:val="20"/>
                        </w:rPr>
                        <w:t>-2-</w:t>
                      </w:r>
                    </w:p>
                  </w:txbxContent>
                </v:textbox>
              </v:shape>
            </w:pict>
          </mc:Fallback>
        </mc:AlternateContent>
      </w:r>
    </w:p>
    <w:p>
      <w:pPr>
        <w:spacing w:line="600" w:lineRule="exact"/>
        <w:ind w:firstLine="0"/>
        <w:jc w:val="left"/>
        <w:rPr>
          <w:rFonts w:hint="eastAsia" w:ascii="仿宋" w:hAnsi="仿宋" w:eastAsia="仿宋" w:cs="仿宋"/>
          <w:sz w:val="32"/>
          <w:szCs w:val="32"/>
        </w:rPr>
      </w:pPr>
      <w:r>
        <w:rPr>
          <w:rFonts w:hint="eastAsia" w:ascii="仿宋" w:hAnsi="仿宋" w:eastAsia="仿宋" w:cs="仿宋"/>
          <w:color w:val="000000"/>
          <w:sz w:val="32"/>
          <w:szCs w:val="32"/>
        </w:rPr>
        <w:t>栏、安全岛等除外）的临时占用行为。</w:t>
      </w:r>
    </w:p>
    <w:p>
      <w:pPr>
        <w:spacing w:line="560" w:lineRule="exact"/>
        <w:ind w:firstLine="660"/>
        <w:jc w:val="both"/>
        <w:rPr>
          <w:rFonts w:hint="eastAsia" w:ascii="仿宋" w:hAnsi="仿宋" w:eastAsia="仿宋" w:cs="仿宋"/>
          <w:sz w:val="32"/>
          <w:szCs w:val="32"/>
        </w:rPr>
      </w:pPr>
      <w:r>
        <w:rPr>
          <w:rFonts w:hint="eastAsia" w:ascii="仿宋" w:hAnsi="仿宋" w:eastAsia="仿宋" w:cs="仿宋"/>
          <w:color w:val="000000"/>
          <w:sz w:val="32"/>
          <w:szCs w:val="32"/>
        </w:rPr>
        <w:t>（五）负责全县停车场（库）、菜市场（以下简称“两场”）建设的中、长期规划布点并组织实施，研究拟订“两场”建设的配套政策；负责会同有关部门对临时占道机动车、非机动车停车场（点）的规划定点工作；负责政府投资建设的机动车停车场的日常检查工作；负责占道农贸市场、夜市、大棚市场、摊区的监督管理的日常工作。</w:t>
      </w:r>
    </w:p>
    <w:p>
      <w:pPr>
        <w:spacing w:line="560" w:lineRule="exact"/>
        <w:ind w:firstLine="660"/>
        <w:jc w:val="both"/>
        <w:rPr>
          <w:rFonts w:hint="eastAsia" w:ascii="仿宋" w:hAnsi="仿宋" w:eastAsia="仿宋" w:cs="仿宋"/>
          <w:sz w:val="32"/>
          <w:szCs w:val="32"/>
        </w:rPr>
      </w:pPr>
      <w:r>
        <w:rPr>
          <w:rFonts w:hint="eastAsia" w:ascii="仿宋" w:hAnsi="仿宋" w:eastAsia="仿宋" w:cs="仿宋"/>
          <w:color w:val="000000"/>
          <w:sz w:val="32"/>
          <w:szCs w:val="32"/>
        </w:rPr>
        <w:t>（六）负责城乡城市户外广告总体规划实施的协调，定点设置的审查和实施检查；负责对户外广告和招牌的设置管理。对利用园林绿化设施、市政附属设施、建筑物、构筑物等占用城市空间而影响市容市貌的行为进行检查和提出纠正意见；研究拟订全县照明的实施办法；负责城区路灯规划和城市夜景灯饰的设置；组织、协调、检查城市照明工程建设。</w:t>
      </w:r>
    </w:p>
    <w:p>
      <w:pPr>
        <w:spacing w:line="560" w:lineRule="exact"/>
        <w:ind w:firstLine="660"/>
        <w:jc w:val="both"/>
        <w:rPr>
          <w:rFonts w:hint="eastAsia" w:ascii="仿宋" w:hAnsi="仿宋" w:eastAsia="仿宋" w:cs="仿宋"/>
          <w:sz w:val="32"/>
          <w:szCs w:val="32"/>
        </w:rPr>
      </w:pPr>
      <w:r>
        <w:rPr>
          <w:rFonts w:hint="eastAsia" w:ascii="仿宋" w:hAnsi="仿宋" w:eastAsia="仿宋" w:cs="仿宋"/>
          <w:color w:val="000000"/>
          <w:sz w:val="32"/>
          <w:szCs w:val="32"/>
        </w:rPr>
        <w:t>（七）负责城市道路、桥梁等市政基础设施运行和养护维修；负责对城市道路挖掘、依附城市桥梁埋设或架设各种管线、杆线等设施以及超重车过路（桥涵）的检查工作；参与城市道路、桥梁设施重点工程建设、竣工移交。</w:t>
      </w:r>
    </w:p>
    <w:p>
      <w:pPr>
        <w:spacing w:line="560" w:lineRule="exact"/>
        <w:ind w:firstLine="660"/>
        <w:jc w:val="both"/>
        <w:rPr>
          <w:rFonts w:hint="eastAsia" w:ascii="仿宋" w:hAnsi="仿宋" w:eastAsia="仿宋" w:cs="仿宋"/>
          <w:sz w:val="32"/>
          <w:szCs w:val="32"/>
        </w:rPr>
      </w:pPr>
      <w:r>
        <w:rPr>
          <w:rFonts w:hint="eastAsia" w:ascii="仿宋" w:hAnsi="仿宋" w:eastAsia="仿宋" w:cs="仿宋"/>
          <w:color w:val="000000"/>
          <w:sz w:val="32"/>
          <w:szCs w:val="32"/>
        </w:rPr>
        <w:t>（八）会同相关部门拟定城乡城市管理工作目标，受理居民有关城乡城市管理方面的来信来访和群众投诉。</w:t>
      </w:r>
    </w:p>
    <w:p>
      <w:pPr>
        <w:spacing w:line="560" w:lineRule="exact"/>
        <w:ind w:firstLine="660"/>
        <w:jc w:val="both"/>
        <w:rPr>
          <w:rFonts w:hint="eastAsia" w:ascii="仿宋" w:hAnsi="仿宋" w:eastAsia="仿宋" w:cs="仿宋"/>
          <w:sz w:val="32"/>
          <w:szCs w:val="32"/>
        </w:rPr>
        <w:sectPr>
          <w:footerReference r:id="rId4" w:type="default"/>
          <w:type w:val="continuous"/>
          <w:pgSz w:w="10880" w:h="16840"/>
          <w:pgMar w:top="1440" w:right="900" w:bottom="1440" w:left="720" w:header="0" w:footer="400" w:gutter="0"/>
          <w:cols w:space="720" w:num="1"/>
        </w:sectPr>
      </w:pPr>
      <w:r>
        <w:rPr>
          <w:rFonts w:hint="eastAsia" w:ascii="仿宋" w:hAnsi="仿宋" w:eastAsia="仿宋" w:cs="仿宋"/>
          <w:color w:val="000000"/>
          <w:sz w:val="32"/>
          <w:szCs w:val="32"/>
        </w:rPr>
        <w:t>（九）负责组织城乡市容环卫的招商引资工作；负责城乡城市管理方面的投资管理日常工作；负责城乡市容环境管理的科学研究和社会宣传教育工作。</w:t>
      </w:r>
      <w:r>
        <w:rPr>
          <w:rFonts w:hint="eastAsia" w:ascii="仿宋" w:hAnsi="仿宋" w:eastAsia="仿宋" w:cs="仿宋"/>
          <w:sz w:val="32"/>
          <w:szCs w:val="32"/>
        </w:rPr>
        <mc:AlternateContent>
          <mc:Choice Requires="wps">
            <w:drawing>
              <wp:anchor distT="0" distB="0" distL="114300" distR="114300" simplePos="0" relativeHeight="251658240" behindDoc="0" locked="0" layoutInCell="1" allowOverlap="1">
                <wp:simplePos x="0" y="0"/>
                <wp:positionH relativeFrom="page">
                  <wp:posOffset>3238500</wp:posOffset>
                </wp:positionH>
                <wp:positionV relativeFrom="paragraph">
                  <wp:posOffset>9067800</wp:posOffset>
                </wp:positionV>
                <wp:extent cx="838200" cy="165100"/>
                <wp:effectExtent l="0" t="0" r="0" b="0"/>
                <wp:wrapNone/>
                <wp:docPr id="3"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a:effectLst/>
                      </wps:spPr>
                      <wps:txbx>
                        <w:txbxContent>
                          <w:p>
                            <w:pPr>
                              <w:spacing w:line="320" w:lineRule="exact"/>
                              <w:jc w:val="center"/>
                            </w:pPr>
                            <w:r>
                              <w:rPr>
                                <w:rFonts w:hint="eastAsia" w:ascii="Arial" w:hAnsi="Arial" w:eastAsia="Arial"/>
                                <w:color w:val="000000"/>
                                <w:sz w:val="20"/>
                              </w:rPr>
                              <w:t>-3-</w:t>
                            </w:r>
                          </w:p>
                        </w:txbxContent>
                      </wps:txbx>
                      <wps:bodyPr vert="horz" lIns="25400" tIns="0" rIns="25400" bIns="0" anchor="t">
                        <a:noAutofit/>
                      </wps:bodyPr>
                    </wps:wsp>
                  </a:graphicData>
                </a:graphic>
              </wp:anchor>
            </w:drawing>
          </mc:Choice>
          <mc:Fallback>
            <w:pict>
              <v:shape id="文本框 2" o:spid="_x0000_s1026" o:spt="202" type="#_x0000_t202" style="position:absolute;left:0pt;margin-left:255pt;margin-top:714pt;height:13pt;width:66pt;mso-position-horizontal-relative:page;z-index:251658240;mso-width-relative:page;mso-height-relative:page;" filled="f" stroked="f" coordsize="21600,21600" o:gfxdata="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qY6RnZAAAADQEAAA8AAAAAAAAAAQAgAAAA&#10;IgAAAGRycy9kb3ducmV2LnhtbFBLAQIUABQAAAAIAIdO4kAyG7iC0QEAAHUDAAAOAAAAAAAAAAEA&#10;IAAAACgBAABkcnMvZTJvRG9jLnhtbFBLBQYAAAAABgAGAFkBAABrBQAAAAA=&#10;">
                <v:fill on="f" focussize="0,0"/>
                <v:stroke on="f" weight="0.5pt"/>
                <v:imagedata o:title=""/>
                <o:lock v:ext="edit" aspectratio="f"/>
                <v:textbox inset="2pt,0mm,2pt,0mm">
                  <w:txbxContent>
                    <w:p>
                      <w:pPr>
                        <w:spacing w:line="320" w:lineRule="exact"/>
                        <w:jc w:val="center"/>
                      </w:pPr>
                      <w:r>
                        <w:rPr>
                          <w:rFonts w:hint="eastAsia" w:ascii="Arial" w:hAnsi="Arial" w:eastAsia="Arial"/>
                          <w:color w:val="000000"/>
                          <w:sz w:val="20"/>
                        </w:rPr>
                        <w:t>-3-</w:t>
                      </w:r>
                    </w:p>
                  </w:txbxContent>
                </v:textbox>
              </v:shape>
            </w:pict>
          </mc:Fallback>
        </mc:AlternateContent>
      </w:r>
    </w:p>
    <w:p>
      <w:pPr>
        <w:spacing w:line="600" w:lineRule="exact"/>
        <w:ind w:firstLine="920"/>
        <w:jc w:val="both"/>
        <w:rPr>
          <w:rFonts w:hint="eastAsia" w:ascii="仿宋" w:hAnsi="仿宋" w:eastAsia="仿宋" w:cs="仿宋"/>
          <w:sz w:val="32"/>
          <w:szCs w:val="32"/>
        </w:rPr>
      </w:pPr>
      <w:r>
        <w:rPr>
          <w:rFonts w:hint="eastAsia" w:ascii="仿宋" w:hAnsi="仿宋" w:eastAsia="仿宋" w:cs="仿宋"/>
          <w:color w:val="000000"/>
          <w:sz w:val="32"/>
          <w:szCs w:val="32"/>
        </w:rPr>
        <w:t>（十）依据《中华人民共和国城市规划法》等有关法律和法规，开展对违反城市规划的建设用地和建设方面的违法行为日常检查工作。</w:t>
      </w:r>
    </w:p>
    <w:p>
      <w:pPr>
        <w:spacing w:line="600" w:lineRule="exact"/>
        <w:ind w:firstLine="920"/>
        <w:jc w:val="both"/>
        <w:rPr>
          <w:rFonts w:hint="eastAsia" w:ascii="仿宋" w:hAnsi="仿宋" w:eastAsia="仿宋" w:cs="仿宋"/>
          <w:sz w:val="32"/>
          <w:szCs w:val="32"/>
        </w:rPr>
      </w:pPr>
      <w:r>
        <w:rPr>
          <w:rFonts w:hint="eastAsia" w:ascii="仿宋" w:hAnsi="仿宋" w:eastAsia="仿宋" w:cs="仿宋"/>
          <w:color w:val="000000"/>
          <w:sz w:val="32"/>
          <w:szCs w:val="32"/>
        </w:rPr>
        <w:t>（十一）开展对擅自占用、挖掘、损坏城市道路；损坏、危害路灯、防洪堤坝、排水及污水处理设施方面的违法行为日常检查工作。</w:t>
      </w:r>
    </w:p>
    <w:p>
      <w:pPr>
        <w:spacing w:line="600" w:lineRule="exact"/>
        <w:ind w:firstLine="920"/>
        <w:jc w:val="both"/>
        <w:rPr>
          <w:rFonts w:hint="eastAsia" w:ascii="仿宋" w:hAnsi="仿宋" w:eastAsia="仿宋" w:cs="仿宋"/>
          <w:sz w:val="32"/>
          <w:szCs w:val="32"/>
        </w:rPr>
      </w:pPr>
      <w:r>
        <w:rPr>
          <w:rFonts w:hint="eastAsia" w:ascii="仿宋" w:hAnsi="仿宋" w:eastAsia="仿宋" w:cs="仿宋"/>
          <w:color w:val="000000"/>
          <w:sz w:val="32"/>
          <w:szCs w:val="32"/>
        </w:rPr>
        <w:t>（十二）开展对损坏、危害城市供水、公共设施、场地、破坏城市市容方面的违法行为日常检查工作。</w:t>
      </w:r>
    </w:p>
    <w:p>
      <w:pPr>
        <w:spacing w:line="600" w:lineRule="exact"/>
        <w:ind w:firstLine="920"/>
        <w:jc w:val="both"/>
        <w:rPr>
          <w:rFonts w:hint="eastAsia" w:ascii="仿宋" w:hAnsi="仿宋" w:eastAsia="仿宋" w:cs="仿宋"/>
          <w:sz w:val="32"/>
          <w:szCs w:val="32"/>
        </w:rPr>
      </w:pPr>
      <w:r>
        <w:rPr>
          <w:rFonts w:hint="eastAsia" w:ascii="仿宋" w:hAnsi="仿宋" w:eastAsia="仿宋" w:cs="仿宋"/>
          <w:color w:val="000000"/>
          <w:sz w:val="32"/>
          <w:szCs w:val="32"/>
        </w:rPr>
        <w:t>（十三）开展对擅自占用、损坏、拆除公共设施、场地、破坏城市市容方面的违法行为日常检查工作，对店外店进行清理规范，负责对街道及亮化设施的维护与管理的日常工作。</w:t>
      </w:r>
    </w:p>
    <w:p>
      <w:pPr>
        <w:spacing w:line="600" w:lineRule="exact"/>
        <w:ind w:firstLine="920"/>
        <w:jc w:val="both"/>
        <w:rPr>
          <w:rFonts w:hint="eastAsia" w:ascii="仿宋" w:hAnsi="仿宋" w:eastAsia="仿宋" w:cs="仿宋"/>
          <w:sz w:val="32"/>
          <w:szCs w:val="32"/>
        </w:rPr>
      </w:pPr>
      <w:r>
        <w:rPr>
          <w:rFonts w:hint="eastAsia" w:ascii="仿宋" w:hAnsi="仿宋" w:eastAsia="仿宋" w:cs="仿宋"/>
          <w:color w:val="000000"/>
          <w:sz w:val="32"/>
          <w:szCs w:val="32"/>
        </w:rPr>
        <w:t>（十四）开展对损坏城市绿地和花草树木园林绿化设施方面的违法行为日常检查工作。</w:t>
      </w:r>
    </w:p>
    <w:p>
      <w:pPr>
        <w:spacing w:line="600" w:lineRule="exact"/>
        <w:ind w:firstLine="920"/>
        <w:jc w:val="both"/>
        <w:rPr>
          <w:rFonts w:hint="eastAsia" w:ascii="仿宋" w:hAnsi="仿宋" w:eastAsia="仿宋" w:cs="仿宋"/>
          <w:sz w:val="32"/>
          <w:szCs w:val="32"/>
        </w:rPr>
      </w:pPr>
      <w:r>
        <w:rPr>
          <w:rFonts w:hint="eastAsia" w:ascii="仿宋" w:hAnsi="仿宋" w:eastAsia="仿宋" w:cs="仿宋"/>
          <w:color w:val="000000"/>
          <w:sz w:val="32"/>
          <w:szCs w:val="32"/>
        </w:rPr>
        <w:t>（十五）开展对违反城市房屋拆迁和预售商品房等城市房地产建设管理的违法行为日常检查工作。</w:t>
      </w:r>
    </w:p>
    <w:p>
      <w:pPr>
        <w:spacing w:line="600" w:lineRule="exact"/>
        <w:ind w:firstLine="920"/>
        <w:jc w:val="both"/>
        <w:rPr>
          <w:rFonts w:hint="eastAsia" w:ascii="仿宋" w:hAnsi="仿宋" w:eastAsia="仿宋" w:cs="仿宋"/>
          <w:sz w:val="32"/>
          <w:szCs w:val="32"/>
        </w:rPr>
      </w:pPr>
      <w:r>
        <w:rPr>
          <w:rFonts w:hint="eastAsia" w:ascii="仿宋" w:hAnsi="仿宋" w:eastAsia="仿宋" w:cs="仿宋"/>
          <w:color w:val="000000"/>
          <w:sz w:val="32"/>
          <w:szCs w:val="32"/>
        </w:rPr>
        <w:t>（十六）开展对乱堆乱放、泼洒施工渣土、建筑材料和施工扰民方面的违法行为日常检查工作。</w:t>
      </w:r>
    </w:p>
    <w:p>
      <w:pPr>
        <w:spacing w:line="600" w:lineRule="exact"/>
        <w:ind w:firstLine="920"/>
        <w:jc w:val="both"/>
        <w:rPr>
          <w:rFonts w:hint="eastAsia" w:ascii="仿宋" w:hAnsi="仿宋" w:eastAsia="仿宋" w:cs="仿宋"/>
          <w:sz w:val="32"/>
          <w:szCs w:val="32"/>
        </w:rPr>
        <w:sectPr>
          <w:headerReference r:id="rId5" w:type="default"/>
          <w:footerReference r:id="rId6" w:type="default"/>
          <w:type w:val="continuous"/>
          <w:pgSz w:w="11980" w:h="16840"/>
          <w:pgMar w:top="1440" w:right="1080" w:bottom="1320" w:left="720" w:header="0" w:footer="0" w:gutter="0"/>
          <w:cols w:space="720" w:num="1"/>
          <w:titlePg/>
        </w:sectPr>
      </w:pPr>
      <w:r>
        <w:rPr>
          <w:rFonts w:hint="eastAsia" w:ascii="仿宋" w:hAnsi="仿宋" w:eastAsia="仿宋" w:cs="仿宋"/>
          <w:color w:val="000000"/>
          <w:sz w:val="32"/>
          <w:szCs w:val="32"/>
        </w:rPr>
        <w:t>（十七）指导城镇燃气、热力（供暖）、市容市貌、环境卫生（含城市公厕）、生活垃圾（含餐厨垃圾）、景观园林绿化、城市照明、城市广告（含雕塑）及相关配套设施的建设运营维护监督管理的日常工作；指导园林城市系列创建和城市人居环境示范奖创建工作；指导城市生态保护和修复、生物多样性保护、城</w:t>
      </w:r>
    </w:p>
    <w:p>
      <w:pPr>
        <w:spacing w:line="1" w:lineRule="exact"/>
      </w:pPr>
    </w:p>
    <w:p>
      <w:pPr>
        <w:rPr>
          <w:rFonts w:hint="eastAsia" w:ascii="仿宋_GB2312" w:hAnsi="仿宋_GB2312" w:eastAsia="仿宋_GB2312" w:cs="仿宋_GB2312"/>
          <w:color w:val="auto"/>
          <w:sz w:val="32"/>
          <w:szCs w:val="32"/>
          <w:lang w:val="en-US"/>
        </w:rPr>
      </w:pP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（二）20</w:t>
      </w:r>
      <w:r>
        <w:rPr>
          <w:rFonts w:hint="eastAsia" w:ascii="楷体_GB2312" w:hAnsi="楷体_GB2312" w:eastAsia="楷体_GB2312" w:cs="楷体_GB2312"/>
          <w:b/>
          <w:bCs/>
          <w:color w:val="auto"/>
          <w:sz w:val="32"/>
          <w:szCs w:val="32"/>
          <w:lang w:val="en-US" w:eastAsia="zh-CN"/>
        </w:rPr>
        <w:t>22</w:t>
      </w:r>
      <w:r>
        <w:rPr>
          <w:rFonts w:hint="eastAsia" w:ascii="楷体_GB2312" w:hAnsi="楷体_GB2312" w:eastAsia="楷体_GB2312" w:cs="楷体_GB2312"/>
          <w:b/>
          <w:bCs/>
          <w:color w:val="auto"/>
          <w:sz w:val="32"/>
          <w:szCs w:val="32"/>
          <w:lang w:val="en-US"/>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rPr>
      </w:pPr>
      <w:r>
        <w:rPr>
          <w:rFonts w:hint="eastAsia" w:ascii="仿宋_GB2312" w:hAnsi="仿宋_GB2312" w:eastAsia="仿宋_GB2312" w:cs="仿宋_GB2312"/>
          <w:color w:val="auto"/>
          <w:sz w:val="32"/>
          <w:szCs w:val="32"/>
          <w:lang w:val="en-US"/>
        </w:rPr>
        <w:t>抓好收支预算执行。编好收支预算，依法组织收入，加强支出管理。</w:t>
      </w:r>
      <w:r>
        <w:rPr>
          <w:rFonts w:hint="eastAsia" w:ascii="楷体_GB2312" w:hAnsi="楷体_GB2312" w:eastAsia="楷体_GB2312" w:cs="楷体_GB2312"/>
          <w:b/>
          <w:bCs/>
          <w:color w:val="000000" w:themeColor="text1"/>
          <w:sz w:val="32"/>
          <w:szCs w:val="32"/>
          <w:lang w:val="en-US" w:eastAsia="zh-CN"/>
        </w:rPr>
        <w:t>（一）扎实整治环境卫生。</w:t>
      </w:r>
      <w:r>
        <w:rPr>
          <w:rFonts w:hint="eastAsia" w:ascii="Times New Roman" w:hAnsi="Times New Roman" w:eastAsia="仿宋_GB2312" w:cs="Times New Roman"/>
          <w:b/>
          <w:bCs/>
          <w:color w:val="000000" w:themeColor="text1"/>
          <w:sz w:val="32"/>
          <w:szCs w:val="32"/>
          <w:lang w:val="en-US" w:eastAsia="zh-CN"/>
        </w:rPr>
        <w:t>一是</w:t>
      </w:r>
      <w:r>
        <w:rPr>
          <w:rFonts w:hint="eastAsia" w:ascii="Times New Roman" w:hAnsi="Times New Roman" w:eastAsia="仿宋_GB2312" w:cs="Times New Roman"/>
          <w:color w:val="000000" w:themeColor="text1"/>
          <w:sz w:val="32"/>
          <w:szCs w:val="32"/>
          <w:lang w:val="en-US" w:eastAsia="zh-CN"/>
        </w:rPr>
        <w:t>切实履行环卫公司监督管理责任。</w:t>
      </w:r>
      <w:r>
        <w:rPr>
          <w:rFonts w:hint="eastAsia" w:ascii="Times New Roman" w:hAnsi="Times New Roman" w:eastAsia="仿宋_GB2312" w:cs="Times New Roman"/>
          <w:color w:val="000000" w:themeColor="text1"/>
          <w:sz w:val="32"/>
          <w:szCs w:val="32"/>
        </w:rPr>
        <w:t>今年以来，以市政服务为主体开展的环卫巡查工作发现问题146处，通过考评共扣减66分。对县城105个垃圾收集点的生活垃圾“日产日清”，清理卫生死角246处，共清理城区生活垃圾近0.8万吨；对八步里排洪道、蔡家沟排洪道内的杂草和垃圾进行彻底清理，全面喷洒无害无毒除草剂24次；清除各类乱贴乱画、小广告等176处；清洗垃圾收集箱体共30次，果屑箱30次。组织人员270余人次，对县城内开展集中绿化养护，共除草36次，修剪茂盛绿植8次。每周定期清理绿化带垃圾、浇水各4次，更换县城各类鲜花2次，共计3.7万株；清理行道树树盘内垃圾11次，清理垃圾0.8吨。</w:t>
      </w:r>
      <w:r>
        <w:rPr>
          <w:rFonts w:hint="eastAsia" w:ascii="Times New Roman" w:hAnsi="Times New Roman" w:eastAsia="仿宋_GB2312" w:cs="Times New Roman"/>
          <w:b/>
          <w:bCs/>
          <w:color w:val="000000" w:themeColor="text1"/>
          <w:sz w:val="32"/>
          <w:szCs w:val="32"/>
        </w:rPr>
        <w:t>二是</w:t>
      </w:r>
      <w:r>
        <w:rPr>
          <w:rFonts w:hint="eastAsia" w:ascii="Times New Roman" w:hAnsi="Times New Roman" w:eastAsia="仿宋_GB2312" w:cs="Times New Roman"/>
          <w:color w:val="000000" w:themeColor="text1"/>
          <w:sz w:val="32"/>
          <w:szCs w:val="32"/>
        </w:rPr>
        <w:t>坚持疫情防控常态化，筑牢“战疫”防线。外防输入不放松、内防反弹不懈怠，完善行业聚集性疫情应急处置预案，提升应急处置能力。对城区公共场所14处、公共厕所10座、垃圾转运点1处及公厕、垃圾填埋场、垃圾无害化处理站、果皮箱、垃圾箱体、清运车、中转站等环卫设施开展全方位、无死角消杀工作，使用消毒用品225L。</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（二）加强管养基础设施。</w:t>
      </w:r>
      <w:r>
        <w:rPr>
          <w:rFonts w:hint="eastAsia" w:ascii="Times New Roman" w:hAnsi="Times New Roman" w:eastAsia="仿宋_GB2312" w:cs="Times New Roman"/>
          <w:color w:val="000000" w:themeColor="text1"/>
          <w:sz w:val="32"/>
          <w:szCs w:val="32"/>
          <w:lang w:val="en-US" w:eastAsia="zh-CN"/>
        </w:rPr>
        <w:t>维修道路80余平方米、人行道1000余平方米，维修更换窨井盖345座，疏通下水管道326余次，加强城市照明设施管护，精细化维修陈旧路灯，维修路灯光源302盏、线路故障532处，更换蒸馏器 35个、触发器38个、灯泡2014个、漏电开关329个，维修控制柜12次，拆除废旧路灯7根，更换电缆300米。</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（三）专项整治市容市貌。</w:t>
      </w:r>
      <w:r>
        <w:rPr>
          <w:rFonts w:hint="eastAsia" w:ascii="Times New Roman" w:hAnsi="Times New Roman" w:eastAsia="仿宋_GB2312" w:cs="Times New Roman"/>
          <w:color w:val="000000" w:themeColor="text1"/>
          <w:sz w:val="32"/>
          <w:szCs w:val="32"/>
          <w:lang w:val="en-US" w:eastAsia="zh-CN"/>
        </w:rPr>
        <w:t>圆满完成2022年梨花赏花期间和上级领导视察、调研等环境卫生保障任务5次。设置便民擦鞋点1处，规范“地摊经济”经营摊区289处，免费提供自产自销市场2处。半年共劝离流动摊点485余个，取缔店外经营76处，清理条幅87个，拆除破旧广告牌、布幅268个，制止噪声扰民3次，制止擅自挖掘城市道路8处，清理店外晾晒34次，取缔未经批准商业活动21个，规范装修施工围挡15个，处理建筑垃圾6240立方。</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（四）加强大气污染防治。</w:t>
      </w:r>
      <w:r>
        <w:rPr>
          <w:rFonts w:hint="eastAsia" w:ascii="Times New Roman" w:hAnsi="Times New Roman" w:eastAsia="仿宋_GB2312" w:cs="Times New Roman"/>
          <w:color w:val="000000" w:themeColor="text1"/>
          <w:sz w:val="32"/>
          <w:szCs w:val="32"/>
          <w:lang w:val="en-US" w:eastAsia="zh-CN"/>
        </w:rPr>
        <w:t>坚持做到主要道路“二冲、二洗”配合人工巡回捡拾保洁，特殊情况特殊处理，确保道路干净整洁。</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（五）持续城乡环境督查。</w:t>
      </w:r>
      <w:r>
        <w:rPr>
          <w:rFonts w:hint="eastAsia" w:ascii="Times New Roman" w:hAnsi="Times New Roman" w:eastAsia="仿宋_GB2312" w:cs="Times New Roman"/>
          <w:color w:val="000000" w:themeColor="text1"/>
          <w:sz w:val="32"/>
          <w:szCs w:val="32"/>
          <w:lang w:val="en-US" w:eastAsia="zh-CN"/>
        </w:rPr>
        <w:t>以“周末爱国卫生运动”、“乡村振兴试点示范建设工作”“建州70周年全域环境综合整治工作”等重点工作为抓手，开展整治工作。</w:t>
      </w:r>
      <w:r>
        <w:rPr>
          <w:rFonts w:hint="eastAsia" w:ascii="Times New Roman" w:hAnsi="Times New Roman" w:eastAsia="仿宋_GB2312" w:cs="Times New Roman"/>
          <w:color w:val="000000" w:themeColor="text1"/>
          <w:sz w:val="32"/>
          <w:szCs w:val="32"/>
        </w:rPr>
        <w:t>19个乡镇召开城乡人居环境综合整治专项会议166次，出动干部职工、保洁员等23050余人，出动挖掘机50台，清理公路沿线2342公里，整治沿路遗漏抛洒问题168处，整治乱堆乱放288处，清理路面落石及泥沙约521.2吨，拆除沿线废旧房屋6处；整治河道沿线1097公里，清理排水沟725公里，清除垃圾、淤泥杂草等930吨；整治乱堆乱放303处，整治公厕54座，清理绿化带137处；出动洒水车346次，治理施工工地扬尘约2060平方米；清除牛皮癣小广告755处。开展宣传活动233次，悬挂宣传横幅137副、张贴宣传标语592副、发放宣传资料4706余份。配备力量专人负责，全年19个乡镇85个村聘任专职保洁员</w:t>
      </w:r>
      <w:r>
        <w:rPr>
          <w:rFonts w:hint="default" w:ascii="Times New Roman" w:hAnsi="Times New Roman" w:eastAsia="仿宋_GB2312" w:cs="Times New Roman"/>
          <w:color w:val="000000" w:themeColor="text1"/>
          <w:sz w:val="32"/>
          <w:szCs w:val="32"/>
        </w:rPr>
        <w:t>323</w:t>
      </w:r>
      <w:r>
        <w:rPr>
          <w:rFonts w:hint="eastAsia" w:ascii="Times New Roman" w:hAnsi="Times New Roman" w:eastAsia="仿宋_GB2312" w:cs="Times New Roman"/>
          <w:color w:val="000000" w:themeColor="text1"/>
          <w:sz w:val="32"/>
          <w:szCs w:val="32"/>
        </w:rPr>
        <w:t>名，用于对乡、村、组道路的清洁维护，加强辖区内环境卫生的日常保洁和维护。</w:t>
      </w:r>
      <w:r>
        <w:rPr>
          <w:rFonts w:hint="eastAsia" w:ascii="Times New Roman" w:hAnsi="Times New Roman" w:eastAsia="仿宋_GB2312" w:cs="Times New Roman"/>
          <w:color w:val="000000" w:themeColor="text1"/>
          <w:sz w:val="32"/>
          <w:szCs w:val="32"/>
          <w:lang w:val="en-US" w:eastAsia="zh-CN"/>
        </w:rPr>
        <w:t>坚持立行立改，同时加强对“三乡一镇”环境整治的督导检查工作，严格按照《考核细则》要求对标打分，坚持边督查边整改、以督查促整改的原则。目前已开展</w:t>
      </w:r>
      <w:r>
        <w:rPr>
          <w:rFonts w:hint="eastAsia" w:ascii="Times New Roman" w:hAnsi="Times New Roman" w:eastAsia="仿宋_GB2312" w:cs="Times New Roman"/>
          <w:color w:val="000000" w:themeColor="text1"/>
          <w:sz w:val="32"/>
          <w:szCs w:val="32"/>
        </w:rPr>
        <w:t>3</w:t>
      </w:r>
      <w:r>
        <w:rPr>
          <w:rFonts w:hint="eastAsia" w:ascii="Times New Roman" w:hAnsi="Times New Roman" w:eastAsia="仿宋_GB2312" w:cs="Times New Roman"/>
          <w:color w:val="000000" w:themeColor="text1"/>
          <w:sz w:val="32"/>
          <w:szCs w:val="32"/>
          <w:lang w:val="en-US" w:eastAsia="zh-CN"/>
        </w:rPr>
        <w:t>轮督查工作，建立问题清单，整改事项55项，下发整改通知书55份，通过各乡镇、各部门开展的一系列整治行动，已完成整改51项，完成整改任务率为</w:t>
      </w:r>
      <w:r>
        <w:rPr>
          <w:rFonts w:hint="eastAsia" w:ascii="Times New Roman" w:hAnsi="Times New Roman" w:eastAsia="仿宋_GB2312" w:cs="Times New Roman"/>
          <w:color w:val="000000" w:themeColor="text1"/>
          <w:sz w:val="32"/>
          <w:szCs w:val="32"/>
        </w:rPr>
        <w:t>92.73</w:t>
      </w:r>
      <w:r>
        <w:rPr>
          <w:rFonts w:hint="eastAsia" w:ascii="Times New Roman" w:hAnsi="Times New Roman" w:eastAsia="仿宋_GB2312" w:cs="Times New Roman"/>
          <w:color w:val="000000" w:themeColor="text1"/>
          <w:sz w:val="32"/>
          <w:szCs w:val="32"/>
          <w:lang w:val="en-US" w:eastAsia="zh-CN"/>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二、部门预算单位构成</w:t>
      </w:r>
    </w:p>
    <w:p>
      <w:p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sz w:val="32"/>
          <w:szCs w:val="32"/>
          <w:lang w:eastAsia="zh-CN"/>
        </w:rPr>
        <w:t>金川县</w:t>
      </w:r>
      <w:r>
        <w:rPr>
          <w:rFonts w:hint="eastAsia" w:ascii="仿宋_GB2312" w:hAnsi="仿宋_GB2312" w:eastAsia="仿宋_GB2312" w:cs="仿宋_GB2312"/>
          <w:sz w:val="32"/>
          <w:szCs w:val="32"/>
          <w:lang w:val="en-US" w:eastAsia="zh-CN"/>
        </w:rPr>
        <w:t>市政公用事业服务中心</w:t>
      </w:r>
      <w:r>
        <w:rPr>
          <w:rFonts w:hint="eastAsia" w:ascii="仿宋_GB2312" w:hAnsi="仿宋_GB2312" w:eastAsia="仿宋_GB2312" w:cs="仿宋_GB2312"/>
          <w:sz w:val="32"/>
          <w:szCs w:val="32"/>
        </w:rPr>
        <w:t>为一级预算单位（包含3个单位预算）， 2个有编单位，未单独预算，分别为金川县城乡综合治理</w:t>
      </w:r>
      <w:r>
        <w:rPr>
          <w:rFonts w:hint="eastAsia" w:ascii="仿宋_GB2312" w:hAnsi="仿宋_GB2312" w:eastAsia="仿宋_GB2312" w:cs="仿宋_GB2312"/>
          <w:sz w:val="32"/>
          <w:szCs w:val="32"/>
          <w:lang w:val="en-US" w:eastAsia="zh-CN"/>
        </w:rPr>
        <w:t>服务中心和</w:t>
      </w:r>
      <w:r>
        <w:rPr>
          <w:rFonts w:hint="eastAsia" w:ascii="仿宋_GB2312" w:hAnsi="仿宋_GB2312" w:eastAsia="仿宋_GB2312" w:cs="仿宋_GB2312"/>
          <w:sz w:val="32"/>
          <w:szCs w:val="32"/>
        </w:rPr>
        <w:t>金川县</w:t>
      </w:r>
      <w:r>
        <w:rPr>
          <w:rFonts w:hint="eastAsia" w:ascii="仿宋_GB2312" w:hAnsi="仿宋_GB2312" w:eastAsia="仿宋_GB2312" w:cs="仿宋_GB2312"/>
          <w:sz w:val="32"/>
          <w:szCs w:val="32"/>
          <w:lang w:val="en-US" w:eastAsia="zh-CN"/>
        </w:rPr>
        <w:t>环境卫生服务中心</w:t>
      </w:r>
      <w:r>
        <w:rPr>
          <w:rFonts w:hint="eastAsia" w:ascii="仿宋_GB2312" w:hAnsi="仿宋_GB2312" w:eastAsia="仿宋_GB2312" w:cs="仿宋_GB2312"/>
          <w:sz w:val="32"/>
          <w:szCs w:val="32"/>
        </w:rPr>
        <w:t>。</w:t>
      </w:r>
    </w:p>
    <w:p>
      <w:pPr>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　　三、收支预算情况说明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按照综合预算的原则，财政厅所有收入和支出均纳入部门预算管理。收入包括：一般公共预算拨款收入、上年结转；支出包括：一般公共服务支出、教育支出、社会保障和就业支出、医疗卫生与计划生育支出、住房保障支出。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年收支总预算</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万元，比20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lang w:val="en-US"/>
        </w:rPr>
        <w:t>年收支预算总数增加</w:t>
      </w:r>
      <w:r>
        <w:rPr>
          <w:rFonts w:hint="eastAsia" w:ascii="仿宋_GB2312" w:hAnsi="仿宋_GB2312" w:eastAsia="仿宋_GB2312" w:cs="仿宋_GB2312"/>
          <w:color w:val="auto"/>
          <w:sz w:val="32"/>
          <w:szCs w:val="32"/>
          <w:lang w:val="en-US" w:eastAsia="zh-CN"/>
        </w:rPr>
        <w:t>386.66</w:t>
      </w:r>
      <w:r>
        <w:rPr>
          <w:rFonts w:hint="eastAsia" w:ascii="仿宋_GB2312" w:hAnsi="仿宋_GB2312" w:eastAsia="仿宋_GB2312" w:cs="仿宋_GB2312"/>
          <w:color w:val="auto"/>
          <w:sz w:val="32"/>
          <w:szCs w:val="32"/>
          <w:lang w:val="en-US"/>
        </w:rPr>
        <w:t>万元，主要原因是</w:t>
      </w:r>
      <w:r>
        <w:rPr>
          <w:rFonts w:hint="eastAsia" w:ascii="仿宋_GB2312" w:hAnsi="仿宋_GB2312" w:eastAsia="仿宋_GB2312" w:cs="仿宋_GB2312"/>
          <w:color w:val="auto"/>
          <w:sz w:val="32"/>
          <w:szCs w:val="32"/>
          <w:lang w:val="en-US" w:eastAsia="zh-CN"/>
        </w:rPr>
        <w:t>今年新增项目纳入2023年预算</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（一）收入预算情况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年收入预算</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万元，其中：上年结转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%；一般公共预算拨款收入</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（二）支出预算情况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年支出预算</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万元，其中：基本支出</w:t>
      </w:r>
      <w:r>
        <w:rPr>
          <w:rFonts w:hint="eastAsia" w:ascii="仿宋_GB2312" w:hAnsi="仿宋_GB2312" w:eastAsia="仿宋_GB2312" w:cs="仿宋_GB2312"/>
          <w:color w:val="auto"/>
          <w:sz w:val="32"/>
          <w:szCs w:val="32"/>
          <w:lang w:val="en-US" w:eastAsia="zh-CN"/>
        </w:rPr>
        <w:t>559.62</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77.44</w:t>
      </w:r>
      <w:r>
        <w:rPr>
          <w:rFonts w:hint="eastAsia" w:ascii="仿宋_GB2312" w:hAnsi="仿宋_GB2312" w:eastAsia="仿宋_GB2312" w:cs="仿宋_GB2312"/>
          <w:color w:val="auto"/>
          <w:sz w:val="32"/>
          <w:szCs w:val="32"/>
          <w:lang w:val="en-US"/>
        </w:rPr>
        <w:t>%；项目支出</w:t>
      </w:r>
      <w:r>
        <w:rPr>
          <w:rFonts w:hint="eastAsia" w:ascii="仿宋_GB2312" w:hAnsi="仿宋_GB2312" w:eastAsia="仿宋_GB2312" w:cs="仿宋_GB2312"/>
          <w:color w:val="auto"/>
          <w:sz w:val="32"/>
          <w:szCs w:val="32"/>
          <w:lang w:val="en-US" w:eastAsia="zh-CN"/>
        </w:rPr>
        <w:t>163</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22.56</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四、财政拨款收支预算情况说明</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年财政拨款收支总预算</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万元，比</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lang w:val="en-US"/>
        </w:rPr>
        <w:t>年财政拨款收支总额预算增加</w:t>
      </w:r>
      <w:r>
        <w:rPr>
          <w:rFonts w:hint="eastAsia" w:ascii="仿宋_GB2312" w:hAnsi="仿宋_GB2312" w:eastAsia="仿宋_GB2312" w:cs="仿宋_GB2312"/>
          <w:color w:val="auto"/>
          <w:sz w:val="32"/>
          <w:szCs w:val="32"/>
          <w:lang w:val="en-US" w:eastAsia="zh-CN"/>
        </w:rPr>
        <w:t>386.66</w:t>
      </w:r>
      <w:r>
        <w:rPr>
          <w:rFonts w:hint="eastAsia" w:ascii="仿宋_GB2312" w:hAnsi="仿宋_GB2312" w:eastAsia="仿宋_GB2312" w:cs="仿宋_GB2312"/>
          <w:color w:val="auto"/>
          <w:sz w:val="32"/>
          <w:szCs w:val="32"/>
          <w:lang w:val="en-US"/>
        </w:rPr>
        <w:t>万元，主要原因是</w:t>
      </w:r>
      <w:r>
        <w:rPr>
          <w:rFonts w:hint="eastAsia" w:ascii="仿宋_GB2312" w:hAnsi="仿宋_GB2312" w:eastAsia="仿宋_GB2312" w:cs="仿宋_GB2312"/>
          <w:color w:val="auto"/>
          <w:sz w:val="32"/>
          <w:szCs w:val="32"/>
          <w:lang w:val="en-US" w:eastAsia="zh-CN"/>
        </w:rPr>
        <w:t>今年新增项目纳入2023年预算</w:t>
      </w:r>
      <w:r>
        <w:rPr>
          <w:rFonts w:hint="eastAsia" w:ascii="仿宋_GB2312" w:hAnsi="仿宋_GB2312" w:eastAsia="仿宋_GB2312" w:cs="仿宋_GB2312"/>
          <w:color w:val="auto"/>
          <w:sz w:val="32"/>
          <w:szCs w:val="32"/>
          <w:lang w:val="en-US"/>
        </w:rPr>
        <w:t>。</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收入包括：本年一般公共预算拨款收入</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万元、上年结转一般公共预算拨款收入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万元；支出包括：社会保障和就业支出</w:t>
      </w:r>
      <w:r>
        <w:rPr>
          <w:rFonts w:hint="eastAsia" w:ascii="仿宋_GB2312" w:hAnsi="仿宋_GB2312" w:eastAsia="仿宋_GB2312" w:cs="仿宋_GB2312"/>
          <w:color w:val="auto"/>
          <w:sz w:val="32"/>
          <w:szCs w:val="32"/>
          <w:lang w:val="en-US" w:eastAsia="zh-CN"/>
        </w:rPr>
        <w:t>87.33</w:t>
      </w:r>
      <w:r>
        <w:rPr>
          <w:rFonts w:hint="eastAsia" w:ascii="仿宋_GB2312" w:hAnsi="仿宋_GB2312" w:eastAsia="仿宋_GB2312" w:cs="仿宋_GB2312"/>
          <w:color w:val="auto"/>
          <w:sz w:val="32"/>
          <w:szCs w:val="32"/>
          <w:lang w:val="en-US"/>
        </w:rPr>
        <w:t>万元、医疗卫生与计划生育支出</w:t>
      </w:r>
      <w:r>
        <w:rPr>
          <w:rFonts w:hint="eastAsia" w:ascii="仿宋_GB2312" w:hAnsi="仿宋_GB2312" w:eastAsia="仿宋_GB2312" w:cs="仿宋_GB2312"/>
          <w:color w:val="auto"/>
          <w:sz w:val="32"/>
          <w:szCs w:val="32"/>
          <w:lang w:val="en-US" w:eastAsia="zh-CN"/>
        </w:rPr>
        <w:t>34.1</w:t>
      </w:r>
      <w:r>
        <w:rPr>
          <w:rFonts w:hint="eastAsia" w:ascii="仿宋_GB2312" w:hAnsi="仿宋_GB2312" w:eastAsia="仿宋_GB2312" w:cs="仿宋_GB2312"/>
          <w:color w:val="auto"/>
          <w:sz w:val="32"/>
          <w:szCs w:val="32"/>
          <w:lang w:val="en-US"/>
        </w:rPr>
        <w:t>万元、</w:t>
      </w:r>
      <w:r>
        <w:rPr>
          <w:rFonts w:hint="eastAsia" w:ascii="仿宋_GB2312" w:hAnsi="仿宋_GB2312" w:eastAsia="仿宋_GB2312" w:cs="仿宋_GB2312"/>
          <w:color w:val="auto"/>
          <w:sz w:val="32"/>
          <w:szCs w:val="32"/>
          <w:lang w:val="en-US" w:eastAsia="zh-CN"/>
        </w:rPr>
        <w:t>城乡社区支出552.5万元、</w:t>
      </w:r>
      <w:r>
        <w:rPr>
          <w:rFonts w:hint="eastAsia" w:ascii="仿宋_GB2312" w:hAnsi="仿宋_GB2312" w:eastAsia="仿宋_GB2312" w:cs="仿宋_GB2312"/>
          <w:color w:val="auto"/>
          <w:sz w:val="32"/>
          <w:szCs w:val="32"/>
          <w:lang w:val="en-US"/>
        </w:rPr>
        <w:t>住房保障支出</w:t>
      </w:r>
      <w:r>
        <w:rPr>
          <w:rFonts w:hint="eastAsia" w:ascii="仿宋_GB2312" w:hAnsi="仿宋_GB2312" w:eastAsia="仿宋_GB2312" w:cs="仿宋_GB2312"/>
          <w:color w:val="auto"/>
          <w:sz w:val="32"/>
          <w:szCs w:val="32"/>
          <w:lang w:val="en-US" w:eastAsia="zh-CN"/>
        </w:rPr>
        <w:t>48.7</w:t>
      </w:r>
      <w:r>
        <w:rPr>
          <w:rFonts w:hint="eastAsia" w:ascii="仿宋_GB2312" w:hAnsi="仿宋_GB2312" w:eastAsia="仿宋_GB2312" w:cs="仿宋_GB2312"/>
          <w:color w:val="auto"/>
          <w:sz w:val="32"/>
          <w:szCs w:val="32"/>
          <w:lang w:val="en-US"/>
        </w:rPr>
        <w:t>万元。</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五、一般公共预算当年拨款情况说明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（一）一般公共预算当年拨款规模变化情况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w:t>
      </w:r>
      <w:r>
        <w:rPr>
          <w:rFonts w:hint="eastAsia" w:ascii="仿宋_GB2312" w:hAnsi="仿宋_GB2312" w:eastAsia="仿宋_GB2312" w:cs="仿宋_GB2312"/>
          <w:color w:val="auto"/>
          <w:sz w:val="32"/>
          <w:szCs w:val="32"/>
          <w:lang w:val="en-US" w:eastAsia="zh-CN"/>
        </w:rPr>
        <w:t>城乡社区支出552.5万元</w:t>
      </w:r>
      <w:r>
        <w:rPr>
          <w:rFonts w:hint="eastAsia" w:ascii="仿宋_GB2312" w:hAnsi="仿宋_GB2312" w:eastAsia="仿宋_GB2312" w:cs="仿宋_GB2312"/>
          <w:color w:val="auto"/>
          <w:sz w:val="32"/>
          <w:szCs w:val="32"/>
          <w:lang w:val="en-US"/>
        </w:rPr>
        <w:t>，比</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lang w:val="en-US"/>
        </w:rPr>
        <w:t>年预算数增加</w:t>
      </w:r>
      <w:r>
        <w:rPr>
          <w:rFonts w:hint="eastAsia" w:ascii="仿宋_GB2312" w:hAnsi="仿宋_GB2312" w:eastAsia="仿宋_GB2312" w:cs="仿宋_GB2312"/>
          <w:color w:val="auto"/>
          <w:sz w:val="32"/>
          <w:szCs w:val="32"/>
          <w:lang w:val="en-US" w:eastAsia="zh-CN"/>
        </w:rPr>
        <w:t>313.57</w:t>
      </w:r>
      <w:r>
        <w:rPr>
          <w:rFonts w:hint="eastAsia" w:ascii="仿宋_GB2312" w:hAnsi="仿宋_GB2312" w:eastAsia="仿宋_GB2312" w:cs="仿宋_GB2312"/>
          <w:color w:val="auto"/>
          <w:sz w:val="32"/>
          <w:szCs w:val="32"/>
          <w:lang w:val="en-US"/>
        </w:rPr>
        <w:t>万元。主要是部门实施养老保险制度后，增加养老保险和职业年金支出,以及</w:t>
      </w:r>
      <w:r>
        <w:rPr>
          <w:rFonts w:hint="eastAsia" w:ascii="仿宋_GB2312" w:hAnsi="仿宋_GB2312" w:eastAsia="仿宋_GB2312" w:cs="仿宋_GB2312"/>
          <w:color w:val="auto"/>
          <w:sz w:val="32"/>
          <w:szCs w:val="32"/>
          <w:lang w:val="en-US" w:eastAsia="zh-CN"/>
        </w:rPr>
        <w:t>增加项目纳入预算</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（二）一般公共预算当年拨款结构情况</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城乡社区支出552.5万元</w:t>
      </w:r>
      <w:r>
        <w:rPr>
          <w:rFonts w:hint="eastAsia" w:ascii="仿宋_GB2312" w:hAnsi="仿宋_GB2312" w:eastAsia="仿宋_GB2312" w:cs="仿宋_GB2312"/>
          <w:color w:val="auto"/>
          <w:sz w:val="32"/>
          <w:szCs w:val="32"/>
          <w:lang w:val="en-US"/>
        </w:rPr>
        <w:t>，占</w:t>
      </w:r>
      <w:r>
        <w:rPr>
          <w:rFonts w:hint="eastAsia" w:ascii="仿宋_GB2312" w:hAnsi="仿宋_GB2312" w:eastAsia="仿宋_GB2312" w:cs="仿宋_GB2312"/>
          <w:color w:val="auto"/>
          <w:sz w:val="32"/>
          <w:szCs w:val="32"/>
          <w:lang w:val="en-US" w:eastAsia="zh-CN"/>
        </w:rPr>
        <w:t>76.45</w:t>
      </w:r>
      <w:r>
        <w:rPr>
          <w:rFonts w:hint="eastAsia" w:ascii="仿宋_GB2312" w:hAnsi="仿宋_GB2312" w:eastAsia="仿宋_GB2312" w:cs="仿宋_GB2312"/>
          <w:color w:val="auto"/>
          <w:sz w:val="32"/>
          <w:szCs w:val="32"/>
          <w:lang w:val="en-US"/>
        </w:rPr>
        <w:t>%；社会保障和就业支出</w:t>
      </w:r>
      <w:r>
        <w:rPr>
          <w:rFonts w:hint="eastAsia" w:ascii="仿宋_GB2312" w:hAnsi="仿宋_GB2312" w:eastAsia="仿宋_GB2312" w:cs="仿宋_GB2312"/>
          <w:color w:val="auto"/>
          <w:sz w:val="32"/>
          <w:szCs w:val="32"/>
          <w:lang w:val="en-US" w:eastAsia="zh-CN"/>
        </w:rPr>
        <w:t>87.33</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12.08</w:t>
      </w: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医疗卫生与计划生育支出</w:t>
      </w:r>
      <w:r>
        <w:rPr>
          <w:rFonts w:hint="eastAsia" w:ascii="仿宋_GB2312" w:hAnsi="仿宋_GB2312" w:eastAsia="仿宋_GB2312" w:cs="仿宋_GB2312"/>
          <w:color w:val="auto"/>
          <w:sz w:val="32"/>
          <w:szCs w:val="32"/>
          <w:lang w:val="en-US" w:eastAsia="zh-CN"/>
        </w:rPr>
        <w:t>34.1</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4.71</w:t>
      </w: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住房保障支出</w:t>
      </w:r>
      <w:r>
        <w:rPr>
          <w:rFonts w:hint="eastAsia" w:ascii="仿宋_GB2312" w:hAnsi="仿宋_GB2312" w:eastAsia="仿宋_GB2312" w:cs="仿宋_GB2312"/>
          <w:color w:val="auto"/>
          <w:sz w:val="32"/>
          <w:szCs w:val="32"/>
          <w:lang w:val="en-US" w:eastAsia="zh-CN"/>
        </w:rPr>
        <w:t>48.7</w:t>
      </w:r>
      <w:r>
        <w:rPr>
          <w:rFonts w:hint="eastAsia" w:ascii="仿宋_GB2312" w:hAnsi="仿宋_GB2312" w:eastAsia="仿宋_GB2312" w:cs="仿宋_GB2312"/>
          <w:color w:val="auto"/>
          <w:sz w:val="32"/>
          <w:szCs w:val="32"/>
          <w:lang w:val="en-US"/>
        </w:rPr>
        <w:t>万元，占</w:t>
      </w:r>
      <w:r>
        <w:rPr>
          <w:rFonts w:hint="eastAsia" w:ascii="仿宋_GB2312" w:hAnsi="仿宋_GB2312" w:eastAsia="仿宋_GB2312" w:cs="仿宋_GB2312"/>
          <w:color w:val="auto"/>
          <w:sz w:val="32"/>
          <w:szCs w:val="32"/>
          <w:lang w:val="en-US" w:eastAsia="zh-CN"/>
        </w:rPr>
        <w:t>,6.76</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（三）一般公共预算当年拨款具体使用情况</w:t>
      </w:r>
    </w:p>
    <w:p>
      <w:pPr>
        <w:ind w:firstLine="665"/>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1.社会保障和就业（类）行政事业单位</w:t>
      </w:r>
      <w:r>
        <w:rPr>
          <w:rFonts w:hint="eastAsia" w:ascii="仿宋_GB2312" w:hAnsi="仿宋_GB2312" w:eastAsia="仿宋_GB2312" w:cs="仿宋_GB2312"/>
          <w:color w:val="auto"/>
          <w:sz w:val="32"/>
          <w:szCs w:val="32"/>
          <w:lang w:val="en-US" w:eastAsia="zh-CN"/>
        </w:rPr>
        <w:t>养老保险支出</w:t>
      </w:r>
      <w:r>
        <w:rPr>
          <w:rFonts w:hint="eastAsia" w:ascii="仿宋_GB2312" w:hAnsi="仿宋_GB2312" w:eastAsia="仿宋_GB2312" w:cs="仿宋_GB2312"/>
          <w:color w:val="auto"/>
          <w:sz w:val="32"/>
          <w:szCs w:val="32"/>
          <w:lang w:val="en-US"/>
        </w:rPr>
        <w:t>（款）行政事业单位</w:t>
      </w:r>
      <w:r>
        <w:rPr>
          <w:rFonts w:hint="eastAsia" w:ascii="仿宋_GB2312" w:hAnsi="仿宋_GB2312" w:eastAsia="仿宋_GB2312" w:cs="仿宋_GB2312"/>
          <w:color w:val="auto"/>
          <w:sz w:val="32"/>
          <w:szCs w:val="32"/>
          <w:lang w:val="en-US" w:eastAsia="zh-CN"/>
        </w:rPr>
        <w:t>养老保险缴费支出</w:t>
      </w:r>
      <w:r>
        <w:rPr>
          <w:rFonts w:hint="eastAsia" w:ascii="仿宋_GB2312" w:hAnsi="仿宋_GB2312" w:eastAsia="仿宋_GB2312" w:cs="仿宋_GB2312"/>
          <w:color w:val="auto"/>
          <w:sz w:val="32"/>
          <w:szCs w:val="32"/>
          <w:lang w:val="en-US"/>
        </w:rPr>
        <w:t>（项）:20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58.22</w:t>
      </w:r>
      <w:r>
        <w:rPr>
          <w:rFonts w:hint="eastAsia" w:ascii="仿宋_GB2312" w:hAnsi="仿宋_GB2312" w:eastAsia="仿宋_GB2312" w:cs="仿宋_GB2312"/>
          <w:color w:val="auto"/>
          <w:sz w:val="32"/>
          <w:szCs w:val="32"/>
          <w:lang w:val="en-US"/>
        </w:rPr>
        <w:t>万元，主要用于：实施养老保险制度后，部门按规定由单位缴纳的基本养老保险费支出</w:t>
      </w:r>
      <w:r>
        <w:rPr>
          <w:rFonts w:hint="eastAsia" w:ascii="仿宋_GB2312" w:hAnsi="仿宋_GB2312" w:eastAsia="仿宋_GB2312" w:cs="仿宋_GB2312"/>
          <w:color w:val="auto"/>
          <w:sz w:val="32"/>
          <w:szCs w:val="32"/>
          <w:lang w:val="en-US" w:eastAsia="zh-CN"/>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rPr>
        <w:t>.社会保障和就业（类）行政事业单位</w:t>
      </w:r>
      <w:r>
        <w:rPr>
          <w:rFonts w:hint="eastAsia" w:ascii="仿宋_GB2312" w:hAnsi="仿宋_GB2312" w:eastAsia="仿宋_GB2312" w:cs="仿宋_GB2312"/>
          <w:color w:val="auto"/>
          <w:sz w:val="32"/>
          <w:szCs w:val="32"/>
          <w:lang w:val="en-US" w:eastAsia="zh-CN"/>
        </w:rPr>
        <w:t>养老保险支出</w:t>
      </w:r>
      <w:r>
        <w:rPr>
          <w:rFonts w:hint="eastAsia" w:ascii="仿宋_GB2312" w:hAnsi="仿宋_GB2312" w:eastAsia="仿宋_GB2312" w:cs="仿宋_GB2312"/>
          <w:color w:val="auto"/>
          <w:sz w:val="32"/>
          <w:szCs w:val="32"/>
          <w:lang w:val="en-US"/>
        </w:rPr>
        <w:t>（款）机关事业单位职业年金缴费支出（项）:20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29.11</w:t>
      </w:r>
      <w:r>
        <w:rPr>
          <w:rFonts w:hint="eastAsia" w:ascii="仿宋_GB2312" w:hAnsi="仿宋_GB2312" w:eastAsia="仿宋_GB2312" w:cs="仿宋_GB2312"/>
          <w:color w:val="auto"/>
          <w:sz w:val="32"/>
          <w:szCs w:val="32"/>
          <w:lang w:val="en-US"/>
        </w:rPr>
        <w:t>万元，主要用于：实施养老保险制度后，部门按规定由单位缴纳的职业年金支出。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rPr>
        <w:t>.医疗卫生与计划生育（类）行政事业单位医疗（款）行政单位医疗（项）:20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16.74</w:t>
      </w:r>
      <w:r>
        <w:rPr>
          <w:rFonts w:hint="eastAsia" w:ascii="仿宋_GB2312" w:hAnsi="仿宋_GB2312" w:eastAsia="仿宋_GB2312" w:cs="仿宋_GB2312"/>
          <w:color w:val="auto"/>
          <w:sz w:val="32"/>
          <w:szCs w:val="32"/>
          <w:lang w:val="en-US"/>
        </w:rPr>
        <w:t>万元，主要用于：基本医疗保险缴费支出。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4.医疗卫生与计划生育（类）行政事业单位医疗（款）事业单位医疗（项）:20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11.66</w:t>
      </w:r>
      <w:r>
        <w:rPr>
          <w:rFonts w:hint="eastAsia" w:ascii="仿宋_GB2312" w:hAnsi="仿宋_GB2312" w:eastAsia="仿宋_GB2312" w:cs="仿宋_GB2312"/>
          <w:color w:val="auto"/>
          <w:sz w:val="32"/>
          <w:szCs w:val="32"/>
          <w:lang w:val="en-US"/>
        </w:rPr>
        <w:t>万元，主要用于：部门下属事业单位基本医疗保险缴费支出。</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5.医疗卫生与计划生育（类）行政事业单位医疗（款）公务员医疗补助（项）:20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5.69</w:t>
      </w:r>
      <w:r>
        <w:rPr>
          <w:rFonts w:hint="eastAsia" w:ascii="仿宋_GB2312" w:hAnsi="仿宋_GB2312" w:eastAsia="仿宋_GB2312" w:cs="仿宋_GB2312"/>
          <w:color w:val="auto"/>
          <w:sz w:val="32"/>
          <w:szCs w:val="32"/>
          <w:lang w:val="en-US"/>
        </w:rPr>
        <w:t>万元，主要用于：缴纳公务员医疗补助支出。</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6.城乡社区支出</w:t>
      </w:r>
      <w:r>
        <w:rPr>
          <w:rFonts w:hint="eastAsia" w:ascii="仿宋_GB2312" w:hAnsi="仿宋_GB2312" w:eastAsia="仿宋_GB2312" w:cs="仿宋_GB2312"/>
          <w:color w:val="auto"/>
          <w:sz w:val="32"/>
          <w:szCs w:val="32"/>
          <w:lang w:val="en-US"/>
        </w:rPr>
        <w:t>（类）</w:t>
      </w:r>
      <w:r>
        <w:rPr>
          <w:rFonts w:hint="eastAsia" w:ascii="仿宋_GB2312" w:hAnsi="仿宋_GB2312" w:eastAsia="仿宋_GB2312" w:cs="仿宋_GB2312"/>
          <w:color w:val="auto"/>
          <w:sz w:val="32"/>
          <w:szCs w:val="32"/>
          <w:lang w:val="en-US" w:eastAsia="zh-CN"/>
        </w:rPr>
        <w:t>城乡社区管理事务</w:t>
      </w:r>
      <w:r>
        <w:rPr>
          <w:rFonts w:hint="eastAsia" w:ascii="仿宋_GB2312" w:hAnsi="仿宋_GB2312" w:eastAsia="仿宋_GB2312" w:cs="仿宋_GB2312"/>
          <w:color w:val="auto"/>
          <w:sz w:val="32"/>
          <w:szCs w:val="32"/>
          <w:lang w:val="en-US"/>
        </w:rPr>
        <w:t>（款）</w:t>
      </w:r>
      <w:r>
        <w:rPr>
          <w:rFonts w:hint="eastAsia" w:ascii="仿宋_GB2312" w:hAnsi="仿宋_GB2312" w:eastAsia="仿宋_GB2312" w:cs="仿宋_GB2312"/>
          <w:color w:val="auto"/>
          <w:sz w:val="32"/>
          <w:szCs w:val="32"/>
          <w:lang w:val="en-US" w:eastAsia="zh-CN"/>
        </w:rPr>
        <w:t>行政运行</w:t>
      </w:r>
      <w:r>
        <w:rPr>
          <w:rFonts w:hint="eastAsia" w:ascii="仿宋_GB2312" w:hAnsi="仿宋_GB2312" w:eastAsia="仿宋_GB2312" w:cs="仿宋_GB2312"/>
          <w:color w:val="auto"/>
          <w:sz w:val="32"/>
          <w:szCs w:val="32"/>
          <w:lang w:val="en-US"/>
        </w:rPr>
        <w:t>（项）:20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225.39</w:t>
      </w:r>
      <w:r>
        <w:rPr>
          <w:rFonts w:hint="eastAsia" w:ascii="仿宋_GB2312" w:hAnsi="仿宋_GB2312" w:eastAsia="仿宋_GB2312" w:cs="仿宋_GB2312"/>
          <w:color w:val="auto"/>
          <w:sz w:val="32"/>
          <w:szCs w:val="32"/>
          <w:lang w:val="en-US"/>
        </w:rPr>
        <w:t>万元，主要用于</w:t>
      </w:r>
      <w:r>
        <w:rPr>
          <w:rFonts w:hint="eastAsia" w:ascii="仿宋_GB2312" w:hAnsi="仿宋_GB2312" w:eastAsia="仿宋_GB2312" w:cs="仿宋_GB2312"/>
          <w:color w:val="auto"/>
          <w:sz w:val="32"/>
          <w:szCs w:val="32"/>
          <w:lang w:val="en-US" w:eastAsia="zh-CN"/>
        </w:rPr>
        <w:t>：中心人员经费及公用经费。</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7.城乡社区支出</w:t>
      </w:r>
      <w:r>
        <w:rPr>
          <w:rFonts w:hint="eastAsia" w:ascii="仿宋_GB2312" w:hAnsi="仿宋_GB2312" w:eastAsia="仿宋_GB2312" w:cs="仿宋_GB2312"/>
          <w:color w:val="auto"/>
          <w:sz w:val="32"/>
          <w:szCs w:val="32"/>
          <w:lang w:val="en-US"/>
        </w:rPr>
        <w:t>（类）</w:t>
      </w:r>
      <w:r>
        <w:rPr>
          <w:rFonts w:hint="eastAsia" w:ascii="仿宋_GB2312" w:hAnsi="仿宋_GB2312" w:eastAsia="仿宋_GB2312" w:cs="仿宋_GB2312"/>
          <w:color w:val="auto"/>
          <w:sz w:val="32"/>
          <w:szCs w:val="32"/>
          <w:lang w:val="en-US" w:eastAsia="zh-CN"/>
        </w:rPr>
        <w:t>城乡社区管理事务</w:t>
      </w:r>
      <w:r>
        <w:rPr>
          <w:rFonts w:hint="eastAsia" w:ascii="仿宋_GB2312" w:hAnsi="仿宋_GB2312" w:eastAsia="仿宋_GB2312" w:cs="仿宋_GB2312"/>
          <w:color w:val="auto"/>
          <w:sz w:val="32"/>
          <w:szCs w:val="32"/>
          <w:lang w:val="en-US"/>
        </w:rPr>
        <w:t>（款）</w:t>
      </w:r>
      <w:r>
        <w:rPr>
          <w:rFonts w:hint="eastAsia" w:ascii="仿宋_GB2312" w:hAnsi="仿宋_GB2312" w:eastAsia="仿宋_GB2312" w:cs="仿宋_GB2312"/>
          <w:color w:val="auto"/>
          <w:sz w:val="32"/>
          <w:szCs w:val="32"/>
          <w:lang w:val="en-US" w:eastAsia="zh-CN"/>
        </w:rPr>
        <w:t>机关服务</w:t>
      </w:r>
      <w:r>
        <w:rPr>
          <w:rFonts w:hint="eastAsia" w:ascii="仿宋_GB2312" w:hAnsi="仿宋_GB2312" w:eastAsia="仿宋_GB2312" w:cs="仿宋_GB2312"/>
          <w:color w:val="auto"/>
          <w:sz w:val="32"/>
          <w:szCs w:val="32"/>
          <w:lang w:val="en-US"/>
        </w:rPr>
        <w:t>（项）:20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164.1</w:t>
      </w:r>
      <w:r>
        <w:rPr>
          <w:rFonts w:hint="eastAsia" w:ascii="仿宋_GB2312" w:hAnsi="仿宋_GB2312" w:eastAsia="仿宋_GB2312" w:cs="仿宋_GB2312"/>
          <w:color w:val="auto"/>
          <w:sz w:val="32"/>
          <w:szCs w:val="32"/>
          <w:lang w:val="en-US"/>
        </w:rPr>
        <w:t>万元，主要用于</w:t>
      </w:r>
      <w:r>
        <w:rPr>
          <w:rFonts w:hint="eastAsia" w:ascii="仿宋_GB2312" w:hAnsi="仿宋_GB2312" w:eastAsia="仿宋_GB2312" w:cs="仿宋_GB2312"/>
          <w:color w:val="auto"/>
          <w:sz w:val="32"/>
          <w:szCs w:val="32"/>
          <w:lang w:val="en-US" w:eastAsia="zh-CN"/>
        </w:rPr>
        <w:t>：下属事业单位人员经费及公用经费。</w:t>
      </w:r>
    </w:p>
    <w:p>
      <w:pPr>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8.城乡社区支出</w:t>
      </w:r>
      <w:r>
        <w:rPr>
          <w:rFonts w:hint="eastAsia" w:ascii="仿宋_GB2312" w:hAnsi="仿宋_GB2312" w:eastAsia="仿宋_GB2312" w:cs="仿宋_GB2312"/>
          <w:color w:val="auto"/>
          <w:sz w:val="32"/>
          <w:szCs w:val="32"/>
          <w:lang w:val="en-US"/>
        </w:rPr>
        <w:t>（类）</w:t>
      </w:r>
      <w:r>
        <w:rPr>
          <w:rFonts w:hint="eastAsia" w:ascii="仿宋_GB2312" w:hAnsi="仿宋_GB2312" w:eastAsia="仿宋_GB2312" w:cs="仿宋_GB2312"/>
          <w:color w:val="auto"/>
          <w:sz w:val="32"/>
          <w:szCs w:val="32"/>
          <w:lang w:val="en-US" w:eastAsia="zh-CN"/>
        </w:rPr>
        <w:t>城乡社区环境卫生</w:t>
      </w:r>
      <w:r>
        <w:rPr>
          <w:rFonts w:hint="eastAsia" w:ascii="仿宋_GB2312" w:hAnsi="仿宋_GB2312" w:eastAsia="仿宋_GB2312" w:cs="仿宋_GB2312"/>
          <w:color w:val="auto"/>
          <w:sz w:val="32"/>
          <w:szCs w:val="32"/>
          <w:lang w:val="en-US"/>
        </w:rPr>
        <w:t>（款）</w:t>
      </w:r>
      <w:r>
        <w:rPr>
          <w:rFonts w:hint="eastAsia" w:ascii="仿宋_GB2312" w:hAnsi="仿宋_GB2312" w:eastAsia="仿宋_GB2312" w:cs="仿宋_GB2312"/>
          <w:color w:val="auto"/>
          <w:sz w:val="32"/>
          <w:szCs w:val="32"/>
          <w:lang w:val="en-US" w:eastAsia="zh-CN"/>
        </w:rPr>
        <w:t>城乡社区环境卫生</w:t>
      </w:r>
      <w:r>
        <w:rPr>
          <w:rFonts w:hint="eastAsia" w:ascii="仿宋_GB2312" w:hAnsi="仿宋_GB2312" w:eastAsia="仿宋_GB2312" w:cs="仿宋_GB2312"/>
          <w:color w:val="auto"/>
          <w:sz w:val="32"/>
          <w:szCs w:val="32"/>
          <w:lang w:val="en-US"/>
        </w:rPr>
        <w:t>（项）:20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163</w:t>
      </w:r>
      <w:r>
        <w:rPr>
          <w:rFonts w:hint="eastAsia" w:ascii="仿宋_GB2312" w:hAnsi="仿宋_GB2312" w:eastAsia="仿宋_GB2312" w:cs="仿宋_GB2312"/>
          <w:color w:val="auto"/>
          <w:sz w:val="32"/>
          <w:szCs w:val="32"/>
          <w:lang w:val="en-US"/>
        </w:rPr>
        <w:t>万元，主要用于</w:t>
      </w:r>
      <w:r>
        <w:rPr>
          <w:rFonts w:hint="eastAsia" w:ascii="仿宋_GB2312" w:hAnsi="仿宋_GB2312" w:eastAsia="仿宋_GB2312" w:cs="仿宋_GB2312"/>
          <w:color w:val="auto"/>
          <w:sz w:val="32"/>
          <w:szCs w:val="32"/>
          <w:lang w:val="en-US" w:eastAsia="zh-CN"/>
        </w:rPr>
        <w:t>：市政照明电费、水费及协管人员工资支出。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rPr>
        <w:t>.住房保障（类）住房改革支出（款）住房公积金（项）:20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48.7</w:t>
      </w:r>
      <w:r>
        <w:rPr>
          <w:rFonts w:hint="eastAsia" w:ascii="仿宋_GB2312" w:hAnsi="仿宋_GB2312" w:eastAsia="仿宋_GB2312" w:cs="仿宋_GB2312"/>
          <w:color w:val="auto"/>
          <w:sz w:val="32"/>
          <w:szCs w:val="32"/>
          <w:lang w:val="en-US"/>
        </w:rPr>
        <w:t xml:space="preserve">万元，主要用于：部门按人力资源和社会保障部、财政部规定的基本工资和津贴补贴以及规定比例为职工缴纳的住房公积金支出。 </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六、一般公共预算基本支出情况说明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年一般公共预算基本支出</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万元，其中：</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人员经费</w:t>
      </w:r>
      <w:r>
        <w:rPr>
          <w:rFonts w:hint="eastAsia" w:ascii="仿宋_GB2312" w:hAnsi="仿宋_GB2312" w:eastAsia="仿宋_GB2312" w:cs="仿宋_GB2312"/>
          <w:color w:val="auto"/>
          <w:sz w:val="32"/>
          <w:szCs w:val="32"/>
          <w:lang w:val="en-US" w:eastAsia="zh-CN"/>
        </w:rPr>
        <w:t>542.25</w:t>
      </w:r>
      <w:r>
        <w:rPr>
          <w:rFonts w:hint="eastAsia" w:ascii="仿宋_GB2312" w:hAnsi="仿宋_GB2312" w:eastAsia="仿宋_GB2312" w:cs="仿宋_GB2312"/>
          <w:color w:val="auto"/>
          <w:sz w:val="32"/>
          <w:szCs w:val="32"/>
          <w:lang w:val="en-US"/>
        </w:rPr>
        <w:t>万元，主要包括：基本工资、津贴补贴、奖金、社会保险缴费、绩效工资、机关事业单位基本养老保险缴费、职业年金缴费、其他工资福利支出、住房公积金、其他对个人和家庭的补助支出。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公用经费</w:t>
      </w:r>
      <w:r>
        <w:rPr>
          <w:rFonts w:hint="eastAsia" w:ascii="仿宋_GB2312" w:hAnsi="仿宋_GB2312" w:eastAsia="仿宋_GB2312" w:cs="仿宋_GB2312"/>
          <w:color w:val="auto"/>
          <w:sz w:val="32"/>
          <w:szCs w:val="32"/>
          <w:lang w:val="en-US" w:eastAsia="zh-CN"/>
        </w:rPr>
        <w:t>17.37</w:t>
      </w:r>
      <w:r>
        <w:rPr>
          <w:rFonts w:hint="eastAsia" w:ascii="仿宋_GB2312" w:hAnsi="仿宋_GB2312" w:eastAsia="仿宋_GB2312" w:cs="仿宋_GB2312"/>
          <w:color w:val="auto"/>
          <w:sz w:val="32"/>
          <w:szCs w:val="32"/>
          <w:lang w:val="en-US"/>
        </w:rPr>
        <w:t>万元，主要包括：办公费、水费、电费、邮电费、差旅费、其他交通费。</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七、“三公”经费财政拨款预算安排情况说明</w:t>
      </w:r>
    </w:p>
    <w:p>
      <w:pPr>
        <w:ind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年“三公”经费财政拨款预算数</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万元，其中：因公出国（境）经费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万元，公务接待费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万元，公务用车购置及运行维护费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w:t>
      </w:r>
    </w:p>
    <w:p>
      <w:pPr>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一、因公出国（境）经费</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val="en-US"/>
        </w:rPr>
        <w:t>年预算没有安排出国出境。</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二、公务接待费</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val="en-US"/>
        </w:rPr>
        <w:t>年预算安排 0 万元，无公务接待费。严格按照厉行节俭要求。</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三、公务用车购置及运行维护费</w:t>
      </w:r>
    </w:p>
    <w:p>
      <w:pPr>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val="en-US"/>
        </w:rPr>
        <w:t xml:space="preserve">年预算安排 </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w:t>
      </w:r>
    </w:p>
    <w:p>
      <w:pPr>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lang w:val="en-US"/>
        </w:rPr>
        <w:t>年没安排公务用车购置费。</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八、政府性基金预算支出情况说明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年没有使用政府性基金预算拨款安排的支出。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九、其他重要事项的情况说明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（一）机关运行经费</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金川县</w:t>
      </w:r>
      <w:r>
        <w:rPr>
          <w:rFonts w:hint="eastAsia" w:ascii="仿宋_GB2312" w:hAnsi="仿宋_GB2312" w:eastAsia="仿宋_GB2312" w:cs="仿宋_GB2312"/>
          <w:color w:val="auto"/>
          <w:sz w:val="32"/>
          <w:szCs w:val="32"/>
          <w:lang w:val="en-US" w:eastAsia="zh-CN"/>
        </w:rPr>
        <w:t>市政公用事业服务中心</w:t>
      </w:r>
      <w:r>
        <w:rPr>
          <w:rFonts w:hint="eastAsia" w:ascii="仿宋_GB2312" w:hAnsi="仿宋_GB2312" w:eastAsia="仿宋_GB2312" w:cs="仿宋_GB2312"/>
          <w:color w:val="auto"/>
          <w:sz w:val="32"/>
          <w:szCs w:val="32"/>
        </w:rPr>
        <w:t>机关运行经费财政拨款预算为</w:t>
      </w:r>
      <w:r>
        <w:rPr>
          <w:rFonts w:hint="eastAsia" w:ascii="仿宋_GB2312" w:hAnsi="仿宋_GB2312" w:eastAsia="仿宋_GB2312" w:cs="仿宋_GB2312"/>
          <w:color w:val="auto"/>
          <w:sz w:val="32"/>
          <w:szCs w:val="32"/>
          <w:lang w:val="en-US" w:eastAsia="zh-CN"/>
        </w:rPr>
        <w:t>17.37</w:t>
      </w:r>
      <w:r>
        <w:rPr>
          <w:rFonts w:hint="eastAsia" w:ascii="仿宋_GB2312" w:hAnsi="仿宋_GB2312" w:eastAsia="仿宋_GB2312" w:cs="仿宋_GB2312"/>
          <w:color w:val="auto"/>
          <w:sz w:val="32"/>
          <w:szCs w:val="32"/>
        </w:rPr>
        <w:t>万元，比20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年预算</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2.37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13.64</w:t>
      </w:r>
      <w:r>
        <w:rPr>
          <w:rFonts w:hint="eastAsia" w:ascii="仿宋_GB2312" w:hAnsi="仿宋_GB2312" w:eastAsia="仿宋_GB2312" w:cs="仿宋_GB2312"/>
          <w:color w:val="auto"/>
          <w:sz w:val="32"/>
          <w:szCs w:val="32"/>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（二）政府采购情况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金川县</w:t>
      </w:r>
      <w:r>
        <w:rPr>
          <w:rFonts w:hint="eastAsia" w:ascii="仿宋_GB2312" w:hAnsi="仿宋_GB2312" w:eastAsia="仿宋_GB2312" w:cs="仿宋_GB2312"/>
          <w:sz w:val="32"/>
          <w:szCs w:val="32"/>
          <w:lang w:val="en-US" w:eastAsia="zh-CN"/>
        </w:rPr>
        <w:t>市政公用事业服务中心</w:t>
      </w:r>
      <w:r>
        <w:rPr>
          <w:rFonts w:hint="eastAsia" w:ascii="仿宋_GB2312" w:hAnsi="仿宋_GB2312" w:eastAsia="仿宋_GB2312" w:cs="仿宋_GB2312"/>
          <w:sz w:val="32"/>
          <w:szCs w:val="32"/>
        </w:rPr>
        <w:t>安排政府采购预算0万元。</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（三）国有资产占有使用情况</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rPr>
        <w:t>截至20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年底，</w:t>
      </w:r>
      <w:r>
        <w:rPr>
          <w:rFonts w:hint="eastAsia" w:ascii="仿宋_GB2312" w:hAnsi="仿宋_GB2312" w:eastAsia="仿宋_GB2312" w:cs="仿宋_GB2312"/>
          <w:color w:val="auto"/>
          <w:sz w:val="32"/>
          <w:szCs w:val="32"/>
          <w:lang w:eastAsia="zh-CN"/>
        </w:rPr>
        <w:t>金川县</w:t>
      </w:r>
      <w:r>
        <w:rPr>
          <w:rFonts w:hint="eastAsia" w:ascii="仿宋_GB2312" w:hAnsi="仿宋_GB2312" w:eastAsia="仿宋_GB2312" w:cs="仿宋_GB2312"/>
          <w:color w:val="auto"/>
          <w:sz w:val="32"/>
          <w:szCs w:val="32"/>
          <w:lang w:val="en-US" w:eastAsia="zh-CN"/>
        </w:rPr>
        <w:t>市政公用事业服务中心</w:t>
      </w:r>
      <w:r>
        <w:rPr>
          <w:rFonts w:hint="eastAsia" w:ascii="仿宋_GB2312" w:hAnsi="仿宋_GB2312" w:eastAsia="仿宋_GB2312" w:cs="仿宋_GB2312"/>
          <w:color w:val="auto"/>
          <w:sz w:val="32"/>
          <w:szCs w:val="32"/>
        </w:rPr>
        <w:t>所属各预算单位共有车辆</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辆，其中：</w:t>
      </w:r>
      <w:r>
        <w:rPr>
          <w:rFonts w:hint="eastAsia" w:ascii="仿宋_GB2312" w:hAnsi="仿宋_GB2312" w:eastAsia="仿宋_GB2312" w:cs="仿宋_GB2312"/>
          <w:color w:val="auto"/>
          <w:sz w:val="32"/>
          <w:szCs w:val="32"/>
          <w:lang w:eastAsia="zh-CN"/>
        </w:rPr>
        <w:t>生产生活</w:t>
      </w:r>
      <w:r>
        <w:rPr>
          <w:rFonts w:hint="eastAsia" w:ascii="仿宋_GB2312" w:hAnsi="仿宋_GB2312" w:eastAsia="仿宋_GB2312" w:cs="仿宋_GB2312"/>
          <w:color w:val="auto"/>
          <w:sz w:val="32"/>
          <w:szCs w:val="32"/>
        </w:rPr>
        <w:t>用车</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辆，其他车型（环卫用车）</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辆。单位价值200万元以上大型设备0台（套）。</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年部门预算未安排购置车辆及单位价值200万元以上大型设备。</w:t>
      </w:r>
    </w:p>
    <w:p>
      <w:pPr>
        <w:rPr>
          <w:rFonts w:hint="eastAsia" w:ascii="仿宋_GB2312" w:hAnsi="仿宋_GB2312" w:eastAsia="仿宋_GB2312" w:cs="仿宋_GB2312"/>
          <w:color w:val="auto"/>
          <w:sz w:val="32"/>
          <w:szCs w:val="32"/>
          <w:lang w:val="en-US"/>
        </w:rPr>
      </w:pP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（四）绩效目标设置情况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val="en-US"/>
        </w:rPr>
        <w:t>年财政厅</w:t>
      </w:r>
      <w:r>
        <w:rPr>
          <w:rFonts w:hint="eastAsia" w:ascii="仿宋_GB2312" w:hAnsi="仿宋_GB2312" w:eastAsia="仿宋_GB2312" w:cs="仿宋_GB2312"/>
          <w:color w:val="auto"/>
          <w:sz w:val="32"/>
          <w:szCs w:val="32"/>
          <w:lang w:val="en-US" w:eastAsia="zh-CN"/>
        </w:rPr>
        <w:t>基本支出和项目支出</w:t>
      </w:r>
      <w:r>
        <w:rPr>
          <w:rFonts w:hint="eastAsia" w:ascii="仿宋_GB2312" w:hAnsi="仿宋_GB2312" w:eastAsia="仿宋_GB2312" w:cs="仿宋_GB2312"/>
          <w:color w:val="auto"/>
          <w:sz w:val="32"/>
          <w:szCs w:val="32"/>
          <w:lang w:val="en-US"/>
        </w:rPr>
        <w:t>均按要求实行绩效目标管理，涉及一般公共预算当年拨款</w:t>
      </w:r>
      <w:r>
        <w:rPr>
          <w:rFonts w:hint="eastAsia" w:ascii="仿宋_GB2312" w:hAnsi="仿宋_GB2312" w:eastAsia="仿宋_GB2312" w:cs="仿宋_GB2312"/>
          <w:color w:val="auto"/>
          <w:sz w:val="32"/>
          <w:szCs w:val="32"/>
          <w:lang w:val="en-US" w:eastAsia="zh-CN"/>
        </w:rPr>
        <w:t>722.62</w:t>
      </w:r>
      <w:r>
        <w:rPr>
          <w:rFonts w:hint="eastAsia" w:ascii="仿宋_GB2312" w:hAnsi="仿宋_GB2312" w:eastAsia="仿宋_GB2312" w:cs="仿宋_GB2312"/>
          <w:color w:val="auto"/>
          <w:sz w:val="32"/>
          <w:szCs w:val="32"/>
          <w:lang w:val="en-US"/>
        </w:rPr>
        <w:t>万元。</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b/>
          <w:bCs/>
          <w:color w:val="auto"/>
          <w:sz w:val="32"/>
          <w:szCs w:val="32"/>
          <w:lang w:val="en-US"/>
        </w:rPr>
        <w:t>　十、名词解释</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1.一般公共预算拨款收入：指</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lang w:val="en-US"/>
        </w:rPr>
        <w:t>级财政当年拨付的资金。</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2.上年结转：指以前年度尚未完成，结转到本年仍按原规定用途继续使用的资金。</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rPr>
        <w:t>.社会保障和就业（类）行政事业单位</w:t>
      </w:r>
      <w:r>
        <w:rPr>
          <w:rFonts w:hint="eastAsia" w:ascii="仿宋_GB2312" w:hAnsi="仿宋_GB2312" w:eastAsia="仿宋_GB2312" w:cs="仿宋_GB2312"/>
          <w:color w:val="auto"/>
          <w:sz w:val="32"/>
          <w:szCs w:val="32"/>
          <w:lang w:val="en-US" w:eastAsia="zh-CN"/>
        </w:rPr>
        <w:t>养老保险支出</w:t>
      </w:r>
      <w:r>
        <w:rPr>
          <w:rFonts w:hint="eastAsia" w:ascii="仿宋_GB2312" w:hAnsi="仿宋_GB2312" w:eastAsia="仿宋_GB2312" w:cs="仿宋_GB2312"/>
          <w:color w:val="auto"/>
          <w:sz w:val="32"/>
          <w:szCs w:val="32"/>
          <w:lang w:val="en-US"/>
        </w:rPr>
        <w:t>（款）行政事业单位</w:t>
      </w:r>
      <w:r>
        <w:rPr>
          <w:rFonts w:hint="eastAsia" w:ascii="仿宋_GB2312" w:hAnsi="仿宋_GB2312" w:eastAsia="仿宋_GB2312" w:cs="仿宋_GB2312"/>
          <w:color w:val="auto"/>
          <w:sz w:val="32"/>
          <w:szCs w:val="32"/>
          <w:lang w:val="en-US" w:eastAsia="zh-CN"/>
        </w:rPr>
        <w:t>养老保险缴费支出</w:t>
      </w:r>
      <w:r>
        <w:rPr>
          <w:rFonts w:hint="eastAsia" w:ascii="仿宋_GB2312" w:hAnsi="仿宋_GB2312" w:eastAsia="仿宋_GB2312" w:cs="仿宋_GB2312"/>
          <w:color w:val="auto"/>
          <w:sz w:val="32"/>
          <w:szCs w:val="32"/>
          <w:lang w:val="en-US"/>
        </w:rPr>
        <w:t>（项）:指部门实施养老保险制度由单位缴纳的职业年金的支出。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rPr>
        <w:t>.社会保障和就业（类）行政事业单位</w:t>
      </w:r>
      <w:r>
        <w:rPr>
          <w:rFonts w:hint="eastAsia" w:ascii="仿宋_GB2312" w:hAnsi="仿宋_GB2312" w:eastAsia="仿宋_GB2312" w:cs="仿宋_GB2312"/>
          <w:color w:val="auto"/>
          <w:sz w:val="32"/>
          <w:szCs w:val="32"/>
          <w:lang w:val="en-US" w:eastAsia="zh-CN"/>
        </w:rPr>
        <w:t>养老保险支出</w:t>
      </w:r>
      <w:r>
        <w:rPr>
          <w:rFonts w:hint="eastAsia" w:ascii="仿宋_GB2312" w:hAnsi="仿宋_GB2312" w:eastAsia="仿宋_GB2312" w:cs="仿宋_GB2312"/>
          <w:color w:val="auto"/>
          <w:sz w:val="32"/>
          <w:szCs w:val="32"/>
          <w:lang w:val="en-US"/>
        </w:rPr>
        <w:t>（款）机关事业单位职业年金缴费支出（项）:指部门实施养老保险制度由单位缴纳的职业年金的支出。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rPr>
        <w:t>.医疗卫生与计划生育（类）行政事业单位医疗（款）行政单位医疗（项）:用于缴纳单位基本医疗保险支出。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4.医疗卫生与计划生育（类）行政事业单位医疗（款）事业单位医疗（项）:</w:t>
      </w:r>
      <w:r>
        <w:rPr>
          <w:rFonts w:hint="eastAsia" w:ascii="仿宋_GB2312" w:hAnsi="仿宋_GB2312" w:eastAsia="仿宋_GB2312" w:cs="仿宋_GB2312"/>
          <w:color w:val="auto"/>
          <w:sz w:val="32"/>
          <w:szCs w:val="32"/>
          <w:lang w:val="en-US" w:eastAsia="zh-CN"/>
        </w:rPr>
        <w:t>指</w:t>
      </w:r>
      <w:r>
        <w:rPr>
          <w:rFonts w:hint="eastAsia" w:ascii="仿宋_GB2312" w:hAnsi="仿宋_GB2312" w:eastAsia="仿宋_GB2312" w:cs="仿宋_GB2312"/>
          <w:color w:val="auto"/>
          <w:sz w:val="32"/>
          <w:szCs w:val="32"/>
          <w:lang w:val="en-US"/>
        </w:rPr>
        <w:t>部门下属事业单位基本医疗保险缴费支出。</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5.医疗卫生与计划生育（类）行政事业单位医疗（款）公务员医疗补助（项）:</w:t>
      </w:r>
      <w:r>
        <w:rPr>
          <w:rFonts w:hint="eastAsia" w:ascii="仿宋_GB2312" w:hAnsi="仿宋_GB2312" w:eastAsia="仿宋_GB2312" w:cs="仿宋_GB2312"/>
          <w:color w:val="auto"/>
          <w:sz w:val="32"/>
          <w:szCs w:val="32"/>
          <w:lang w:val="en-US" w:eastAsia="zh-CN"/>
        </w:rPr>
        <w:t>指</w:t>
      </w:r>
      <w:r>
        <w:rPr>
          <w:rFonts w:hint="eastAsia" w:ascii="仿宋_GB2312" w:hAnsi="仿宋_GB2312" w:eastAsia="仿宋_GB2312" w:cs="仿宋_GB2312"/>
          <w:color w:val="auto"/>
          <w:sz w:val="32"/>
          <w:szCs w:val="32"/>
          <w:lang w:val="en-US"/>
        </w:rPr>
        <w:t>缴纳公务员医疗补助支出。</w:t>
      </w:r>
    </w:p>
    <w:p>
      <w:pPr>
        <w:ind w:firstLine="645"/>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6.城乡社区支出</w:t>
      </w:r>
      <w:r>
        <w:rPr>
          <w:rFonts w:hint="eastAsia" w:ascii="仿宋_GB2312" w:hAnsi="仿宋_GB2312" w:eastAsia="仿宋_GB2312" w:cs="仿宋_GB2312"/>
          <w:color w:val="auto"/>
          <w:sz w:val="32"/>
          <w:szCs w:val="32"/>
          <w:lang w:val="en-US"/>
        </w:rPr>
        <w:t>（类）</w:t>
      </w:r>
      <w:r>
        <w:rPr>
          <w:rFonts w:hint="eastAsia" w:ascii="仿宋_GB2312" w:hAnsi="仿宋_GB2312" w:eastAsia="仿宋_GB2312" w:cs="仿宋_GB2312"/>
          <w:color w:val="auto"/>
          <w:sz w:val="32"/>
          <w:szCs w:val="32"/>
          <w:lang w:val="en-US" w:eastAsia="zh-CN"/>
        </w:rPr>
        <w:t>城乡社区管理事务</w:t>
      </w:r>
      <w:r>
        <w:rPr>
          <w:rFonts w:hint="eastAsia" w:ascii="仿宋_GB2312" w:hAnsi="仿宋_GB2312" w:eastAsia="仿宋_GB2312" w:cs="仿宋_GB2312"/>
          <w:color w:val="auto"/>
          <w:sz w:val="32"/>
          <w:szCs w:val="32"/>
          <w:lang w:val="en-US"/>
        </w:rPr>
        <w:t>（款）</w:t>
      </w:r>
      <w:r>
        <w:rPr>
          <w:rFonts w:hint="eastAsia" w:ascii="仿宋_GB2312" w:hAnsi="仿宋_GB2312" w:eastAsia="仿宋_GB2312" w:cs="仿宋_GB2312"/>
          <w:color w:val="auto"/>
          <w:sz w:val="32"/>
          <w:szCs w:val="32"/>
          <w:lang w:val="en-US" w:eastAsia="zh-CN"/>
        </w:rPr>
        <w:t>行政运行</w:t>
      </w:r>
      <w:r>
        <w:rPr>
          <w:rFonts w:hint="eastAsia" w:ascii="仿宋_GB2312" w:hAnsi="仿宋_GB2312" w:eastAsia="仿宋_GB2312" w:cs="仿宋_GB2312"/>
          <w:color w:val="auto"/>
          <w:sz w:val="32"/>
          <w:szCs w:val="32"/>
          <w:lang w:val="en-US"/>
        </w:rPr>
        <w:t>（项）:</w:t>
      </w:r>
      <w:r>
        <w:rPr>
          <w:rFonts w:hint="eastAsia" w:ascii="仿宋_GB2312" w:hAnsi="仿宋_GB2312" w:eastAsia="仿宋_GB2312" w:cs="仿宋_GB2312"/>
          <w:sz w:val="32"/>
          <w:szCs w:val="32"/>
        </w:rPr>
        <w:t>指正常运转的基本支出，包括基本工资、津贴补贴、独生子女奖励金等人员经费以及办公费、印刷费、水电费等日常公用经费。</w:t>
      </w:r>
    </w:p>
    <w:p>
      <w:pPr>
        <w:ind w:firstLine="645"/>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7.城乡社区支出</w:t>
      </w:r>
      <w:r>
        <w:rPr>
          <w:rFonts w:hint="eastAsia" w:ascii="仿宋_GB2312" w:hAnsi="仿宋_GB2312" w:eastAsia="仿宋_GB2312" w:cs="仿宋_GB2312"/>
          <w:color w:val="auto"/>
          <w:sz w:val="32"/>
          <w:szCs w:val="32"/>
          <w:lang w:val="en-US"/>
        </w:rPr>
        <w:t>（类）</w:t>
      </w:r>
      <w:r>
        <w:rPr>
          <w:rFonts w:hint="eastAsia" w:ascii="仿宋_GB2312" w:hAnsi="仿宋_GB2312" w:eastAsia="仿宋_GB2312" w:cs="仿宋_GB2312"/>
          <w:color w:val="auto"/>
          <w:sz w:val="32"/>
          <w:szCs w:val="32"/>
          <w:lang w:val="en-US" w:eastAsia="zh-CN"/>
        </w:rPr>
        <w:t>城乡社区管理事务</w:t>
      </w:r>
      <w:r>
        <w:rPr>
          <w:rFonts w:hint="eastAsia" w:ascii="仿宋_GB2312" w:hAnsi="仿宋_GB2312" w:eastAsia="仿宋_GB2312" w:cs="仿宋_GB2312"/>
          <w:color w:val="auto"/>
          <w:sz w:val="32"/>
          <w:szCs w:val="32"/>
          <w:lang w:val="en-US"/>
        </w:rPr>
        <w:t>（款）</w:t>
      </w:r>
      <w:r>
        <w:rPr>
          <w:rFonts w:hint="eastAsia" w:ascii="仿宋_GB2312" w:hAnsi="仿宋_GB2312" w:eastAsia="仿宋_GB2312" w:cs="仿宋_GB2312"/>
          <w:color w:val="auto"/>
          <w:sz w:val="32"/>
          <w:szCs w:val="32"/>
          <w:lang w:val="en-US" w:eastAsia="zh-CN"/>
        </w:rPr>
        <w:t>机关服务</w:t>
      </w:r>
      <w:r>
        <w:rPr>
          <w:rFonts w:hint="eastAsia" w:ascii="仿宋_GB2312" w:hAnsi="仿宋_GB2312" w:eastAsia="仿宋_GB2312" w:cs="仿宋_GB2312"/>
          <w:color w:val="auto"/>
          <w:sz w:val="32"/>
          <w:szCs w:val="32"/>
          <w:lang w:val="en-US"/>
        </w:rPr>
        <w:t>（项）:</w:t>
      </w:r>
      <w:r>
        <w:rPr>
          <w:rFonts w:hint="eastAsia" w:ascii="仿宋_GB2312" w:hAnsi="仿宋_GB2312" w:eastAsia="仿宋_GB2312" w:cs="仿宋_GB2312"/>
          <w:sz w:val="32"/>
          <w:szCs w:val="32"/>
        </w:rPr>
        <w:t>指正常运转的基本支出，包括基本工资、津贴补贴、独生子女奖励金等人员经费以及办公费、印刷费、水电费等日常公用经费。</w:t>
      </w:r>
      <w:r>
        <w:rPr>
          <w:rFonts w:hint="eastAsia" w:ascii="仿宋_GB2312" w:hAnsi="仿宋_GB2312" w:eastAsia="仿宋_GB2312" w:cs="仿宋_GB2312"/>
          <w:color w:val="auto"/>
          <w:sz w:val="32"/>
          <w:szCs w:val="32"/>
          <w:lang w:val="en-US" w:eastAsia="zh-CN"/>
        </w:rPr>
        <w:t>。</w:t>
      </w:r>
    </w:p>
    <w:p>
      <w:pPr>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8.城乡社区支出</w:t>
      </w:r>
      <w:r>
        <w:rPr>
          <w:rFonts w:hint="eastAsia" w:ascii="仿宋_GB2312" w:hAnsi="仿宋_GB2312" w:eastAsia="仿宋_GB2312" w:cs="仿宋_GB2312"/>
          <w:color w:val="auto"/>
          <w:sz w:val="32"/>
          <w:szCs w:val="32"/>
          <w:lang w:val="en-US"/>
        </w:rPr>
        <w:t>（类）</w:t>
      </w:r>
      <w:r>
        <w:rPr>
          <w:rFonts w:hint="eastAsia" w:ascii="仿宋_GB2312" w:hAnsi="仿宋_GB2312" w:eastAsia="仿宋_GB2312" w:cs="仿宋_GB2312"/>
          <w:color w:val="auto"/>
          <w:sz w:val="32"/>
          <w:szCs w:val="32"/>
          <w:lang w:val="en-US" w:eastAsia="zh-CN"/>
        </w:rPr>
        <w:t>城乡社区环境卫生</w:t>
      </w:r>
      <w:r>
        <w:rPr>
          <w:rFonts w:hint="eastAsia" w:ascii="仿宋_GB2312" w:hAnsi="仿宋_GB2312" w:eastAsia="仿宋_GB2312" w:cs="仿宋_GB2312"/>
          <w:color w:val="auto"/>
          <w:sz w:val="32"/>
          <w:szCs w:val="32"/>
          <w:lang w:val="en-US"/>
        </w:rPr>
        <w:t>（款）</w:t>
      </w:r>
      <w:r>
        <w:rPr>
          <w:rFonts w:hint="eastAsia" w:ascii="仿宋_GB2312" w:hAnsi="仿宋_GB2312" w:eastAsia="仿宋_GB2312" w:cs="仿宋_GB2312"/>
          <w:color w:val="auto"/>
          <w:sz w:val="32"/>
          <w:szCs w:val="32"/>
          <w:lang w:val="en-US" w:eastAsia="zh-CN"/>
        </w:rPr>
        <w:t>城乡社区环境卫生</w:t>
      </w:r>
      <w:r>
        <w:rPr>
          <w:rFonts w:hint="eastAsia" w:ascii="仿宋_GB2312" w:hAnsi="仿宋_GB2312" w:eastAsia="仿宋_GB2312" w:cs="仿宋_GB2312"/>
          <w:color w:val="auto"/>
          <w:sz w:val="32"/>
          <w:szCs w:val="32"/>
          <w:lang w:val="en-US"/>
        </w:rPr>
        <w:t>（项）:</w:t>
      </w:r>
      <w:r>
        <w:rPr>
          <w:rFonts w:hint="eastAsia" w:ascii="仿宋_GB2312" w:hAnsi="仿宋_GB2312" w:eastAsia="仿宋_GB2312" w:cs="仿宋_GB2312"/>
          <w:color w:val="auto"/>
          <w:sz w:val="32"/>
          <w:szCs w:val="32"/>
          <w:lang w:val="en-US" w:eastAsia="zh-CN"/>
        </w:rPr>
        <w:t>市政照明电费、水费及协管人员工资支出。</w:t>
      </w:r>
    </w:p>
    <w:p>
      <w:pPr>
        <w:ind w:firstLine="64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rPr>
        <w:t>.住房保障（类）住房改革支出（款）住房公积金（项）:指按照《住房公积金管理条例》的规定，由单位及其在职职工缴存的长期住房储金。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val="en-US"/>
        </w:rPr>
        <w:t>.基本支出：指为保证机构正常运转，完成日常工作任务而发生的人员支出和公用支出。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rPr>
        <w:t>.项目支出：指在基本支出之外为完成特定行政任务和事业发展目标所发生的支出。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lang w:val="en-US"/>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14</w:t>
      </w:r>
      <w:bookmarkStart w:id="0" w:name="_GoBack"/>
      <w:bookmarkEnd w:id="0"/>
      <w:r>
        <w:rPr>
          <w:rFonts w:hint="eastAsia" w:ascii="仿宋_GB2312" w:hAnsi="仿宋_GB2312" w:eastAsia="仿宋_GB2312" w:cs="仿宋_GB2312"/>
          <w:color w:val="auto"/>
          <w:sz w:val="32"/>
          <w:szCs w:val="32"/>
          <w:lang w:val="en-US"/>
        </w:rPr>
        <w:t>.机关运行经费：为保障行政单位（包含参照公务员法管理的事业单位）运行用于购买货物和服务的各项资金。包括办公及印刷费、邮电费、差旅费、会议费一般设备购置费等费用开支。</w:t>
      </w:r>
    </w:p>
    <w:p>
      <w:pPr>
        <w:rPr>
          <w:rFonts w:hint="eastAsia" w:ascii="仿宋_GB2312" w:hAnsi="仿宋_GB2312" w:eastAsia="仿宋_GB2312" w:cs="仿宋_GB2312"/>
          <w:color w:val="auto"/>
          <w:sz w:val="32"/>
          <w:szCs w:val="32"/>
          <w:lang w:val="en-US"/>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T Extra">
    <w:panose1 w:val="05050102010205020202"/>
    <w:charset w:val="02"/>
    <w:family w:val="roman"/>
    <w:pitch w:val="default"/>
    <w:sig w:usb0="8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40" w:lineRule="exact"/>
      <w:jc w:val="center"/>
    </w:pPr>
    <w:r>
      <w:rPr>
        <w:rFonts w:hint="eastAsia" w:ascii="Arial" w:hAnsi="Arial" w:eastAsia="Arial"/>
        <w:color w:val="000000"/>
        <w:sz w:val="20"/>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20" w:lineRule="exact"/>
      <w:jc w:val="center"/>
    </w:pPr>
    <w:r>
      <w:rPr>
        <w:rFonts w:hint="eastAsia" w:ascii="Arial" w:hAnsi="Arial" w:eastAsia="Arial"/>
        <w:color w:val="000000"/>
        <w:sz w:val="20"/>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31684"/>
    <w:rsid w:val="095F201B"/>
    <w:rsid w:val="14E208D3"/>
    <w:rsid w:val="36294F7C"/>
    <w:rsid w:val="3D1A7029"/>
    <w:rsid w:val="433358B2"/>
    <w:rsid w:val="571C0D16"/>
    <w:rsid w:val="69081D44"/>
    <w:rsid w:val="6BF00EA5"/>
    <w:rsid w:val="738F4C25"/>
    <w:rsid w:val="7F8366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MT Extra" w:hAnsi="MT Extra" w:eastAsia="宋体" w:cs="MT Extra"/>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character" w:default="1" w:styleId="5">
    <w:name w:val="Default Paragraph Font"/>
    <w:uiPriority w:val="0"/>
  </w:style>
  <w:style w:type="table" w:default="1" w:styleId="4">
    <w:name w:val="Normal Table"/>
    <w:unhideWhenUsed/>
    <w:uiPriority w:val="99"/>
    <w:tblPr>
      <w:tblStyle w:val="4"/>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1</TotalTime>
  <ScaleCrop>false</ScaleCrop>
  <LinksUpToDate>false</LinksUpToDate>
  <CharactersWithSpaces>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2017-12-01T08:39:43Z</dcterms:created>
  <dc:creator>Administrator</dc:creator>
  <cp:lastModifiedBy>lenovo</cp:lastModifiedBy>
  <dcterms:modified xsi:type="dcterms:W3CDTF">2023-02-09T09:09:40Z</dcterms:modified>
  <dc:title>四川省财政厅</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