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  <w:bookmarkStart w:id="0" w:name="_GoBack"/>
      <w:bookmarkEnd w:id="0"/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2023年，我单位部门预算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722.62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万元 ，均严格按绩效管理要求实现项目绩效目标管理，其中重点项目预算3个，现将情况说明如下：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完成了2023年本级部门预算整体绩效目标申报和3个重点项目预算绩效目标申报，并编报3个重点项目预算事前绩效评估报告。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宣传贯彻执行国家、省、州、县有关市政公用事业服务的法律、法规和政策；研究制定市政公用事业服务的中长期规划和年度计划；负责对临时占用城乡城市道路（含人行道）的行政监督管理；负责全县车场（库）、菜市场（以下简称“两场”）建设的中、长期规划布点并组织实施，研究拟订“两场”建设的配套政策；负责城乡城市户外广告总体规划实施的协调，定点设置的审查和监督管理；配合住建局开展其他涉及城市建设方面的工作；完成县委、县政府、县住房和城乡建设局交办的其他任务。对涉及城市公用事业服务的各项工作进行综合协调,配合县住建局开展对城乡市容环境、市政设施的行政事业性收费工作；负责数字化城市管理模式的组织、试点和实施工作；负责县城市政公共基础设施维修维护；受理居民有关城乡城市管理、城乡城市管理行政执法方面的来信来访和群众投诉。 </w:t>
      </w:r>
    </w:p>
    <w:p>
      <w:p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</w:t>
      </w:r>
      <w:r>
        <w:rPr>
          <w:rFonts w:ascii="宋体" w:eastAsia="宋体" w:cs="宋体"/>
          <w:sz w:val="24"/>
          <w:szCs w:val="24"/>
        </w:rPr>
        <w:t>市政水电费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市政照明、城镇光彩亮化工程、公共厕所用水、市政用水预计每月需水电费10万元全年共计120万元，通过该项目的实施美化、亮化了城市环境，方便了市民夜间出行及夜间道路安全，保障了公共厕所、市政的正常用水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pStyle w:val="18"/>
        <w:spacing w:line="560" w:lineRule="exact"/>
        <w:ind w:left="0" w:firstLineChars="200" w:firstLine="640"/>
        <w:jc w:val="center"/>
        <w:rPr>
          <w:rFonts w:ascii="仿宋_GB2312" w:eastAsia="仿宋_GB2312" w:hint="eastAsia"/>
        </w:rPr>
      </w:pPr>
      <w:r>
        <w:rPr>
          <w:rFonts w:ascii="仿宋" w:eastAsia="仿宋" w:cs="仿宋" w:hint="eastAsia"/>
          <w:b w:val="0"/>
          <w:bCs/>
          <w:szCs w:val="32"/>
          <w:lang w:eastAsia="zh-CN"/>
        </w:rPr>
        <w:t>市政水电费</w:t>
      </w:r>
      <w:r>
        <w:rPr>
          <w:rFonts w:ascii="仿宋_GB2312" w:eastAsia="仿宋_GB2312" w:hint="eastAsia"/>
        </w:rPr>
        <w:t>项目绩效目标表</w:t>
      </w:r>
    </w:p>
    <w:tbl>
      <w:tblPr>
        <w:tblpPr w:leftFromText="180" w:rightFromText="180" w:vertAnchor="text" w:horzAnchor="page" w:tblpX="1905" w:tblpY="112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>
        <w:trPr>
          <w:trHeight w:val="49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指标值</w:t>
            </w:r>
          </w:p>
        </w:tc>
      </w:tr>
      <w:tr>
        <w:trPr>
          <w:trHeight w:val="9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数量指标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保障</w:t>
            </w: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路灯用电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578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按时支付水电费率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100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质量指标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="0"/>
              <w:rPr>
                <w:rFonts w:ascii="仿宋" w:eastAsia="仿宋_GB2312" w:cs="仿宋" w:hAnsi="仿宋"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市政照明、光彩亮化工程亮灯</w:t>
            </w:r>
            <w:r>
              <w:rPr>
                <w:rFonts w:hint="eastAsia"/>
                <w:sz w:val="21"/>
                <w:szCs w:val="21"/>
                <w:lang w:eastAsia="zh-CN"/>
              </w:rPr>
              <w:t>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99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效益指标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社会效益指标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提升城市形象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优良中低差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满意度指标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服务对象满意度指标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群众满意度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98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每月需水电费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ind w:firstLineChars="200" w:firstLine="640"/>
        <w:rPr>
          <w:rFonts w:ascii="仿宋" w:eastAsia="仿宋" w:cs="仿宋" w:hint="eastAsia"/>
          <w:b w:val="0"/>
          <w:bCs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</w:t>
      </w:r>
      <w:r>
        <w:rPr>
          <w:rFonts w:ascii="仿宋" w:eastAsia="仿宋" w:cs="仿宋" w:hint="eastAsia"/>
          <w:b w:val="0"/>
          <w:bCs/>
          <w:sz w:val="32"/>
          <w:szCs w:val="32"/>
        </w:rPr>
        <w:t>民贸市场租赁费用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租赁民贸市场（老政府院坝改造的摊区）面积900平方米，摊位75个，租期2021年12月14日至2022年12月14日。租金为13万元，进一步规范和加强农副产品自产自销经营活动的管理，解决农副产品自产自销“沿街为市”的乱象，市街面更加整洁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pStyle w:val="18"/>
        <w:spacing w:line="560" w:lineRule="exact"/>
        <w:ind w:left="0" w:firstLineChars="200" w:firstLine="640"/>
        <w:jc w:val="center"/>
        <w:rPr>
          <w:rFonts w:ascii="仿宋_GB2312" w:eastAsia="仿宋_GB2312" w:hint="eastAsia"/>
        </w:rPr>
      </w:pPr>
      <w:r>
        <w:rPr>
          <w:rFonts w:ascii="仿宋" w:eastAsia="仿宋" w:cs="仿宋" w:hint="eastAsia"/>
          <w:b w:val="0"/>
          <w:bCs/>
          <w:sz w:val="32"/>
          <w:szCs w:val="32"/>
        </w:rPr>
        <w:t>民贸市场租赁费</w:t>
      </w:r>
      <w:r>
        <w:rPr>
          <w:rFonts w:ascii="仿宋" w:eastAsia="仿宋" w:cs="仿宋" w:hint="eastAsia"/>
          <w:b w:val="0"/>
          <w:bCs/>
          <w:sz w:val="32"/>
          <w:szCs w:val="32"/>
          <w:lang w:eastAsia="zh-CN"/>
        </w:rPr>
        <w:t>用</w:t>
      </w:r>
      <w:r>
        <w:rPr>
          <w:rFonts w:ascii="仿宋_GB2312" w:eastAsia="仿宋_GB2312" w:hint="eastAsia"/>
        </w:rPr>
        <w:t>项目绩效目标表</w:t>
      </w:r>
    </w:p>
    <w:tbl>
      <w:tblPr>
        <w:tblpPr w:leftFromText="180" w:rightFromText="180" w:vertAnchor="text" w:horzAnchor="page" w:tblpX="1905" w:tblpY="112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>
        <w:trPr>
          <w:trHeight w:val="49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指标值</w:t>
            </w:r>
          </w:p>
        </w:tc>
      </w:tr>
      <w:tr>
        <w:trPr>
          <w:trHeight w:val="9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数量指标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租赁摊位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75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质量指标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街面整洁率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100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租金及时支付率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100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效益指标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社会效益指标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提高市场环境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98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满意度指标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服务对象满意度指标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群众满意度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95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每年租金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13</w:t>
            </w:r>
          </w:p>
        </w:tc>
      </w:tr>
    </w:tbl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重点项目3：城市管理协管人员工资及保险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我局共聘有6名协管人员，负责街面自产自销、蔬菜批发及全天候协助店外店、占道经营管理工作，每月需工资保险合计2.5万元，全年共计需工资保险30万元，保障了街面自产自销、蔬菜批发及全天候协助店外店、占道经营管理工作正常有序。绩效指标设置情况：细化指标6个，包括产出指标、成本指标、效益指标和满意度指标。</w:t>
      </w:r>
    </w:p>
    <w:p>
      <w:pPr>
        <w:pStyle w:val="18"/>
        <w:spacing w:line="560" w:lineRule="exact"/>
        <w:ind w:left="0" w:firstLineChars="200" w:firstLine="640"/>
        <w:jc w:val="center"/>
        <w:rPr>
          <w:rFonts w:ascii="仿宋_GB2312" w:eastAsia="仿宋_GB2312" w:hint="eastAsia"/>
        </w:rPr>
      </w:pPr>
      <w:r>
        <w:rPr>
          <w:rFonts w:ascii="仿宋" w:eastAsia="仿宋" w:cs="仿宋" w:hint="eastAsia"/>
          <w:b w:val="0"/>
          <w:bCs/>
          <w:szCs w:val="32"/>
        </w:rPr>
        <w:t>城市管理协管人员工资及保险</w:t>
      </w:r>
      <w:r>
        <w:rPr>
          <w:rFonts w:ascii="仿宋_GB2312" w:eastAsia="仿宋_GB2312" w:hint="eastAsia"/>
        </w:rPr>
        <w:t>项目绩效目标表</w:t>
      </w:r>
    </w:p>
    <w:tbl>
      <w:tblPr>
        <w:tblpPr w:leftFromText="180" w:rightFromText="180" w:vertAnchor="text" w:horzAnchor="page" w:tblpX="1905" w:tblpY="112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>
        <w:trPr>
          <w:trHeight w:val="49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指标值</w:t>
            </w:r>
          </w:p>
        </w:tc>
      </w:tr>
      <w:tr>
        <w:trPr>
          <w:trHeight w:val="9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数量指标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协管人员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8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质量指标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每日工作完成率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100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工资按时发放率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100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效益指标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社会效益指标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保障街面摊贩正常有序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98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满意度指标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服务对象满意度指标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群众满意度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92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每年工资及保险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36.5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仿宋">
    <w:altName w:val="仿宋_GB2312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8">
    <w:name w:val="NormalIndent"/>
    <w:next w:val="16"/>
    <w:pPr>
      <w:widowControl w:val="0"/>
      <w:ind w:firstLineChars="200" w:firstLine="20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4</Pages>
  <Words>1414</Words>
  <Characters>1469</Characters>
  <Lines>147</Lines>
  <Paragraphs>102</Paragraphs>
  <CharactersWithSpaces>1472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2023-02-13T08:34:41Z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2052-11.1.0.8799</vt:lpwstr>
  </property>
  <property fmtid="{D5CDD505-2E9C-101B-9397-08002B2CF9AE}" pid="3" name="ICV">
    <vt:lpwstr>60C3E43B10C0478CB4E3491DAA4E7EA2</vt:lpwstr>
  </property>
</Properties>
</file>