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spacing w:before="0" w:beforeAutospacing="0"/>
        <w:ind w:left="0"/>
        <w:jc w:val="center"/>
        <w:rPr>
          <w:rFonts w:hint="eastAsia" w:ascii="仿宋" w:hAnsi="仿宋" w:eastAsia="仿宋" w:cs="仿宋"/>
          <w:sz w:val="32"/>
          <w:szCs w:val="32"/>
        </w:rPr>
      </w:pPr>
      <w:r>
        <w:rPr>
          <w:rFonts w:hint="eastAsia" w:ascii="仿宋" w:hAnsi="仿宋" w:eastAsia="仿宋" w:cs="仿宋"/>
          <w:sz w:val="32"/>
          <w:szCs w:val="32"/>
          <w:shd w:val="clear" w:fill="FFFFFF"/>
        </w:rPr>
        <w:t> </w:t>
      </w:r>
    </w:p>
    <w:p>
      <w:pPr>
        <w:pStyle w:val="7"/>
        <w:keepNext w:val="0"/>
        <w:keepLines w:val="0"/>
        <w:widowControl/>
        <w:suppressLineNumbers w:val="0"/>
        <w:spacing w:before="0" w:beforeAutospacing="0"/>
        <w:ind w:left="0"/>
        <w:jc w:val="center"/>
        <w:rPr>
          <w:rStyle w:val="12"/>
          <w:rFonts w:hint="eastAsia" w:ascii="仿宋" w:hAnsi="仿宋" w:eastAsia="仿宋" w:cs="仿宋"/>
          <w:sz w:val="32"/>
          <w:szCs w:val="32"/>
          <w:shd w:val="clear" w:fill="FFFFFF"/>
        </w:rPr>
      </w:pPr>
    </w:p>
    <w:p>
      <w:pPr>
        <w:adjustRightInd w:val="0"/>
        <w:snapToGrid w:val="0"/>
        <w:spacing w:line="360" w:lineRule="auto"/>
        <w:jc w:val="center"/>
        <w:outlineLvl w:val="0"/>
        <w:rPr>
          <w:rFonts w:ascii="方正小标宋简体" w:eastAsia="方正小标宋简体"/>
          <w:color w:val="000000" w:themeColor="text1"/>
          <w:sz w:val="72"/>
          <w:szCs w:val="72"/>
          <w14:textFill>
            <w14:solidFill>
              <w14:schemeClr w14:val="tx1"/>
            </w14:solidFill>
          </w14:textFill>
        </w:rPr>
      </w:pPr>
      <w:bookmarkStart w:id="0" w:name="_Toc15377193"/>
      <w:bookmarkStart w:id="1" w:name="_Toc15396597"/>
      <w:bookmarkStart w:id="2" w:name="_Toc15378441"/>
      <w:bookmarkStart w:id="3" w:name="_Toc15396475"/>
      <w:bookmarkStart w:id="4" w:name="_Toc15377425"/>
      <w:r>
        <w:rPr>
          <w:rFonts w:ascii="黑体" w:eastAsia="黑体"/>
          <w:color w:val="000000" w:themeColor="text1"/>
          <w:sz w:val="72"/>
          <w:szCs w:val="72"/>
          <w14:textFill>
            <w14:solidFill>
              <w14:schemeClr w14:val="tx1"/>
            </w14:solidFill>
          </w14:textFill>
        </w:rPr>
        <w:t>20</w:t>
      </w:r>
      <w:r>
        <w:rPr>
          <w:rFonts w:hint="eastAsia" w:ascii="黑体" w:eastAsia="黑体"/>
          <w:color w:val="000000" w:themeColor="text1"/>
          <w:sz w:val="72"/>
          <w:szCs w:val="72"/>
          <w:lang w:val="en-US" w:eastAsia="zh-CN"/>
          <w14:textFill>
            <w14:solidFill>
              <w14:schemeClr w14:val="tx1"/>
            </w14:solidFill>
          </w14:textFill>
        </w:rPr>
        <w:t>21</w:t>
      </w:r>
      <w:r>
        <w:rPr>
          <w:rFonts w:hint="eastAsia" w:ascii="方正小标宋简体" w:eastAsia="方正小标宋简体"/>
          <w:color w:val="000000" w:themeColor="text1"/>
          <w:sz w:val="72"/>
          <w:szCs w:val="72"/>
          <w14:textFill>
            <w14:solidFill>
              <w14:schemeClr w14:val="tx1"/>
            </w14:solidFill>
          </w14:textFill>
        </w:rPr>
        <w:t>年度</w:t>
      </w:r>
      <w:bookmarkEnd w:id="0"/>
      <w:bookmarkEnd w:id="1"/>
      <w:bookmarkEnd w:id="2"/>
      <w:bookmarkEnd w:id="3"/>
      <w:bookmarkEnd w:id="4"/>
    </w:p>
    <w:p>
      <w:pPr>
        <w:pStyle w:val="7"/>
        <w:keepNext w:val="0"/>
        <w:keepLines w:val="0"/>
        <w:widowControl/>
        <w:suppressLineNumbers w:val="0"/>
        <w:spacing w:before="0" w:beforeAutospacing="0"/>
        <w:ind w:left="0"/>
        <w:jc w:val="center"/>
        <w:rPr>
          <w:rFonts w:hint="eastAsia" w:ascii="方正小标宋简体" w:eastAsia="方正小标宋简体"/>
          <w:color w:val="000000" w:themeColor="text1"/>
          <w:sz w:val="72"/>
          <w:szCs w:val="72"/>
          <w14:textFill>
            <w14:solidFill>
              <w14:schemeClr w14:val="tx1"/>
            </w14:solidFill>
          </w14:textFill>
        </w:rPr>
      </w:pPr>
      <w:bookmarkStart w:id="5" w:name="_Toc15396598"/>
      <w:bookmarkStart w:id="6" w:name="_Toc15377194"/>
      <w:bookmarkStart w:id="7" w:name="_Toc15377426"/>
      <w:bookmarkStart w:id="8" w:name="_Toc15378442"/>
      <w:bookmarkStart w:id="9" w:name="_Toc15396476"/>
      <w:r>
        <w:rPr>
          <w:rFonts w:hint="eastAsia" w:ascii="方正小标宋简体" w:eastAsia="方正小标宋简体"/>
          <w:color w:val="000000" w:themeColor="text1"/>
          <w:sz w:val="72"/>
          <w:szCs w:val="72"/>
          <w:lang w:val="en-US" w:eastAsia="zh-CN"/>
          <w14:textFill>
            <w14:solidFill>
              <w14:schemeClr w14:val="tx1"/>
            </w14:solidFill>
          </w14:textFill>
        </w:rPr>
        <w:t>四川省</w:t>
      </w:r>
      <w:bookmarkStart w:id="10" w:name="_Toc15306268"/>
      <w:r>
        <w:rPr>
          <w:rFonts w:hint="eastAsia" w:ascii="方正小标宋简体" w:eastAsia="方正小标宋简体"/>
          <w:color w:val="000000" w:themeColor="text1"/>
          <w:sz w:val="72"/>
          <w:szCs w:val="72"/>
          <w:lang w:eastAsia="zh-CN"/>
          <w14:textFill>
            <w14:solidFill>
              <w14:schemeClr w14:val="tx1"/>
            </w14:solidFill>
          </w14:textFill>
        </w:rPr>
        <w:t>金川县市政公用事业服务中心</w:t>
      </w:r>
      <w:r>
        <w:rPr>
          <w:rFonts w:hint="eastAsia" w:ascii="方正小标宋简体" w:eastAsia="方正小标宋简体"/>
          <w:color w:val="000000" w:themeColor="text1"/>
          <w:sz w:val="72"/>
          <w:szCs w:val="72"/>
          <w14:textFill>
            <w14:solidFill>
              <w14:schemeClr w14:val="tx1"/>
            </w14:solidFill>
          </w14:textFill>
        </w:rPr>
        <w:t>部门决算</w:t>
      </w:r>
      <w:bookmarkEnd w:id="5"/>
      <w:bookmarkEnd w:id="6"/>
      <w:bookmarkEnd w:id="7"/>
      <w:bookmarkEnd w:id="8"/>
      <w:bookmarkEnd w:id="9"/>
      <w:bookmarkEnd w:id="10"/>
    </w:p>
    <w:p>
      <w:pPr>
        <w:pStyle w:val="7"/>
        <w:keepNext w:val="0"/>
        <w:keepLines w:val="0"/>
        <w:widowControl/>
        <w:suppressLineNumbers w:val="0"/>
        <w:spacing w:before="0" w:beforeAutospacing="0"/>
        <w:ind w:left="0"/>
        <w:jc w:val="center"/>
        <w:rPr>
          <w:rFonts w:hint="eastAsia" w:ascii="方正小标宋简体" w:eastAsia="方正小标宋简体"/>
          <w:color w:val="000000" w:themeColor="text1"/>
          <w:sz w:val="72"/>
          <w:szCs w:val="72"/>
          <w14:textFill>
            <w14:solidFill>
              <w14:schemeClr w14:val="tx1"/>
            </w14:solidFill>
          </w14:textFill>
        </w:rPr>
      </w:pPr>
    </w:p>
    <w:p>
      <w:pPr>
        <w:pStyle w:val="7"/>
        <w:keepNext w:val="0"/>
        <w:keepLines w:val="0"/>
        <w:widowControl/>
        <w:suppressLineNumbers w:val="0"/>
        <w:spacing w:before="0" w:beforeAutospacing="0"/>
        <w:ind w:left="0"/>
        <w:jc w:val="center"/>
        <w:rPr>
          <w:rFonts w:hint="eastAsia" w:ascii="方正小标宋简体" w:eastAsia="方正小标宋简体"/>
          <w:color w:val="000000" w:themeColor="text1"/>
          <w:sz w:val="72"/>
          <w:szCs w:val="72"/>
          <w14:textFill>
            <w14:solidFill>
              <w14:schemeClr w14:val="tx1"/>
            </w14:solidFill>
          </w14:textFill>
        </w:rPr>
      </w:pPr>
    </w:p>
    <w:p>
      <w:pPr>
        <w:pStyle w:val="7"/>
        <w:keepNext w:val="0"/>
        <w:keepLines w:val="0"/>
        <w:widowControl/>
        <w:suppressLineNumbers w:val="0"/>
        <w:spacing w:before="0" w:beforeAutospacing="0"/>
        <w:ind w:left="0"/>
        <w:jc w:val="center"/>
        <w:rPr>
          <w:rFonts w:hint="eastAsia" w:ascii="方正小标宋简体" w:eastAsia="方正小标宋简体"/>
          <w:color w:val="000000" w:themeColor="text1"/>
          <w:sz w:val="72"/>
          <w:szCs w:val="72"/>
          <w14:textFill>
            <w14:solidFill>
              <w14:schemeClr w14:val="tx1"/>
            </w14:solidFill>
          </w14:textFill>
        </w:rPr>
      </w:pPr>
    </w:p>
    <w:p>
      <w:pPr>
        <w:pStyle w:val="7"/>
        <w:keepNext w:val="0"/>
        <w:keepLines w:val="0"/>
        <w:widowControl/>
        <w:suppressLineNumbers w:val="0"/>
        <w:spacing w:before="0" w:beforeAutospacing="0"/>
        <w:ind w:left="0"/>
        <w:jc w:val="center"/>
        <w:rPr>
          <w:rFonts w:hint="eastAsia" w:ascii="方正小标宋简体" w:eastAsia="方正小标宋简体"/>
          <w:color w:val="000000" w:themeColor="text1"/>
          <w:sz w:val="72"/>
          <w:szCs w:val="72"/>
          <w14:textFill>
            <w14:solidFill>
              <w14:schemeClr w14:val="tx1"/>
            </w14:solidFill>
          </w14:textFill>
        </w:rPr>
      </w:pPr>
    </w:p>
    <w:p>
      <w:pPr>
        <w:pStyle w:val="7"/>
        <w:keepNext w:val="0"/>
        <w:keepLines w:val="0"/>
        <w:widowControl/>
        <w:suppressLineNumbers w:val="0"/>
        <w:spacing w:before="0" w:beforeAutospacing="0"/>
        <w:ind w:left="0"/>
        <w:jc w:val="center"/>
        <w:rPr>
          <w:rFonts w:hint="eastAsia" w:ascii="方正小标宋简体" w:eastAsia="方正小标宋简体"/>
          <w:color w:val="000000" w:themeColor="text1"/>
          <w:sz w:val="72"/>
          <w:szCs w:val="72"/>
          <w14:textFill>
            <w14:solidFill>
              <w14:schemeClr w14:val="tx1"/>
            </w14:solidFill>
          </w14:textFill>
        </w:rPr>
      </w:pPr>
    </w:p>
    <w:p>
      <w:pPr>
        <w:pStyle w:val="7"/>
        <w:keepNext w:val="0"/>
        <w:keepLines w:val="0"/>
        <w:widowControl/>
        <w:suppressLineNumbers w:val="0"/>
        <w:spacing w:before="0" w:beforeAutospacing="0"/>
        <w:ind w:left="0"/>
        <w:jc w:val="center"/>
        <w:rPr>
          <w:rFonts w:hint="eastAsia" w:ascii="方正小标宋简体" w:eastAsia="方正小标宋简体"/>
          <w:color w:val="000000" w:themeColor="text1"/>
          <w:sz w:val="72"/>
          <w:szCs w:val="72"/>
          <w14:textFill>
            <w14:solidFill>
              <w14:schemeClr w14:val="tx1"/>
            </w14:solidFill>
          </w14:textFill>
        </w:rPr>
      </w:pPr>
    </w:p>
    <w:p>
      <w:pPr>
        <w:pStyle w:val="7"/>
        <w:keepNext w:val="0"/>
        <w:keepLines w:val="0"/>
        <w:widowControl/>
        <w:suppressLineNumbers w:val="0"/>
        <w:spacing w:before="0" w:beforeAutospacing="0"/>
        <w:ind w:left="0"/>
        <w:jc w:val="center"/>
        <w:rPr>
          <w:rFonts w:hint="eastAsia" w:ascii="方正小标宋简体" w:eastAsia="方正小标宋简体"/>
          <w:color w:val="000000" w:themeColor="text1"/>
          <w:sz w:val="72"/>
          <w:szCs w:val="72"/>
          <w14:textFill>
            <w14:solidFill>
              <w14:schemeClr w14:val="tx1"/>
            </w14:solidFill>
          </w14:textFill>
        </w:rPr>
      </w:pPr>
    </w:p>
    <w:p>
      <w:pPr>
        <w:pStyle w:val="7"/>
        <w:keepNext w:val="0"/>
        <w:keepLines w:val="0"/>
        <w:widowControl/>
        <w:suppressLineNumbers w:val="0"/>
        <w:spacing w:before="0" w:beforeAutospacing="0"/>
        <w:ind w:left="0"/>
        <w:jc w:val="center"/>
        <w:rPr>
          <w:rFonts w:hint="eastAsia" w:ascii="方正小标宋简体" w:eastAsia="方正小标宋简体"/>
          <w:color w:val="000000" w:themeColor="text1"/>
          <w:sz w:val="72"/>
          <w:szCs w:val="72"/>
          <w14:textFill>
            <w14:solidFill>
              <w14:schemeClr w14:val="tx1"/>
            </w14:solidFill>
          </w14:textFill>
        </w:rPr>
      </w:pPr>
    </w:p>
    <w:p>
      <w:pPr>
        <w:pStyle w:val="7"/>
        <w:keepNext w:val="0"/>
        <w:keepLines w:val="0"/>
        <w:widowControl/>
        <w:suppressLineNumbers w:val="0"/>
        <w:spacing w:before="0" w:beforeAutospacing="0"/>
        <w:ind w:left="0"/>
        <w:jc w:val="center"/>
        <w:rPr>
          <w:rFonts w:hint="eastAsia" w:ascii="宋体" w:hAnsi="宋体" w:eastAsia="宋体" w:cs="宋体"/>
          <w:sz w:val="44"/>
          <w:szCs w:val="44"/>
        </w:rPr>
      </w:pPr>
      <w:r>
        <w:rPr>
          <w:rStyle w:val="12"/>
          <w:rFonts w:hint="eastAsia" w:ascii="宋体" w:hAnsi="宋体" w:eastAsia="宋体" w:cs="宋体"/>
          <w:sz w:val="44"/>
          <w:szCs w:val="44"/>
          <w:shd w:val="clear" w:fill="FFFFFF"/>
        </w:rPr>
        <w:t>金川县市政公用事业服务中心2021年度部门决算分析报告</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 </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一、单位情况</w:t>
      </w:r>
    </w:p>
    <w:p>
      <w:pPr>
        <w:snapToGrid w:val="0"/>
        <w:spacing w:line="520" w:lineRule="exact"/>
        <w:ind w:firstLine="643"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（一）基本情况。</w:t>
      </w:r>
    </w:p>
    <w:p>
      <w:pPr>
        <w:snapToGrid w:val="0"/>
        <w:spacing w:line="52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1．主要职能。</w:t>
      </w:r>
    </w:p>
    <w:p>
      <w:pPr>
        <w:ind w:firstLine="800" w:firstLineChars="250"/>
        <w:rPr>
          <w:rFonts w:hint="eastAsia" w:ascii="仿宋" w:hAnsi="仿宋" w:eastAsia="仿宋" w:cs="仿宋"/>
          <w:color w:val="auto"/>
          <w:sz w:val="32"/>
          <w:szCs w:val="32"/>
        </w:rPr>
      </w:pPr>
      <w:r>
        <w:rPr>
          <w:rFonts w:hint="eastAsia" w:ascii="仿宋" w:hAnsi="仿宋" w:eastAsia="仿宋" w:cs="仿宋"/>
          <w:b w:val="0"/>
          <w:color w:val="auto"/>
          <w:kern w:val="0"/>
          <w:sz w:val="32"/>
          <w:szCs w:val="32"/>
        </w:rPr>
        <w:t>主要职责是</w:t>
      </w:r>
      <w:r>
        <w:rPr>
          <w:rFonts w:hint="eastAsia" w:ascii="仿宋" w:hAnsi="仿宋" w:eastAsia="仿宋" w:cs="仿宋"/>
          <w:b w:val="0"/>
          <w:color w:val="auto"/>
          <w:sz w:val="32"/>
          <w:szCs w:val="32"/>
        </w:rPr>
        <w:t>：贯彻执行国家、省、州有关城市管理及城市管理行政执法的法律、法规 和政策；组织草拟全县环境卫生、市容环境管理的地方规章草案，制定有关政策措施；主管城市环境卫生工作,负责管理城市道路的冲洗洒水和生活垃圾、</w:t>
      </w:r>
      <w:r>
        <w:rPr>
          <w:rFonts w:hint="eastAsia" w:ascii="仿宋" w:hAnsi="仿宋" w:eastAsia="仿宋" w:cs="仿宋"/>
          <w:b w:val="0"/>
          <w:color w:val="auto"/>
          <w:sz w:val="32"/>
          <w:szCs w:val="32"/>
        </w:rPr>
        <w:fldChar w:fldCharType="begin"/>
      </w:r>
      <w:r>
        <w:rPr>
          <w:rFonts w:hint="eastAsia" w:ascii="仿宋" w:hAnsi="仿宋" w:eastAsia="仿宋" w:cs="仿宋"/>
          <w:b w:val="0"/>
          <w:color w:val="auto"/>
          <w:sz w:val="32"/>
          <w:szCs w:val="32"/>
        </w:rPr>
        <w:instrText xml:space="preserve"> HYPERLINK "http://baike.haosou.com/doc/4203246.html" \t "_blank" </w:instrText>
      </w:r>
      <w:r>
        <w:rPr>
          <w:rFonts w:hint="eastAsia" w:ascii="仿宋" w:hAnsi="仿宋" w:eastAsia="仿宋" w:cs="仿宋"/>
          <w:b w:val="0"/>
          <w:color w:val="auto"/>
          <w:sz w:val="32"/>
          <w:szCs w:val="32"/>
        </w:rPr>
        <w:fldChar w:fldCharType="separate"/>
      </w:r>
      <w:r>
        <w:rPr>
          <w:rStyle w:val="13"/>
          <w:rFonts w:hint="eastAsia" w:ascii="仿宋" w:hAnsi="仿宋" w:eastAsia="仿宋" w:cs="仿宋"/>
          <w:b w:val="0"/>
          <w:color w:val="auto"/>
          <w:sz w:val="32"/>
          <w:szCs w:val="32"/>
          <w:u w:val="none"/>
        </w:rPr>
        <w:t>特种垃圾</w:t>
      </w:r>
      <w:r>
        <w:rPr>
          <w:rFonts w:hint="eastAsia" w:ascii="仿宋" w:hAnsi="仿宋" w:eastAsia="仿宋" w:cs="仿宋"/>
          <w:b w:val="0"/>
          <w:color w:val="auto"/>
          <w:sz w:val="32"/>
          <w:szCs w:val="32"/>
        </w:rPr>
        <w:fldChar w:fldCharType="end"/>
      </w:r>
      <w:r>
        <w:rPr>
          <w:rFonts w:hint="eastAsia" w:ascii="仿宋" w:hAnsi="仿宋" w:eastAsia="仿宋" w:cs="仿宋"/>
          <w:b w:val="0"/>
          <w:color w:val="auto"/>
          <w:sz w:val="32"/>
          <w:szCs w:val="32"/>
        </w:rPr>
        <w:t>、</w:t>
      </w:r>
      <w:r>
        <w:rPr>
          <w:rFonts w:hint="eastAsia" w:ascii="仿宋" w:hAnsi="仿宋" w:eastAsia="仿宋" w:cs="仿宋"/>
          <w:b w:val="0"/>
          <w:color w:val="auto"/>
          <w:sz w:val="32"/>
          <w:szCs w:val="32"/>
        </w:rPr>
        <w:fldChar w:fldCharType="begin"/>
      </w:r>
      <w:r>
        <w:rPr>
          <w:rFonts w:hint="eastAsia" w:ascii="仿宋" w:hAnsi="仿宋" w:eastAsia="仿宋" w:cs="仿宋"/>
          <w:b w:val="0"/>
          <w:color w:val="auto"/>
          <w:sz w:val="32"/>
          <w:szCs w:val="32"/>
        </w:rPr>
        <w:instrText xml:space="preserve"> HYPERLINK "http://baike.haosou.com/doc/5421032.html" \t "_blank" </w:instrText>
      </w:r>
      <w:r>
        <w:rPr>
          <w:rFonts w:hint="eastAsia" w:ascii="仿宋" w:hAnsi="仿宋" w:eastAsia="仿宋" w:cs="仿宋"/>
          <w:b w:val="0"/>
          <w:color w:val="auto"/>
          <w:sz w:val="32"/>
          <w:szCs w:val="32"/>
        </w:rPr>
        <w:fldChar w:fldCharType="separate"/>
      </w:r>
      <w:r>
        <w:rPr>
          <w:rStyle w:val="13"/>
          <w:rFonts w:hint="eastAsia" w:ascii="仿宋" w:hAnsi="仿宋" w:eastAsia="仿宋" w:cs="仿宋"/>
          <w:b w:val="0"/>
          <w:color w:val="auto"/>
          <w:sz w:val="32"/>
          <w:szCs w:val="32"/>
          <w:u w:val="none"/>
        </w:rPr>
        <w:t>建筑垃圾</w:t>
      </w:r>
      <w:r>
        <w:rPr>
          <w:rFonts w:hint="eastAsia" w:ascii="仿宋" w:hAnsi="仿宋" w:eastAsia="仿宋" w:cs="仿宋"/>
          <w:b w:val="0"/>
          <w:color w:val="auto"/>
          <w:sz w:val="32"/>
          <w:szCs w:val="32"/>
        </w:rPr>
        <w:fldChar w:fldCharType="end"/>
      </w:r>
      <w:r>
        <w:rPr>
          <w:rFonts w:hint="eastAsia" w:ascii="仿宋" w:hAnsi="仿宋" w:eastAsia="仿宋" w:cs="仿宋"/>
          <w:b w:val="0"/>
          <w:color w:val="auto"/>
          <w:sz w:val="32"/>
          <w:szCs w:val="32"/>
        </w:rPr>
        <w:t>的收集、清运、处置；负责机动车清洗、环境卫生企业的</w:t>
      </w:r>
      <w:r>
        <w:rPr>
          <w:rFonts w:hint="eastAsia" w:ascii="仿宋" w:hAnsi="仿宋" w:eastAsia="仿宋" w:cs="仿宋"/>
          <w:b w:val="0"/>
          <w:color w:val="auto"/>
          <w:sz w:val="32"/>
          <w:szCs w:val="32"/>
        </w:rPr>
        <w:fldChar w:fldCharType="begin"/>
      </w:r>
      <w:r>
        <w:rPr>
          <w:rFonts w:hint="eastAsia" w:ascii="仿宋" w:hAnsi="仿宋" w:eastAsia="仿宋" w:cs="仿宋"/>
          <w:b w:val="0"/>
          <w:color w:val="auto"/>
          <w:sz w:val="32"/>
          <w:szCs w:val="32"/>
        </w:rPr>
        <w:instrText xml:space="preserve"> HYPERLINK "http://baike.haosou.com/doc/6303934.html" \t "_blank" </w:instrText>
      </w:r>
      <w:r>
        <w:rPr>
          <w:rFonts w:hint="eastAsia" w:ascii="仿宋" w:hAnsi="仿宋" w:eastAsia="仿宋" w:cs="仿宋"/>
          <w:b w:val="0"/>
          <w:color w:val="auto"/>
          <w:sz w:val="32"/>
          <w:szCs w:val="32"/>
        </w:rPr>
        <w:fldChar w:fldCharType="separate"/>
      </w:r>
      <w:r>
        <w:rPr>
          <w:rStyle w:val="13"/>
          <w:rFonts w:hint="eastAsia" w:ascii="仿宋" w:hAnsi="仿宋" w:eastAsia="仿宋" w:cs="仿宋"/>
          <w:b w:val="0"/>
          <w:color w:val="auto"/>
          <w:sz w:val="32"/>
          <w:szCs w:val="32"/>
          <w:u w:val="none"/>
        </w:rPr>
        <w:t>行业管理</w:t>
      </w:r>
      <w:r>
        <w:rPr>
          <w:rFonts w:hint="eastAsia" w:ascii="仿宋" w:hAnsi="仿宋" w:eastAsia="仿宋" w:cs="仿宋"/>
          <w:b w:val="0"/>
          <w:color w:val="auto"/>
          <w:sz w:val="32"/>
          <w:szCs w:val="32"/>
        </w:rPr>
        <w:fldChar w:fldCharType="end"/>
      </w:r>
      <w:r>
        <w:rPr>
          <w:rFonts w:hint="eastAsia" w:ascii="仿宋" w:hAnsi="仿宋" w:eastAsia="仿宋" w:cs="仿宋"/>
          <w:b w:val="0"/>
          <w:color w:val="auto"/>
          <w:sz w:val="32"/>
          <w:szCs w:val="32"/>
        </w:rPr>
        <w:t>;负责对临时占用城市道路停车督管,对临时占用城市道路（含人行道）,利用城市道路设置</w:t>
      </w:r>
      <w:r>
        <w:rPr>
          <w:rFonts w:hint="eastAsia" w:ascii="仿宋" w:hAnsi="仿宋" w:eastAsia="仿宋" w:cs="仿宋"/>
          <w:b w:val="0"/>
          <w:color w:val="auto"/>
          <w:sz w:val="32"/>
          <w:szCs w:val="32"/>
        </w:rPr>
        <w:fldChar w:fldCharType="begin"/>
      </w:r>
      <w:r>
        <w:rPr>
          <w:rFonts w:hint="eastAsia" w:ascii="仿宋" w:hAnsi="仿宋" w:eastAsia="仿宋" w:cs="仿宋"/>
          <w:b w:val="0"/>
          <w:color w:val="auto"/>
          <w:sz w:val="32"/>
          <w:szCs w:val="32"/>
        </w:rPr>
        <w:instrText xml:space="preserve"> HYPERLINK "http://baike.haosou.com/doc/3860835.html" \t "_blank" </w:instrText>
      </w:r>
      <w:r>
        <w:rPr>
          <w:rFonts w:hint="eastAsia" w:ascii="仿宋" w:hAnsi="仿宋" w:eastAsia="仿宋" w:cs="仿宋"/>
          <w:b w:val="0"/>
          <w:color w:val="auto"/>
          <w:sz w:val="32"/>
          <w:szCs w:val="32"/>
        </w:rPr>
        <w:fldChar w:fldCharType="separate"/>
      </w:r>
      <w:r>
        <w:rPr>
          <w:rStyle w:val="13"/>
          <w:rFonts w:hint="eastAsia" w:ascii="仿宋" w:hAnsi="仿宋" w:eastAsia="仿宋" w:cs="仿宋"/>
          <w:b w:val="0"/>
          <w:color w:val="auto"/>
          <w:sz w:val="32"/>
          <w:szCs w:val="32"/>
          <w:u w:val="none"/>
        </w:rPr>
        <w:t>建筑物</w:t>
      </w:r>
      <w:r>
        <w:rPr>
          <w:rFonts w:hint="eastAsia" w:ascii="仿宋" w:hAnsi="仿宋" w:eastAsia="仿宋" w:cs="仿宋"/>
          <w:b w:val="0"/>
          <w:color w:val="auto"/>
          <w:sz w:val="32"/>
          <w:szCs w:val="32"/>
        </w:rPr>
        <w:fldChar w:fldCharType="end"/>
      </w:r>
      <w:r>
        <w:rPr>
          <w:rFonts w:hint="eastAsia" w:ascii="仿宋" w:hAnsi="仿宋" w:eastAsia="仿宋" w:cs="仿宋"/>
          <w:b w:val="0"/>
          <w:color w:val="auto"/>
          <w:sz w:val="32"/>
          <w:szCs w:val="32"/>
        </w:rPr>
        <w:t>、构筑物的行为进行监督管理;负责城区菜市场的组织实施；负责临时占道机动车、非机动车停车场（点）的定点工作；负责城镇户外广告定点的监督管理；对利用园林绿化设施、</w:t>
      </w:r>
      <w:r>
        <w:rPr>
          <w:rFonts w:hint="eastAsia" w:ascii="仿宋" w:hAnsi="仿宋" w:eastAsia="仿宋" w:cs="仿宋"/>
          <w:b w:val="0"/>
          <w:color w:val="auto"/>
          <w:sz w:val="32"/>
          <w:szCs w:val="32"/>
        </w:rPr>
        <w:fldChar w:fldCharType="begin"/>
      </w:r>
      <w:r>
        <w:rPr>
          <w:rFonts w:hint="eastAsia" w:ascii="仿宋" w:hAnsi="仿宋" w:eastAsia="仿宋" w:cs="仿宋"/>
          <w:b w:val="0"/>
          <w:color w:val="auto"/>
          <w:sz w:val="32"/>
          <w:szCs w:val="32"/>
        </w:rPr>
        <w:instrText xml:space="preserve"> HYPERLINK "http://baike.haosou.com/doc/5564871.html" \t "_blank" </w:instrText>
      </w:r>
      <w:r>
        <w:rPr>
          <w:rFonts w:hint="eastAsia" w:ascii="仿宋" w:hAnsi="仿宋" w:eastAsia="仿宋" w:cs="仿宋"/>
          <w:b w:val="0"/>
          <w:color w:val="auto"/>
          <w:sz w:val="32"/>
          <w:szCs w:val="32"/>
        </w:rPr>
        <w:fldChar w:fldCharType="separate"/>
      </w:r>
      <w:r>
        <w:rPr>
          <w:rStyle w:val="13"/>
          <w:rFonts w:hint="eastAsia" w:ascii="仿宋" w:hAnsi="仿宋" w:eastAsia="仿宋" w:cs="仿宋"/>
          <w:b w:val="0"/>
          <w:color w:val="auto"/>
          <w:sz w:val="32"/>
          <w:szCs w:val="32"/>
          <w:u w:val="none"/>
        </w:rPr>
        <w:t>市政府</w:t>
      </w:r>
      <w:r>
        <w:rPr>
          <w:rFonts w:hint="eastAsia" w:ascii="仿宋" w:hAnsi="仿宋" w:eastAsia="仿宋" w:cs="仿宋"/>
          <w:b w:val="0"/>
          <w:color w:val="auto"/>
          <w:sz w:val="32"/>
          <w:szCs w:val="32"/>
        </w:rPr>
        <w:fldChar w:fldCharType="end"/>
      </w:r>
      <w:r>
        <w:rPr>
          <w:rFonts w:hint="eastAsia" w:ascii="仿宋" w:hAnsi="仿宋" w:eastAsia="仿宋" w:cs="仿宋"/>
          <w:b w:val="0"/>
          <w:color w:val="auto"/>
          <w:sz w:val="32"/>
          <w:szCs w:val="32"/>
        </w:rPr>
        <w:t>附属设施和利用建筑物等占用城市空间影响市容市貌的行为进行监督管理。负责城区路灯饰城市管理监督，负责城区路灯和城市夜景灯饰的设置及维护管理；组织、协调、管理城市。参与城市管理工作目标的制定，受理市民有关城市市容环境管理的来信来访和群众投诉。指导、监督各乡镇城镇管理及</w:t>
      </w:r>
      <w:r>
        <w:rPr>
          <w:rFonts w:hint="eastAsia" w:ascii="仿宋" w:hAnsi="仿宋" w:eastAsia="仿宋" w:cs="仿宋"/>
          <w:b w:val="0"/>
          <w:color w:val="auto"/>
          <w:sz w:val="32"/>
          <w:szCs w:val="32"/>
        </w:rPr>
        <w:fldChar w:fldCharType="begin"/>
      </w:r>
      <w:r>
        <w:rPr>
          <w:rFonts w:hint="eastAsia" w:ascii="仿宋" w:hAnsi="仿宋" w:eastAsia="仿宋" w:cs="仿宋"/>
          <w:b w:val="0"/>
          <w:color w:val="auto"/>
          <w:sz w:val="32"/>
          <w:szCs w:val="32"/>
        </w:rPr>
        <w:instrText xml:space="preserve"> HYPERLINK "http://baike.haosou.com/doc/359522.html" \t "_blank" </w:instrText>
      </w:r>
      <w:r>
        <w:rPr>
          <w:rFonts w:hint="eastAsia" w:ascii="仿宋" w:hAnsi="仿宋" w:eastAsia="仿宋" w:cs="仿宋"/>
          <w:b w:val="0"/>
          <w:color w:val="auto"/>
          <w:sz w:val="32"/>
          <w:szCs w:val="32"/>
        </w:rPr>
        <w:fldChar w:fldCharType="separate"/>
      </w:r>
      <w:r>
        <w:rPr>
          <w:rStyle w:val="13"/>
          <w:rFonts w:hint="eastAsia" w:ascii="仿宋" w:hAnsi="仿宋" w:eastAsia="仿宋" w:cs="仿宋"/>
          <w:b w:val="0"/>
          <w:color w:val="auto"/>
          <w:sz w:val="32"/>
          <w:szCs w:val="32"/>
          <w:u w:val="none"/>
        </w:rPr>
        <w:t>行政执法</w:t>
      </w:r>
      <w:r>
        <w:rPr>
          <w:rFonts w:hint="eastAsia" w:ascii="仿宋" w:hAnsi="仿宋" w:eastAsia="仿宋" w:cs="仿宋"/>
          <w:b w:val="0"/>
          <w:color w:val="auto"/>
          <w:sz w:val="32"/>
          <w:szCs w:val="32"/>
        </w:rPr>
        <w:fldChar w:fldCharType="end"/>
      </w:r>
      <w:r>
        <w:rPr>
          <w:rFonts w:hint="eastAsia" w:ascii="仿宋" w:hAnsi="仿宋" w:eastAsia="仿宋" w:cs="仿宋"/>
          <w:b w:val="0"/>
          <w:color w:val="auto"/>
          <w:sz w:val="32"/>
          <w:szCs w:val="32"/>
        </w:rPr>
        <w:t>工作。行使</w:t>
      </w:r>
      <w:r>
        <w:rPr>
          <w:rFonts w:hint="eastAsia" w:ascii="仿宋" w:hAnsi="仿宋" w:eastAsia="仿宋" w:cs="仿宋"/>
          <w:b w:val="0"/>
          <w:color w:val="auto"/>
          <w:sz w:val="32"/>
          <w:szCs w:val="32"/>
        </w:rPr>
        <w:fldChar w:fldCharType="begin"/>
      </w:r>
      <w:r>
        <w:rPr>
          <w:rFonts w:hint="eastAsia" w:ascii="仿宋" w:hAnsi="仿宋" w:eastAsia="仿宋" w:cs="仿宋"/>
          <w:b w:val="0"/>
          <w:color w:val="auto"/>
          <w:sz w:val="32"/>
          <w:szCs w:val="32"/>
        </w:rPr>
        <w:instrText xml:space="preserve"> HYPERLINK "http://baike.haosou.com/doc/1005500.html" \t "_blank" </w:instrText>
      </w:r>
      <w:r>
        <w:rPr>
          <w:rFonts w:hint="eastAsia" w:ascii="仿宋" w:hAnsi="仿宋" w:eastAsia="仿宋" w:cs="仿宋"/>
          <w:b w:val="0"/>
          <w:color w:val="auto"/>
          <w:sz w:val="32"/>
          <w:szCs w:val="32"/>
        </w:rPr>
        <w:fldChar w:fldCharType="separate"/>
      </w:r>
      <w:r>
        <w:rPr>
          <w:rStyle w:val="13"/>
          <w:rFonts w:hint="eastAsia" w:ascii="仿宋" w:hAnsi="仿宋" w:eastAsia="仿宋" w:cs="仿宋"/>
          <w:b w:val="0"/>
          <w:color w:val="auto"/>
          <w:sz w:val="32"/>
          <w:szCs w:val="32"/>
          <w:u w:val="none"/>
        </w:rPr>
        <w:t>市容环境卫生管理</w:t>
      </w:r>
      <w:r>
        <w:rPr>
          <w:rFonts w:hint="eastAsia" w:ascii="仿宋" w:hAnsi="仿宋" w:eastAsia="仿宋" w:cs="仿宋"/>
          <w:b w:val="0"/>
          <w:color w:val="auto"/>
          <w:sz w:val="32"/>
          <w:szCs w:val="32"/>
        </w:rPr>
        <w:fldChar w:fldCharType="end"/>
      </w:r>
      <w:r>
        <w:rPr>
          <w:rFonts w:hint="eastAsia" w:ascii="仿宋" w:hAnsi="仿宋" w:eastAsia="仿宋" w:cs="仿宋"/>
          <w:b w:val="0"/>
          <w:color w:val="auto"/>
          <w:sz w:val="32"/>
          <w:szCs w:val="32"/>
        </w:rPr>
        <w:t>、</w:t>
      </w:r>
      <w:r>
        <w:rPr>
          <w:rFonts w:hint="eastAsia" w:ascii="仿宋" w:hAnsi="仿宋" w:eastAsia="仿宋" w:cs="仿宋"/>
          <w:b w:val="0"/>
          <w:color w:val="auto"/>
          <w:sz w:val="32"/>
          <w:szCs w:val="32"/>
        </w:rPr>
        <w:fldChar w:fldCharType="begin"/>
      </w:r>
      <w:r>
        <w:rPr>
          <w:rFonts w:hint="eastAsia" w:ascii="仿宋" w:hAnsi="仿宋" w:eastAsia="仿宋" w:cs="仿宋"/>
          <w:b w:val="0"/>
          <w:color w:val="auto"/>
          <w:sz w:val="32"/>
          <w:szCs w:val="32"/>
        </w:rPr>
        <w:instrText xml:space="preserve"> HYPERLINK "http://baike.haosou.com/doc/6288296.html" \t "_blank" </w:instrText>
      </w:r>
      <w:r>
        <w:rPr>
          <w:rFonts w:hint="eastAsia" w:ascii="仿宋" w:hAnsi="仿宋" w:eastAsia="仿宋" w:cs="仿宋"/>
          <w:b w:val="0"/>
          <w:color w:val="auto"/>
          <w:sz w:val="32"/>
          <w:szCs w:val="32"/>
        </w:rPr>
        <w:fldChar w:fldCharType="separate"/>
      </w:r>
      <w:r>
        <w:rPr>
          <w:rStyle w:val="13"/>
          <w:rFonts w:hint="eastAsia" w:ascii="仿宋" w:hAnsi="仿宋" w:eastAsia="仿宋" w:cs="仿宋"/>
          <w:b w:val="0"/>
          <w:color w:val="auto"/>
          <w:sz w:val="32"/>
          <w:szCs w:val="32"/>
          <w:u w:val="none"/>
        </w:rPr>
        <w:t>城市绿化</w:t>
      </w:r>
      <w:r>
        <w:rPr>
          <w:rFonts w:hint="eastAsia" w:ascii="仿宋" w:hAnsi="仿宋" w:eastAsia="仿宋" w:cs="仿宋"/>
          <w:b w:val="0"/>
          <w:color w:val="auto"/>
          <w:sz w:val="32"/>
          <w:szCs w:val="32"/>
        </w:rPr>
        <w:fldChar w:fldCharType="end"/>
      </w:r>
      <w:r>
        <w:rPr>
          <w:rFonts w:hint="eastAsia" w:ascii="仿宋" w:hAnsi="仿宋" w:eastAsia="仿宋" w:cs="仿宋"/>
          <w:b w:val="0"/>
          <w:color w:val="auto"/>
          <w:sz w:val="32"/>
          <w:szCs w:val="32"/>
        </w:rPr>
        <w:t>管理、</w:t>
      </w:r>
      <w:r>
        <w:rPr>
          <w:rFonts w:hint="eastAsia" w:ascii="仿宋" w:hAnsi="仿宋" w:eastAsia="仿宋" w:cs="仿宋"/>
          <w:b w:val="0"/>
          <w:color w:val="auto"/>
          <w:sz w:val="32"/>
          <w:szCs w:val="32"/>
        </w:rPr>
        <w:fldChar w:fldCharType="begin"/>
      </w:r>
      <w:r>
        <w:rPr>
          <w:rFonts w:hint="eastAsia" w:ascii="仿宋" w:hAnsi="仿宋" w:eastAsia="仿宋" w:cs="仿宋"/>
          <w:b w:val="0"/>
          <w:color w:val="auto"/>
          <w:sz w:val="32"/>
          <w:szCs w:val="32"/>
        </w:rPr>
        <w:instrText xml:space="preserve"> HYPERLINK "http://baike.haosou.com/doc/977829.html" \t "_blank" </w:instrText>
      </w:r>
      <w:r>
        <w:rPr>
          <w:rFonts w:hint="eastAsia" w:ascii="仿宋" w:hAnsi="仿宋" w:eastAsia="仿宋" w:cs="仿宋"/>
          <w:b w:val="0"/>
          <w:color w:val="auto"/>
          <w:sz w:val="32"/>
          <w:szCs w:val="32"/>
        </w:rPr>
        <w:fldChar w:fldCharType="separate"/>
      </w:r>
      <w:r>
        <w:rPr>
          <w:rStyle w:val="13"/>
          <w:rFonts w:hint="eastAsia" w:ascii="仿宋" w:hAnsi="仿宋" w:eastAsia="仿宋" w:cs="仿宋"/>
          <w:b w:val="0"/>
          <w:color w:val="auto"/>
          <w:sz w:val="32"/>
          <w:szCs w:val="32"/>
          <w:u w:val="none"/>
        </w:rPr>
        <w:t>市政管理</w:t>
      </w:r>
      <w:r>
        <w:rPr>
          <w:rFonts w:hint="eastAsia" w:ascii="仿宋" w:hAnsi="仿宋" w:eastAsia="仿宋" w:cs="仿宋"/>
          <w:b w:val="0"/>
          <w:color w:val="auto"/>
          <w:sz w:val="32"/>
          <w:szCs w:val="32"/>
        </w:rPr>
        <w:fldChar w:fldCharType="end"/>
      </w:r>
      <w:r>
        <w:rPr>
          <w:rFonts w:hint="eastAsia" w:ascii="仿宋" w:hAnsi="仿宋" w:eastAsia="仿宋" w:cs="仿宋"/>
          <w:b w:val="0"/>
          <w:color w:val="auto"/>
          <w:sz w:val="32"/>
          <w:szCs w:val="32"/>
        </w:rPr>
        <w:t>方面法律、法规、规章规定的</w:t>
      </w:r>
      <w:r>
        <w:rPr>
          <w:rFonts w:hint="eastAsia" w:ascii="仿宋" w:hAnsi="仿宋" w:eastAsia="仿宋" w:cs="仿宋"/>
          <w:b w:val="0"/>
          <w:color w:val="auto"/>
          <w:sz w:val="32"/>
          <w:szCs w:val="32"/>
        </w:rPr>
        <w:fldChar w:fldCharType="begin"/>
      </w:r>
      <w:r>
        <w:rPr>
          <w:rFonts w:hint="eastAsia" w:ascii="仿宋" w:hAnsi="仿宋" w:eastAsia="仿宋" w:cs="仿宋"/>
          <w:b w:val="0"/>
          <w:color w:val="auto"/>
          <w:sz w:val="32"/>
          <w:szCs w:val="32"/>
        </w:rPr>
        <w:instrText xml:space="preserve"> HYPERLINK "http://baike.haosou.com/doc/3772821.html" \t "_blank" </w:instrText>
      </w:r>
      <w:r>
        <w:rPr>
          <w:rFonts w:hint="eastAsia" w:ascii="仿宋" w:hAnsi="仿宋" w:eastAsia="仿宋" w:cs="仿宋"/>
          <w:b w:val="0"/>
          <w:color w:val="auto"/>
          <w:sz w:val="32"/>
          <w:szCs w:val="32"/>
        </w:rPr>
        <w:fldChar w:fldCharType="separate"/>
      </w:r>
      <w:r>
        <w:rPr>
          <w:rStyle w:val="13"/>
          <w:rFonts w:hint="eastAsia" w:ascii="仿宋" w:hAnsi="仿宋" w:eastAsia="仿宋" w:cs="仿宋"/>
          <w:b w:val="0"/>
          <w:color w:val="auto"/>
          <w:sz w:val="32"/>
          <w:szCs w:val="32"/>
          <w:u w:val="none"/>
        </w:rPr>
        <w:t>行政处罚</w:t>
      </w:r>
      <w:r>
        <w:rPr>
          <w:rFonts w:hint="eastAsia" w:ascii="仿宋" w:hAnsi="仿宋" w:eastAsia="仿宋" w:cs="仿宋"/>
          <w:b w:val="0"/>
          <w:color w:val="auto"/>
          <w:sz w:val="32"/>
          <w:szCs w:val="32"/>
        </w:rPr>
        <w:fldChar w:fldCharType="end"/>
      </w:r>
      <w:r>
        <w:rPr>
          <w:rFonts w:hint="eastAsia" w:ascii="仿宋" w:hAnsi="仿宋" w:eastAsia="仿宋" w:cs="仿宋"/>
          <w:b w:val="0"/>
          <w:color w:val="auto"/>
          <w:sz w:val="32"/>
          <w:szCs w:val="32"/>
        </w:rPr>
        <w:t>权。集中行使对乱建乱搭、环境污染、非机动车和机动车乱停乱放、临时占用城市道路和城区河堤通道、无照商贩、无证饮食品店摊点等行政执法的组织、指挥、协调和行政处罚。</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2．本单位本年度纳入本套决算编制范围的独立编制机构数共2个，比上年增加0个；独立核算机构数共2个，比上年增加0个</w:t>
      </w:r>
      <w:r>
        <w:rPr>
          <w:rStyle w:val="12"/>
          <w:rFonts w:hint="eastAsia" w:ascii="仿宋" w:hAnsi="仿宋" w:eastAsia="仿宋" w:cs="仿宋"/>
          <w:sz w:val="32"/>
          <w:szCs w:val="32"/>
          <w:shd w:val="clear" w:fill="FFFFFF"/>
        </w:rPr>
        <w:t>。</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 </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3． 本单位本年度年末实有人数为28人，比上年增加6人；年末实有离退休人数为0人，比上年增加0人；</w:t>
      </w:r>
      <w:r>
        <w:rPr>
          <w:rStyle w:val="12"/>
          <w:rFonts w:hint="eastAsia" w:ascii="仿宋" w:hAnsi="仿宋" w:eastAsia="仿宋" w:cs="仿宋"/>
          <w:sz w:val="32"/>
          <w:szCs w:val="32"/>
          <w:shd w:val="clear" w:fill="FFFFFF"/>
        </w:rPr>
        <w:t>变动情况及原因</w:t>
      </w:r>
      <w:r>
        <w:rPr>
          <w:rFonts w:hint="eastAsia" w:ascii="仿宋" w:hAnsi="仿宋" w:eastAsia="仿宋" w:cs="仿宋"/>
          <w:color w:val="auto"/>
          <w:sz w:val="32"/>
          <w:szCs w:val="32"/>
        </w:rPr>
        <w:t>为20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年事业管理</w:t>
      </w:r>
      <w:r>
        <w:rPr>
          <w:rFonts w:hint="eastAsia" w:ascii="仿宋" w:hAnsi="仿宋" w:eastAsia="仿宋" w:cs="仿宋"/>
          <w:color w:val="auto"/>
          <w:sz w:val="32"/>
          <w:szCs w:val="32"/>
          <w:lang w:val="en-US" w:eastAsia="zh-CN"/>
        </w:rPr>
        <w:t>新增2人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参公新增2人，</w:t>
      </w:r>
      <w:r>
        <w:rPr>
          <w:rFonts w:hint="eastAsia" w:ascii="仿宋" w:hAnsi="仿宋" w:eastAsia="仿宋" w:cs="仿宋"/>
          <w:color w:val="auto"/>
          <w:sz w:val="32"/>
          <w:szCs w:val="32"/>
        </w:rPr>
        <w:t>事业专技</w:t>
      </w:r>
      <w:r>
        <w:rPr>
          <w:rFonts w:hint="eastAsia" w:ascii="仿宋" w:hAnsi="仿宋" w:eastAsia="仿宋" w:cs="仿宋"/>
          <w:color w:val="auto"/>
          <w:sz w:val="32"/>
          <w:szCs w:val="32"/>
          <w:lang w:val="en-US" w:eastAsia="zh-CN"/>
        </w:rPr>
        <w:t>新增2人</w:t>
      </w:r>
      <w:r>
        <w:rPr>
          <w:rStyle w:val="12"/>
          <w:rFonts w:hint="eastAsia" w:ascii="仿宋" w:hAnsi="仿宋" w:eastAsia="仿宋" w:cs="仿宋"/>
          <w:sz w:val="32"/>
          <w:szCs w:val="32"/>
          <w:shd w:val="clear" w:fill="FFFFFF"/>
        </w:rPr>
        <w:t>。</w:t>
      </w:r>
      <w:r>
        <w:rPr>
          <w:rFonts w:hint="eastAsia" w:ascii="仿宋" w:hAnsi="仿宋" w:eastAsia="仿宋" w:cs="仿宋"/>
          <w:sz w:val="32"/>
          <w:szCs w:val="32"/>
          <w:shd w:val="clear" w:fill="FFFFFF"/>
        </w:rPr>
        <w:t>年末实有其他人数为0人，比上年增加0人</w:t>
      </w:r>
      <w:r>
        <w:rPr>
          <w:rStyle w:val="12"/>
          <w:rFonts w:hint="eastAsia" w:ascii="仿宋" w:hAnsi="仿宋" w:eastAsia="仿宋" w:cs="仿宋"/>
          <w:sz w:val="32"/>
          <w:szCs w:val="32"/>
          <w:shd w:val="clear" w:fill="FFFFFF"/>
        </w:rPr>
        <w:t>。</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 </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Style w:val="12"/>
          <w:rFonts w:hint="eastAsia" w:ascii="仿宋" w:hAnsi="仿宋" w:eastAsia="仿宋" w:cs="仿宋"/>
          <w:sz w:val="32"/>
          <w:szCs w:val="32"/>
          <w:shd w:val="clear" w:fill="FFFFFF"/>
        </w:rPr>
        <w:t>（二）当年取得的主要事业成效。</w:t>
      </w:r>
    </w:p>
    <w:p>
      <w:pPr>
        <w:snapToGrid w:val="0"/>
        <w:spacing w:line="520" w:lineRule="exact"/>
        <w:ind w:firstLine="643" w:firstLineChars="200"/>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rPr>
        <w:t>（二）当年取得的主要事业成效。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auto"/>
          <w:sz w:val="32"/>
          <w:szCs w:val="32"/>
        </w:rPr>
        <w:t>1</w:t>
      </w:r>
      <w:r>
        <w:rPr>
          <w:rFonts w:hint="eastAsia" w:ascii="仿宋" w:hAnsi="仿宋" w:eastAsia="仿宋" w:cs="仿宋"/>
          <w:b/>
          <w:bCs/>
          <w:color w:val="auto"/>
          <w:sz w:val="32"/>
          <w:szCs w:val="32"/>
          <w:lang w:val="en-US" w:eastAsia="zh-CN"/>
        </w:rPr>
        <w:t>.</w:t>
      </w:r>
      <w:r>
        <w:rPr>
          <w:rFonts w:hint="eastAsia" w:ascii="仿宋" w:hAnsi="仿宋" w:eastAsia="仿宋" w:cs="仿宋"/>
          <w:b/>
          <w:bCs/>
          <w:color w:val="auto"/>
          <w:kern w:val="0"/>
          <w:sz w:val="32"/>
          <w:szCs w:val="32"/>
        </w:rPr>
        <w:t>城区保洁</w:t>
      </w:r>
      <w:r>
        <w:rPr>
          <w:rFonts w:hint="eastAsia" w:ascii="仿宋" w:hAnsi="仿宋" w:eastAsia="仿宋" w:cs="仿宋"/>
          <w:b/>
          <w:bCs/>
          <w:color w:val="auto"/>
          <w:kern w:val="0"/>
          <w:sz w:val="32"/>
          <w:szCs w:val="32"/>
          <w:lang w:val="en-US" w:eastAsia="zh-CN"/>
        </w:rPr>
        <w:t>常态化</w:t>
      </w:r>
      <w:r>
        <w:rPr>
          <w:rFonts w:hint="eastAsia" w:ascii="仿宋" w:hAnsi="仿宋" w:eastAsia="仿宋" w:cs="仿宋"/>
          <w:b/>
          <w:bCs/>
          <w:color w:val="auto"/>
          <w:kern w:val="0"/>
          <w:sz w:val="32"/>
          <w:szCs w:val="32"/>
        </w:rPr>
        <w:t>。</w:t>
      </w:r>
      <w:r>
        <w:rPr>
          <w:rFonts w:hint="eastAsia" w:ascii="仿宋" w:hAnsi="仿宋" w:eastAsia="仿宋" w:cs="仿宋"/>
          <w:b/>
          <w:bCs/>
          <w:color w:val="000000" w:themeColor="text1"/>
          <w:sz w:val="32"/>
          <w:szCs w:val="32"/>
          <w14:textFill>
            <w14:solidFill>
              <w14:schemeClr w14:val="tx1"/>
            </w14:solidFill>
          </w14:textFill>
        </w:rPr>
        <w:t>（一）环境卫生管理更有温度。</w:t>
      </w:r>
      <w:r>
        <w:rPr>
          <w:rFonts w:hint="eastAsia" w:ascii="仿宋" w:hAnsi="仿宋" w:eastAsia="仿宋" w:cs="仿宋"/>
          <w:color w:val="000000" w:themeColor="text1"/>
          <w:sz w:val="32"/>
          <w:szCs w:val="32"/>
          <w14:textFill>
            <w14:solidFill>
              <w14:schemeClr w14:val="tx1"/>
            </w14:solidFill>
          </w14:textFill>
        </w:rPr>
        <w:t>深化</w:t>
      </w:r>
      <w:r>
        <w:rPr>
          <w:rFonts w:hint="eastAsia" w:ascii="仿宋" w:hAnsi="仿宋" w:eastAsia="仿宋" w:cs="仿宋"/>
          <w:color w:val="000000" w:themeColor="text1"/>
          <w:sz w:val="32"/>
          <w:szCs w:val="32"/>
          <w:lang w:eastAsia="zh-CN"/>
          <w14:textFill>
            <w14:solidFill>
              <w14:schemeClr w14:val="tx1"/>
            </w14:solidFill>
          </w14:textFill>
        </w:rPr>
        <w:t>城乡</w:t>
      </w:r>
      <w:r>
        <w:rPr>
          <w:rFonts w:hint="eastAsia" w:ascii="仿宋" w:hAnsi="仿宋" w:eastAsia="仿宋" w:cs="仿宋"/>
          <w:color w:val="000000" w:themeColor="text1"/>
          <w:sz w:val="32"/>
          <w:szCs w:val="32"/>
          <w14:textFill>
            <w14:solidFill>
              <w14:schemeClr w14:val="tx1"/>
            </w14:solidFill>
          </w14:textFill>
        </w:rPr>
        <w:t>生活垃圾分类</w:t>
      </w:r>
      <w:r>
        <w:rPr>
          <w:rFonts w:hint="eastAsia" w:ascii="仿宋" w:hAnsi="仿宋" w:eastAsia="仿宋" w:cs="仿宋"/>
          <w:color w:val="000000" w:themeColor="text1"/>
          <w:sz w:val="32"/>
          <w:szCs w:val="32"/>
          <w:lang w:eastAsia="zh-CN"/>
          <w14:textFill>
            <w14:solidFill>
              <w14:schemeClr w14:val="tx1"/>
            </w14:solidFill>
          </w14:textFill>
        </w:rPr>
        <w:t>工作</w:t>
      </w:r>
      <w:r>
        <w:rPr>
          <w:rFonts w:hint="eastAsia" w:ascii="仿宋" w:hAnsi="仿宋" w:eastAsia="仿宋" w:cs="仿宋"/>
          <w:color w:val="000000" w:themeColor="text1"/>
          <w:sz w:val="32"/>
          <w:szCs w:val="32"/>
          <w14:textFill>
            <w14:solidFill>
              <w14:schemeClr w14:val="tx1"/>
            </w14:solidFill>
          </w14:textFill>
        </w:rPr>
        <w:t>和</w:t>
      </w:r>
      <w:r>
        <w:rPr>
          <w:rFonts w:hint="eastAsia" w:ascii="仿宋" w:hAnsi="仿宋" w:eastAsia="仿宋" w:cs="仿宋"/>
          <w:color w:val="000000" w:themeColor="text1"/>
          <w:sz w:val="32"/>
          <w:szCs w:val="32"/>
          <w:lang w:val="en-US" w:eastAsia="zh-CN"/>
          <w14:textFill>
            <w14:solidFill>
              <w14:schemeClr w14:val="tx1"/>
            </w14:solidFill>
          </w14:textFill>
        </w:rPr>
        <w:t>编制生活垃圾收费标准方案</w:t>
      </w:r>
      <w:r>
        <w:rPr>
          <w:rFonts w:hint="eastAsia" w:ascii="仿宋" w:hAnsi="仿宋" w:eastAsia="仿宋" w:cs="仿宋"/>
          <w:color w:val="000000" w:themeColor="text1"/>
          <w:sz w:val="32"/>
          <w:szCs w:val="32"/>
          <w14:textFill>
            <w14:solidFill>
              <w14:schemeClr w14:val="tx1"/>
            </w14:solidFill>
          </w14:textFill>
        </w:rPr>
        <w:t>，完善环卫清扫保洁精细化作业规则，加强监督管理，严格督查考评，环卫管理科学化、规范化、标准化水平有效提升。</w:t>
      </w:r>
      <w:r>
        <w:rPr>
          <w:rFonts w:hint="eastAsia" w:ascii="仿宋" w:hAnsi="仿宋" w:eastAsia="仿宋" w:cs="仿宋"/>
          <w:b/>
          <w:bCs/>
          <w:color w:val="000000" w:themeColor="text1"/>
          <w:sz w:val="32"/>
          <w:szCs w:val="32"/>
          <w:lang w:eastAsia="zh-CN"/>
          <w14:textFill>
            <w14:solidFill>
              <w14:schemeClr w14:val="tx1"/>
            </w14:solidFill>
          </w14:textFill>
        </w:rPr>
        <w:t>试点推行城乡生活垃圾分类工作。</w:t>
      </w:r>
      <w:r>
        <w:rPr>
          <w:rFonts w:hint="eastAsia" w:ascii="仿宋" w:hAnsi="仿宋" w:eastAsia="仿宋" w:cs="仿宋"/>
          <w:b w:val="0"/>
          <w:bCs w:val="0"/>
          <w:color w:val="000000" w:themeColor="text1"/>
          <w:sz w:val="32"/>
          <w:szCs w:val="32"/>
          <w:lang w:eastAsia="zh-CN"/>
          <w14:textFill>
            <w14:solidFill>
              <w14:schemeClr w14:val="tx1"/>
            </w14:solidFill>
          </w14:textFill>
        </w:rPr>
        <w:t>根据工作实际，研究制定《方案》，成立领导小组，一开战垃圾分类宣传</w:t>
      </w:r>
      <w:r>
        <w:rPr>
          <w:rFonts w:hint="eastAsia" w:ascii="仿宋" w:hAnsi="仿宋" w:eastAsia="仿宋" w:cs="仿宋"/>
          <w:b w:val="0"/>
          <w:bCs w:val="0"/>
          <w:color w:val="000000" w:themeColor="text1"/>
          <w:sz w:val="32"/>
          <w:szCs w:val="32"/>
          <w:lang w:val="en-US" w:eastAsia="zh-CN"/>
          <w14:textFill>
            <w14:solidFill>
              <w14:schemeClr w14:val="tx1"/>
            </w14:solidFill>
          </w14:textFill>
        </w:rPr>
        <w:t>13次，发放宣传资料1250份，下一步将试点选址，明确试点点位</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编制生活垃圾收费标准方案。</w:t>
      </w:r>
      <w:r>
        <w:rPr>
          <w:rFonts w:hint="eastAsia" w:ascii="仿宋" w:hAnsi="仿宋" w:eastAsia="仿宋" w:cs="仿宋"/>
          <w:b w:val="0"/>
          <w:bCs w:val="0"/>
          <w:color w:val="000000" w:themeColor="text1"/>
          <w:sz w:val="32"/>
          <w:szCs w:val="32"/>
          <w:lang w:val="en-US" w:eastAsia="zh-CN"/>
          <w14:textFill>
            <w14:solidFill>
              <w14:schemeClr w14:val="tx1"/>
            </w14:solidFill>
          </w14:textFill>
        </w:rPr>
        <w:t>编制《方案》，向全县各乡镇征求意见，报县政府审议。</w:t>
      </w:r>
      <w:r>
        <w:rPr>
          <w:rFonts w:hint="eastAsia" w:ascii="仿宋" w:hAnsi="仿宋" w:eastAsia="仿宋" w:cs="仿宋"/>
          <w:b/>
          <w:bCs/>
          <w:color w:val="000000" w:themeColor="text1"/>
          <w:sz w:val="32"/>
          <w:szCs w:val="32"/>
          <w:lang w:eastAsia="zh-CN"/>
          <w14:textFill>
            <w14:solidFill>
              <w14:schemeClr w14:val="tx1"/>
            </w14:solidFill>
          </w14:textFill>
        </w:rPr>
        <w:t>强化环境卫生管理。</w:t>
      </w:r>
      <w:r>
        <w:rPr>
          <w:rFonts w:hint="eastAsia" w:ascii="仿宋" w:hAnsi="仿宋" w:eastAsia="仿宋" w:cs="仿宋"/>
          <w:color w:val="000000" w:themeColor="text1"/>
          <w:kern w:val="0"/>
          <w:sz w:val="32"/>
          <w:szCs w:val="32"/>
          <w14:textFill>
            <w14:solidFill>
              <w14:schemeClr w14:val="tx1"/>
            </w14:solidFill>
          </w14:textFill>
        </w:rPr>
        <w:t>对县城</w:t>
      </w:r>
      <w:r>
        <w:rPr>
          <w:rStyle w:val="14"/>
          <w:rFonts w:hint="eastAsia" w:ascii="仿宋" w:hAnsi="仿宋" w:eastAsia="仿宋" w:cs="仿宋"/>
          <w:b w:val="0"/>
          <w:i w:val="0"/>
          <w:caps w:val="0"/>
          <w:color w:val="000000" w:themeColor="text1"/>
          <w:spacing w:val="0"/>
          <w:w w:val="100"/>
          <w:kern w:val="0"/>
          <w:sz w:val="32"/>
          <w:szCs w:val="32"/>
          <w:lang w:val="en-US" w:eastAsia="zh-CN" w:bidi="ar-SA"/>
          <w14:textFill>
            <w14:solidFill>
              <w14:schemeClr w14:val="tx1"/>
            </w14:solidFill>
          </w14:textFill>
        </w:rPr>
        <w:t>90</w:t>
      </w:r>
      <w:r>
        <w:rPr>
          <w:rFonts w:hint="eastAsia" w:ascii="仿宋" w:hAnsi="仿宋" w:eastAsia="仿宋" w:cs="仿宋"/>
          <w:color w:val="000000" w:themeColor="text1"/>
          <w:kern w:val="0"/>
          <w:sz w:val="32"/>
          <w:szCs w:val="32"/>
          <w14:textFill>
            <w14:solidFill>
              <w14:schemeClr w14:val="tx1"/>
            </w14:solidFill>
          </w14:textFill>
        </w:rPr>
        <w:t>个垃圾收集点的生活垃圾“日产日清”，清理卫生死角</w:t>
      </w:r>
      <w:r>
        <w:rPr>
          <w:rStyle w:val="14"/>
          <w:rFonts w:hint="eastAsia" w:ascii="仿宋" w:hAnsi="仿宋" w:eastAsia="仿宋" w:cs="仿宋"/>
          <w:b w:val="0"/>
          <w:i w:val="0"/>
          <w:caps w:val="0"/>
          <w:color w:val="000000" w:themeColor="text1"/>
          <w:spacing w:val="0"/>
          <w:w w:val="100"/>
          <w:kern w:val="2"/>
          <w:sz w:val="32"/>
          <w:szCs w:val="32"/>
          <w:lang w:val="en-US" w:eastAsia="zh-CN" w:bidi="ar-SA"/>
          <w14:textFill>
            <w14:solidFill>
              <w14:schemeClr w14:val="tx1"/>
            </w14:solidFill>
          </w14:textFill>
        </w:rPr>
        <w:t>650</w:t>
      </w:r>
      <w:r>
        <w:rPr>
          <w:rFonts w:hint="eastAsia" w:ascii="仿宋" w:hAnsi="仿宋" w:eastAsia="仿宋" w:cs="仿宋"/>
          <w:color w:val="000000" w:themeColor="text1"/>
          <w:kern w:val="0"/>
          <w:sz w:val="32"/>
          <w:szCs w:val="32"/>
          <w14:textFill>
            <w14:solidFill>
              <w14:schemeClr w14:val="tx1"/>
            </w14:solidFill>
          </w14:textFill>
        </w:rPr>
        <w:t>处</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共清理城区生活垃圾近</w:t>
      </w:r>
      <w:r>
        <w:rPr>
          <w:rStyle w:val="14"/>
          <w:rFonts w:hint="eastAsia" w:ascii="仿宋" w:hAnsi="仿宋" w:eastAsia="仿宋" w:cs="仿宋"/>
          <w:b w:val="0"/>
          <w:i w:val="0"/>
          <w:caps w:val="0"/>
          <w:color w:val="000000" w:themeColor="text1"/>
          <w:spacing w:val="0"/>
          <w:w w:val="100"/>
          <w:kern w:val="0"/>
          <w:sz w:val="32"/>
          <w:szCs w:val="32"/>
          <w:lang w:val="en-US" w:eastAsia="zh-CN" w:bidi="ar-SA"/>
          <w14:textFill>
            <w14:solidFill>
              <w14:schemeClr w14:val="tx1"/>
            </w14:solidFill>
          </w14:textFill>
        </w:rPr>
        <w:t>9000</w:t>
      </w:r>
      <w:r>
        <w:rPr>
          <w:rFonts w:hint="eastAsia" w:ascii="仿宋" w:hAnsi="仿宋" w:eastAsia="仿宋" w:cs="仿宋"/>
          <w:color w:val="000000" w:themeColor="text1"/>
          <w:kern w:val="0"/>
          <w:sz w:val="32"/>
          <w:szCs w:val="32"/>
          <w14:textFill>
            <w14:solidFill>
              <w14:schemeClr w14:val="tx1"/>
            </w14:solidFill>
          </w14:textFill>
        </w:rPr>
        <w:t>吨；对八步里排洪道、蔡家沟排洪道内的杂草和垃圾进行彻底的清理，全面喷洒无害无毒除草剂</w:t>
      </w:r>
      <w:r>
        <w:rPr>
          <w:rFonts w:hint="eastAsia" w:ascii="仿宋" w:hAnsi="仿宋" w:eastAsia="仿宋" w:cs="仿宋"/>
          <w:color w:val="000000" w:themeColor="text1"/>
          <w:kern w:val="0"/>
          <w:sz w:val="32"/>
          <w:szCs w:val="32"/>
          <w:lang w:val="en-US" w:eastAsia="zh-CN"/>
          <w14:textFill>
            <w14:solidFill>
              <w14:schemeClr w14:val="tx1"/>
            </w14:solidFill>
          </w14:textFill>
        </w:rPr>
        <w:t>3</w:t>
      </w:r>
      <w:r>
        <w:rPr>
          <w:rFonts w:hint="eastAsia" w:ascii="仿宋" w:hAnsi="仿宋" w:eastAsia="仿宋" w:cs="仿宋"/>
          <w:color w:val="000000" w:themeColor="text1"/>
          <w:kern w:val="0"/>
          <w:sz w:val="32"/>
          <w:szCs w:val="32"/>
          <w14:textFill>
            <w14:solidFill>
              <w14:schemeClr w14:val="tx1"/>
            </w14:solidFill>
          </w14:textFill>
        </w:rPr>
        <w:t>次；清除各类乱贴乱画、小广告等</w:t>
      </w:r>
      <w:r>
        <w:rPr>
          <w:rFonts w:hint="eastAsia" w:ascii="仿宋" w:hAnsi="仿宋" w:eastAsia="仿宋" w:cs="仿宋"/>
          <w:color w:val="000000" w:themeColor="text1"/>
          <w:kern w:val="0"/>
          <w:sz w:val="32"/>
          <w:szCs w:val="32"/>
          <w:lang w:val="en-US" w:eastAsia="zh-CN"/>
          <w14:textFill>
            <w14:solidFill>
              <w14:schemeClr w14:val="tx1"/>
            </w14:solidFill>
          </w14:textFill>
        </w:rPr>
        <w:t>2300</w:t>
      </w:r>
      <w:r>
        <w:rPr>
          <w:rFonts w:hint="eastAsia" w:ascii="仿宋" w:hAnsi="仿宋" w:eastAsia="仿宋" w:cs="仿宋"/>
          <w:color w:val="000000" w:themeColor="text1"/>
          <w:kern w:val="0"/>
          <w:sz w:val="32"/>
          <w:szCs w:val="32"/>
          <w14:textFill>
            <w14:solidFill>
              <w14:schemeClr w14:val="tx1"/>
            </w14:solidFill>
          </w14:textFill>
        </w:rPr>
        <w:t>处；清洗垃圾收集箱体</w:t>
      </w:r>
      <w:r>
        <w:rPr>
          <w:rFonts w:hint="eastAsia" w:ascii="仿宋" w:hAnsi="仿宋" w:eastAsia="仿宋" w:cs="仿宋"/>
          <w:color w:val="000000" w:themeColor="text1"/>
          <w:kern w:val="0"/>
          <w:sz w:val="32"/>
          <w:szCs w:val="32"/>
          <w:lang w:eastAsia="zh-CN"/>
          <w14:textFill>
            <w14:solidFill>
              <w14:schemeClr w14:val="tx1"/>
            </w14:solidFill>
          </w14:textFill>
        </w:rPr>
        <w:t>共</w:t>
      </w:r>
      <w:r>
        <w:rPr>
          <w:rFonts w:hint="eastAsia" w:ascii="仿宋" w:hAnsi="仿宋" w:eastAsia="仿宋" w:cs="仿宋"/>
          <w:color w:val="000000" w:themeColor="text1"/>
          <w:kern w:val="0"/>
          <w:sz w:val="32"/>
          <w:szCs w:val="32"/>
          <w:lang w:val="en-US" w:eastAsia="zh-CN"/>
          <w14:textFill>
            <w14:solidFill>
              <w14:schemeClr w14:val="tx1"/>
            </w14:solidFill>
          </w14:textFill>
        </w:rPr>
        <w:t>72</w:t>
      </w:r>
      <w:r>
        <w:rPr>
          <w:rFonts w:hint="eastAsia" w:ascii="仿宋" w:hAnsi="仿宋" w:eastAsia="仿宋" w:cs="仿宋"/>
          <w:color w:val="000000" w:themeColor="text1"/>
          <w:kern w:val="0"/>
          <w:sz w:val="32"/>
          <w:szCs w:val="32"/>
          <w14:textFill>
            <w14:solidFill>
              <w14:schemeClr w14:val="tx1"/>
            </w14:solidFill>
          </w14:textFill>
        </w:rPr>
        <w:t>次</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果屑箱</w:t>
      </w:r>
      <w:r>
        <w:rPr>
          <w:rFonts w:hint="eastAsia" w:ascii="仿宋" w:hAnsi="仿宋" w:eastAsia="仿宋" w:cs="仿宋"/>
          <w:color w:val="000000" w:themeColor="text1"/>
          <w:kern w:val="0"/>
          <w:sz w:val="32"/>
          <w:szCs w:val="32"/>
          <w:lang w:val="en-US" w:eastAsia="zh-CN"/>
          <w14:textFill>
            <w14:solidFill>
              <w14:schemeClr w14:val="tx1"/>
            </w14:solidFill>
          </w14:textFill>
        </w:rPr>
        <w:t>190</w:t>
      </w:r>
      <w:r>
        <w:rPr>
          <w:rFonts w:hint="eastAsia" w:ascii="仿宋" w:hAnsi="仿宋" w:eastAsia="仿宋" w:cs="仿宋"/>
          <w:color w:val="000000" w:themeColor="text1"/>
          <w:kern w:val="0"/>
          <w:sz w:val="32"/>
          <w:szCs w:val="32"/>
          <w14:textFill>
            <w14:solidFill>
              <w14:schemeClr w14:val="tx1"/>
            </w14:solidFill>
          </w14:textFill>
        </w:rPr>
        <w:t>次。</w:t>
      </w:r>
      <w:r>
        <w:rPr>
          <w:rFonts w:hint="eastAsia" w:ascii="仿宋" w:hAnsi="仿宋" w:eastAsia="仿宋" w:cs="仿宋"/>
          <w:color w:val="000000" w:themeColor="text1"/>
          <w:sz w:val="32"/>
          <w:szCs w:val="32"/>
          <w14:textFill>
            <w14:solidFill>
              <w14:schemeClr w14:val="tx1"/>
            </w14:solidFill>
          </w14:textFill>
        </w:rPr>
        <w:t>组织人员</w:t>
      </w:r>
      <w:r>
        <w:rPr>
          <w:rFonts w:hint="eastAsia" w:ascii="仿宋" w:hAnsi="仿宋" w:eastAsia="仿宋" w:cs="仿宋"/>
          <w:color w:val="000000" w:themeColor="text1"/>
          <w:sz w:val="32"/>
          <w:szCs w:val="32"/>
          <w:lang w:val="en-US" w:eastAsia="zh-CN"/>
          <w14:textFill>
            <w14:solidFill>
              <w14:schemeClr w14:val="tx1"/>
            </w14:solidFill>
          </w14:textFill>
        </w:rPr>
        <w:t>300</w:t>
      </w:r>
      <w:r>
        <w:rPr>
          <w:rFonts w:hint="eastAsia" w:ascii="仿宋" w:hAnsi="仿宋" w:eastAsia="仿宋" w:cs="仿宋"/>
          <w:color w:val="000000" w:themeColor="text1"/>
          <w:sz w:val="32"/>
          <w:szCs w:val="32"/>
          <w14:textFill>
            <w14:solidFill>
              <w14:schemeClr w14:val="tx1"/>
            </w14:solidFill>
          </w14:textFill>
        </w:rPr>
        <w:t>余人次，对县城内开展集中绿化养护，共除草15次，修剪茂盛绿植8次。每周定期清理绿化带垃圾、浇水各2次，更换县城349个花箱内各类鲜花4次，共计</w:t>
      </w:r>
      <w:r>
        <w:rPr>
          <w:rFonts w:hint="eastAsia" w:ascii="仿宋" w:hAnsi="仿宋" w:eastAsia="仿宋" w:cs="仿宋"/>
          <w:color w:val="000000" w:themeColor="text1"/>
          <w:sz w:val="32"/>
          <w:szCs w:val="32"/>
          <w:lang w:val="en-US" w:eastAsia="zh-CN"/>
          <w14:textFill>
            <w14:solidFill>
              <w14:schemeClr w14:val="tx1"/>
            </w14:solidFill>
          </w14:textFill>
        </w:rPr>
        <w:t>68860</w:t>
      </w:r>
      <w:r>
        <w:rPr>
          <w:rFonts w:hint="eastAsia" w:ascii="仿宋" w:hAnsi="仿宋" w:eastAsia="仿宋" w:cs="仿宋"/>
          <w:color w:val="000000" w:themeColor="text1"/>
          <w:sz w:val="32"/>
          <w:szCs w:val="32"/>
          <w14:textFill>
            <w14:solidFill>
              <w14:schemeClr w14:val="tx1"/>
            </w14:solidFill>
          </w14:textFill>
        </w:rPr>
        <w:t>余株；清理行道树树盘内垃圾47次，清理垃圾5.05吨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重点加强对废弃</w:t>
      </w:r>
      <w:r>
        <w:rPr>
          <w:rFonts w:hint="eastAsia" w:ascii="仿宋" w:hAnsi="仿宋" w:eastAsia="仿宋" w:cs="仿宋"/>
          <w:b/>
          <w:bCs/>
          <w:sz w:val="32"/>
          <w:szCs w:val="32"/>
        </w:rPr>
        <w:t>口罩的管理</w:t>
      </w:r>
      <w:r>
        <w:rPr>
          <w:rFonts w:hint="eastAsia" w:ascii="仿宋" w:hAnsi="仿宋" w:eastAsia="仿宋" w:cs="仿宋"/>
          <w:sz w:val="32"/>
          <w:szCs w:val="32"/>
          <w:lang w:eastAsia="zh-CN"/>
        </w:rPr>
        <w:t>。</w:t>
      </w:r>
      <w:r>
        <w:rPr>
          <w:rFonts w:hint="eastAsia" w:ascii="仿宋" w:hAnsi="仿宋" w:eastAsia="仿宋" w:cs="仿宋"/>
          <w:sz w:val="32"/>
          <w:szCs w:val="32"/>
        </w:rPr>
        <w:t>设置专门的废弃口罩专用桶，避免形成新的传染源，</w:t>
      </w:r>
      <w:r>
        <w:rPr>
          <w:rFonts w:hint="eastAsia" w:ascii="仿宋" w:hAnsi="仿宋" w:eastAsia="仿宋" w:cs="仿宋"/>
          <w:sz w:val="32"/>
          <w:szCs w:val="32"/>
          <w:lang w:eastAsia="zh-CN"/>
        </w:rPr>
        <w:t>每日由专业人员负责</w:t>
      </w:r>
      <w:r>
        <w:rPr>
          <w:rFonts w:hint="eastAsia" w:ascii="仿宋" w:hAnsi="仿宋" w:eastAsia="仿宋" w:cs="仿宋"/>
          <w:sz w:val="32"/>
          <w:szCs w:val="32"/>
        </w:rPr>
        <w:t>将废弃口罩统一</w:t>
      </w:r>
      <w:r>
        <w:rPr>
          <w:rFonts w:hint="eastAsia" w:ascii="仿宋" w:hAnsi="仿宋" w:eastAsia="仿宋" w:cs="仿宋"/>
          <w:sz w:val="32"/>
          <w:szCs w:val="32"/>
          <w:lang w:eastAsia="zh-CN"/>
        </w:rPr>
        <w:t>收至县人民医院，同医疗废弃口罩一并进行专业处理</w:t>
      </w:r>
      <w:r>
        <w:rPr>
          <w:rFonts w:hint="eastAsia" w:ascii="仿宋" w:hAnsi="仿宋" w:eastAsia="仿宋" w:cs="仿宋"/>
          <w:sz w:val="32"/>
          <w:szCs w:val="32"/>
        </w:rPr>
        <w:t>。</w:t>
      </w:r>
      <w:r>
        <w:rPr>
          <w:rFonts w:hint="eastAsia" w:ascii="仿宋" w:hAnsi="仿宋" w:eastAsia="仿宋" w:cs="仿宋"/>
          <w:b/>
          <w:bCs/>
          <w:color w:val="000000" w:themeColor="text1"/>
          <w:sz w:val="32"/>
          <w:szCs w:val="32"/>
          <w:lang w:eastAsia="zh-CN"/>
          <w14:textFill>
            <w14:solidFill>
              <w14:schemeClr w14:val="tx1"/>
            </w14:solidFill>
          </w14:textFill>
        </w:rPr>
        <w:t>多措并举，环卫工作进一步提升。</w:t>
      </w:r>
      <w:r>
        <w:rPr>
          <w:rFonts w:hint="eastAsia" w:ascii="仿宋" w:hAnsi="仿宋" w:eastAsia="仿宋" w:cs="仿宋"/>
          <w:color w:val="000000" w:themeColor="text1"/>
          <w:sz w:val="32"/>
          <w:szCs w:val="32"/>
          <w:lang w:eastAsia="zh-CN"/>
          <w14:textFill>
            <w14:solidFill>
              <w14:schemeClr w14:val="tx1"/>
            </w14:solidFill>
          </w14:textFill>
        </w:rPr>
        <w:t>根据实际制定“周末卫生大扫除”</w:t>
      </w:r>
      <w:r>
        <w:rPr>
          <w:rFonts w:hint="eastAsia" w:ascii="仿宋" w:hAnsi="仿宋" w:eastAsia="仿宋" w:cs="仿宋"/>
          <w:color w:val="000000" w:themeColor="text1"/>
          <w:sz w:val="32"/>
          <w:szCs w:val="32"/>
          <w14:textFill>
            <w14:solidFill>
              <w14:schemeClr w14:val="tx1"/>
            </w14:solidFill>
          </w14:textFill>
        </w:rPr>
        <w:t>活动</w:t>
      </w:r>
      <w:r>
        <w:rPr>
          <w:rFonts w:hint="eastAsia" w:ascii="仿宋" w:hAnsi="仿宋" w:eastAsia="仿宋" w:cs="仿宋"/>
          <w:color w:val="000000" w:themeColor="text1"/>
          <w:sz w:val="32"/>
          <w:szCs w:val="32"/>
          <w:lang w:eastAsia="zh-CN"/>
          <w14:textFill>
            <w14:solidFill>
              <w14:schemeClr w14:val="tx1"/>
            </w14:solidFill>
          </w14:textFill>
        </w:rPr>
        <w:t>方案</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i w:val="0"/>
          <w:iCs w:val="0"/>
          <w:caps w:val="0"/>
          <w:color w:val="000000" w:themeColor="text1"/>
          <w:spacing w:val="0"/>
          <w:sz w:val="32"/>
          <w:szCs w:val="32"/>
          <w:shd w:val="clear" w:color="auto" w:fill="FFFFFF"/>
          <w14:textFill>
            <w14:solidFill>
              <w14:schemeClr w14:val="tx1"/>
            </w14:solidFill>
          </w14:textFill>
        </w:rPr>
        <w:t>为全县73个企事业单位划定公共卫生区域，分段分片承包环境卫生工作，层层入手，动员全民参与，扎实推动全县城乡人居环境综合治理，掀起“周五大扫除”的新高潮，教育引导群众积极参与农村环境卫生整治工作，群众参与环境治理的凝聚力得到提高，人居环境条件得到有效改善，群众幸福指数有了质的提升，乡村振兴步伐快步迈进。</w:t>
      </w:r>
      <w:r>
        <w:rPr>
          <w:rFonts w:hint="eastAsia" w:ascii="仿宋" w:hAnsi="仿宋" w:eastAsia="仿宋" w:cs="仿宋"/>
          <w:i w:val="0"/>
          <w:iCs w:val="0"/>
          <w:caps w:val="0"/>
          <w:color w:val="000000" w:themeColor="text1"/>
          <w:spacing w:val="0"/>
          <w:sz w:val="32"/>
          <w:szCs w:val="32"/>
          <w:shd w:val="clear" w:color="auto" w:fill="FFFFFF"/>
          <w:lang w:eastAsia="zh-CN"/>
          <w14:textFill>
            <w14:solidFill>
              <w14:schemeClr w14:val="tx1"/>
            </w14:solidFill>
          </w14:textFill>
        </w:rPr>
        <w:t>结合</w:t>
      </w:r>
      <w:r>
        <w:rPr>
          <w:rFonts w:hint="eastAsia" w:ascii="仿宋" w:hAnsi="仿宋" w:eastAsia="仿宋" w:cs="仿宋"/>
          <w:color w:val="000000" w:themeColor="text1"/>
          <w:sz w:val="32"/>
          <w:szCs w:val="32"/>
          <w:lang w:val="en-US" w:eastAsia="zh-CN"/>
          <w14:textFill>
            <w14:solidFill>
              <w14:schemeClr w14:val="tx1"/>
            </w14:solidFill>
          </w14:textFill>
        </w:rPr>
        <w:t>“为民办实事”、“社区双报到”活动，先后三次下沉沐林社区开展环境卫生整治工作。</w:t>
      </w:r>
      <w:r>
        <w:rPr>
          <w:rFonts w:hint="eastAsia" w:ascii="仿宋" w:hAnsi="仿宋" w:eastAsia="仿宋" w:cs="仿宋"/>
          <w:color w:val="000000" w:themeColor="text1"/>
          <w:sz w:val="32"/>
          <w:szCs w:val="32"/>
          <w14:textFill>
            <w14:solidFill>
              <w14:schemeClr w14:val="tx1"/>
            </w14:solidFill>
          </w14:textFill>
        </w:rPr>
        <w:t>为全面排查辖区</w:t>
      </w:r>
      <w:r>
        <w:rPr>
          <w:rFonts w:hint="eastAsia" w:ascii="仿宋" w:hAnsi="仿宋" w:eastAsia="仿宋" w:cs="仿宋"/>
          <w:color w:val="000000" w:themeColor="text1"/>
          <w:sz w:val="32"/>
          <w:szCs w:val="32"/>
          <w:lang w:eastAsia="zh-CN"/>
          <w14:textFill>
            <w14:solidFill>
              <w14:schemeClr w14:val="tx1"/>
            </w14:solidFill>
          </w14:textFill>
        </w:rPr>
        <w:t>市政</w:t>
      </w:r>
      <w:r>
        <w:rPr>
          <w:rFonts w:hint="eastAsia" w:ascii="仿宋" w:hAnsi="仿宋" w:eastAsia="仿宋" w:cs="仿宋"/>
          <w:color w:val="000000" w:themeColor="text1"/>
          <w:sz w:val="32"/>
          <w:szCs w:val="32"/>
          <w14:textFill>
            <w14:solidFill>
              <w14:schemeClr w14:val="tx1"/>
            </w14:solidFill>
          </w14:textFill>
        </w:rPr>
        <w:t>环卫行业人群风险，营造更加安全的作业环境，切实维护环卫工人身体健康，</w:t>
      </w:r>
      <w:r>
        <w:rPr>
          <w:rFonts w:hint="eastAsia" w:ascii="仿宋" w:hAnsi="仿宋" w:eastAsia="仿宋" w:cs="仿宋"/>
          <w:color w:val="000000" w:themeColor="text1"/>
          <w:sz w:val="32"/>
          <w:szCs w:val="32"/>
          <w:lang w:val="en-US" w:eastAsia="zh-CN"/>
          <w14:textFill>
            <w14:solidFill>
              <w14:schemeClr w14:val="tx1"/>
            </w14:solidFill>
          </w14:textFill>
        </w:rPr>
        <w:t>8月5日</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组织</w:t>
      </w:r>
      <w:r>
        <w:rPr>
          <w:rFonts w:hint="eastAsia" w:ascii="仿宋" w:hAnsi="仿宋" w:eastAsia="仿宋" w:cs="仿宋"/>
          <w:color w:val="000000" w:themeColor="text1"/>
          <w:sz w:val="32"/>
          <w:szCs w:val="32"/>
          <w14:textFill>
            <w14:solidFill>
              <w14:schemeClr w14:val="tx1"/>
            </w14:solidFill>
          </w14:textFill>
        </w:rPr>
        <w:t>一线环卫工人在</w:t>
      </w:r>
      <w:r>
        <w:rPr>
          <w:rFonts w:hint="eastAsia" w:ascii="仿宋" w:hAnsi="仿宋" w:eastAsia="仿宋" w:cs="仿宋"/>
          <w:color w:val="000000" w:themeColor="text1"/>
          <w:sz w:val="32"/>
          <w:szCs w:val="32"/>
          <w:lang w:eastAsia="zh-CN"/>
          <w14:textFill>
            <w14:solidFill>
              <w14:schemeClr w14:val="tx1"/>
            </w14:solidFill>
          </w14:textFill>
        </w:rPr>
        <w:t>小广场</w:t>
      </w:r>
      <w:r>
        <w:rPr>
          <w:rFonts w:hint="eastAsia" w:ascii="仿宋" w:hAnsi="仿宋" w:eastAsia="仿宋" w:cs="仿宋"/>
          <w:color w:val="000000" w:themeColor="text1"/>
          <w:sz w:val="32"/>
          <w:szCs w:val="32"/>
          <w14:textFill>
            <w14:solidFill>
              <w14:schemeClr w14:val="tx1"/>
            </w14:solidFill>
          </w14:textFill>
        </w:rPr>
        <w:t>开展核酸检测采样工作</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为环卫工人筑牢防疫安全墙。</w:t>
      </w:r>
      <w:r>
        <w:rPr>
          <w:rFonts w:hint="eastAsia" w:ascii="仿宋" w:hAnsi="仿宋" w:eastAsia="仿宋" w:cs="仿宋"/>
          <w:b/>
          <w:bCs/>
          <w:color w:val="000000" w:themeColor="text1"/>
          <w:sz w:val="32"/>
          <w:szCs w:val="32"/>
          <w14:textFill>
            <w14:solidFill>
              <w14:schemeClr w14:val="tx1"/>
            </w14:solidFill>
          </w14:textFill>
        </w:rPr>
        <w:t>切实履行环卫公司监督管理责任</w:t>
      </w:r>
      <w:r>
        <w:rPr>
          <w:rFonts w:hint="eastAsia" w:ascii="仿宋" w:hAnsi="仿宋" w:eastAsia="仿宋" w:cs="仿宋"/>
          <w:b/>
          <w:bCs/>
          <w:color w:val="000000" w:themeColor="text1"/>
          <w:kern w:val="0"/>
          <w:sz w:val="32"/>
          <w:szCs w:val="32"/>
          <w14:textFill>
            <w14:solidFill>
              <w14:schemeClr w14:val="tx1"/>
            </w14:solidFill>
          </w14:textFill>
        </w:rPr>
        <w:t>。</w:t>
      </w:r>
      <w:r>
        <w:rPr>
          <w:rFonts w:hint="eastAsia" w:ascii="仿宋" w:hAnsi="仿宋" w:eastAsia="仿宋" w:cs="仿宋"/>
          <w:b w:val="0"/>
          <w:bCs w:val="0"/>
          <w:color w:val="000000" w:themeColor="text1"/>
          <w:kern w:val="0"/>
          <w:sz w:val="32"/>
          <w:szCs w:val="32"/>
          <w:lang w:val="en-US" w:eastAsia="zh-CN"/>
          <w14:textFill>
            <w14:solidFill>
              <w14:schemeClr w14:val="tx1"/>
            </w14:solidFill>
          </w14:textFill>
        </w:rPr>
        <w:t>今年以来，</w:t>
      </w:r>
      <w:r>
        <w:rPr>
          <w:rFonts w:hint="eastAsia" w:ascii="仿宋" w:hAnsi="仿宋" w:eastAsia="仿宋" w:cs="仿宋"/>
          <w:color w:val="000000" w:themeColor="text1"/>
          <w:sz w:val="32"/>
          <w:szCs w:val="32"/>
          <w14:textFill>
            <w14:solidFill>
              <w14:schemeClr w14:val="tx1"/>
            </w14:solidFill>
          </w14:textFill>
        </w:rPr>
        <w:t>以</w:t>
      </w:r>
      <w:r>
        <w:rPr>
          <w:rFonts w:hint="eastAsia" w:ascii="仿宋" w:hAnsi="仿宋" w:eastAsia="仿宋" w:cs="仿宋"/>
          <w:color w:val="000000" w:themeColor="text1"/>
          <w:sz w:val="32"/>
          <w:szCs w:val="32"/>
          <w:lang w:eastAsia="zh-CN"/>
          <w14:textFill>
            <w14:solidFill>
              <w14:schemeClr w14:val="tx1"/>
            </w14:solidFill>
          </w14:textFill>
        </w:rPr>
        <w:t>市政公用事业服务中心</w:t>
      </w:r>
      <w:r>
        <w:rPr>
          <w:rFonts w:hint="eastAsia" w:ascii="仿宋" w:hAnsi="仿宋" w:eastAsia="仿宋" w:cs="仿宋"/>
          <w:color w:val="000000" w:themeColor="text1"/>
          <w:sz w:val="32"/>
          <w:szCs w:val="32"/>
          <w14:textFill>
            <w14:solidFill>
              <w14:schemeClr w14:val="tx1"/>
            </w14:solidFill>
          </w14:textFill>
        </w:rPr>
        <w:t>为主体开展的环卫巡查工作共计</w:t>
      </w:r>
      <w:r>
        <w:rPr>
          <w:rFonts w:hint="eastAsia" w:ascii="仿宋" w:hAnsi="仿宋" w:eastAsia="仿宋" w:cs="仿宋"/>
          <w:color w:val="000000" w:themeColor="text1"/>
          <w:sz w:val="32"/>
          <w:szCs w:val="32"/>
          <w:lang w:val="en-US" w:eastAsia="zh-CN"/>
          <w14:textFill>
            <w14:solidFill>
              <w14:schemeClr w14:val="tx1"/>
            </w14:solidFill>
          </w14:textFill>
        </w:rPr>
        <w:t>790</w:t>
      </w:r>
      <w:r>
        <w:rPr>
          <w:rFonts w:hint="eastAsia" w:ascii="仿宋" w:hAnsi="仿宋" w:eastAsia="仿宋" w:cs="仿宋"/>
          <w:color w:val="000000" w:themeColor="text1"/>
          <w:sz w:val="32"/>
          <w:szCs w:val="32"/>
          <w14:textFill>
            <w14:solidFill>
              <w14:schemeClr w14:val="tx1"/>
            </w14:solidFill>
          </w14:textFill>
        </w:rPr>
        <w:t>余件，通过考评共扣减</w:t>
      </w:r>
      <w:r>
        <w:rPr>
          <w:rFonts w:hint="eastAsia" w:ascii="仿宋" w:hAnsi="仿宋" w:eastAsia="仿宋" w:cs="仿宋"/>
          <w:color w:val="000000" w:themeColor="text1"/>
          <w:sz w:val="32"/>
          <w:szCs w:val="32"/>
          <w:lang w:val="en-US" w:eastAsia="zh-CN"/>
          <w14:textFill>
            <w14:solidFill>
              <w14:schemeClr w14:val="tx1"/>
            </w14:solidFill>
          </w14:textFill>
        </w:rPr>
        <w:t>263</w:t>
      </w:r>
      <w:r>
        <w:rPr>
          <w:rFonts w:hint="eastAsia" w:ascii="仿宋" w:hAnsi="仿宋" w:eastAsia="仿宋" w:cs="仿宋"/>
          <w:color w:val="000000" w:themeColor="text1"/>
          <w:sz w:val="32"/>
          <w:szCs w:val="32"/>
          <w14:textFill>
            <w14:solidFill>
              <w14:schemeClr w14:val="tx1"/>
            </w14:solidFill>
          </w14:textFill>
        </w:rPr>
        <w:t>分，罚款</w:t>
      </w:r>
      <w:r>
        <w:rPr>
          <w:rFonts w:hint="eastAsia" w:ascii="仿宋" w:hAnsi="仿宋" w:eastAsia="仿宋" w:cs="仿宋"/>
          <w:color w:val="000000" w:themeColor="text1"/>
          <w:sz w:val="32"/>
          <w:szCs w:val="32"/>
          <w:lang w:val="en-US" w:eastAsia="zh-CN"/>
          <w14:textFill>
            <w14:solidFill>
              <w14:schemeClr w14:val="tx1"/>
            </w14:solidFill>
          </w14:textFill>
        </w:rPr>
        <w:t>55850</w:t>
      </w:r>
      <w:r>
        <w:rPr>
          <w:rFonts w:hint="eastAsia" w:ascii="仿宋" w:hAnsi="仿宋" w:eastAsia="仿宋" w:cs="仿宋"/>
          <w:color w:val="000000" w:themeColor="text1"/>
          <w:sz w:val="32"/>
          <w:szCs w:val="32"/>
          <w14:textFill>
            <w14:solidFill>
              <w14:schemeClr w14:val="tx1"/>
            </w14:solidFill>
          </w14:textFill>
        </w:rPr>
        <w:t>万元。</w:t>
      </w:r>
    </w:p>
    <w:p>
      <w:pPr>
        <w:pStyle w:val="5"/>
        <w:keepNext w:val="0"/>
        <w:keepLines w:val="0"/>
        <w:pageBreakBefore w:val="0"/>
        <w:kinsoku/>
        <w:wordWrap/>
        <w:overflowPunct/>
        <w:topLinePunct w:val="0"/>
        <w:autoSpaceDE/>
        <w:autoSpaceDN/>
        <w:bidi w:val="0"/>
        <w:adjustRightInd/>
        <w:spacing w:line="576" w:lineRule="exact"/>
        <w:ind w:firstLine="643" w:firstLineChars="200"/>
        <w:textAlignment w:val="auto"/>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b/>
          <w:bCs/>
          <w:color w:val="000000" w:themeColor="text1"/>
          <w:sz w:val="32"/>
          <w:szCs w:val="32"/>
          <w:lang w:eastAsia="zh-CN"/>
          <w14:textFill>
            <w14:solidFill>
              <w14:schemeClr w14:val="tx1"/>
            </w14:solidFill>
          </w14:textFill>
        </w:rPr>
        <w:t>（二）</w:t>
      </w:r>
      <w:r>
        <w:rPr>
          <w:rStyle w:val="12"/>
          <w:rFonts w:hint="eastAsia" w:ascii="仿宋" w:hAnsi="仿宋" w:eastAsia="仿宋" w:cs="仿宋"/>
          <w:b/>
          <w:bCs/>
          <w:i w:val="0"/>
          <w:iCs w:val="0"/>
          <w:caps w:val="0"/>
          <w:color w:val="000000" w:themeColor="text1"/>
          <w:spacing w:val="0"/>
          <w:sz w:val="32"/>
          <w:szCs w:val="32"/>
          <w:shd w:val="clear" w:fill="FFFFFF"/>
          <w14:textFill>
            <w14:solidFill>
              <w14:schemeClr w14:val="tx1"/>
            </w14:solidFill>
          </w14:textFill>
        </w:rPr>
        <w:t>市容秩序管控更加有力。</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圆满</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创建省级文明城市、全州文旅大会、</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2021年度梨花季</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等保障任务</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15</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余次。设置便民</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檫鞋点</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1处，规范“地摊经济”经营摊区3处，免费提供自产自销市场2处。</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全年共劝离流动摊点</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1200</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余个，取缔店外经营</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45</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处，清理条幅</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73</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个，拆除破旧广告牌、布幅</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17</w:t>
      </w:r>
      <w:r>
        <w:rPr>
          <w:rFonts w:hint="eastAsia" w:ascii="仿宋" w:hAnsi="仿宋" w:eastAsia="仿宋" w:cs="仿宋"/>
          <w:b/>
          <w:bCs/>
          <w:i w:val="0"/>
          <w:iCs w:val="0"/>
          <w:caps w:val="0"/>
          <w:color w:val="000000" w:themeColor="text1"/>
          <w:spacing w:val="0"/>
          <w:sz w:val="32"/>
          <w:szCs w:val="32"/>
          <w:shd w:val="clear" w:fill="FFFFFF"/>
          <w14:textFill>
            <w14:solidFill>
              <w14:schemeClr w14:val="tx1"/>
            </w14:solidFill>
          </w14:textFill>
        </w:rPr>
        <w:t>个，清理占道堆放</w:t>
      </w:r>
      <w:r>
        <w:rPr>
          <w:rFonts w:hint="eastAsia" w:ascii="仿宋" w:hAnsi="仿宋" w:eastAsia="仿宋" w:cs="仿宋"/>
          <w:b/>
          <w:bCs/>
          <w:i w:val="0"/>
          <w:iCs w:val="0"/>
          <w:caps w:val="0"/>
          <w:color w:val="000000" w:themeColor="text1"/>
          <w:spacing w:val="0"/>
          <w:sz w:val="32"/>
          <w:szCs w:val="32"/>
          <w:shd w:val="clear" w:fill="FFFFFF"/>
          <w:lang w:val="en-US" w:eastAsia="zh-CN"/>
          <w14:textFill>
            <w14:solidFill>
              <w14:schemeClr w14:val="tx1"/>
            </w14:solidFill>
          </w14:textFill>
        </w:rPr>
        <w:t>31</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处，制止噪音扰民</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次，查处擅自挖掘城市道路</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5</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处，清理店外晾晒</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21</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次，取缔未经批准商业活动</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个，规范装修施工围挡771个，清理占道护坡72处。</w:t>
      </w:r>
    </w:p>
    <w:p>
      <w:pPr>
        <w:pStyle w:val="5"/>
        <w:keepNext w:val="0"/>
        <w:keepLines w:val="0"/>
        <w:pageBreakBefore w:val="0"/>
        <w:kinsoku/>
        <w:wordWrap/>
        <w:overflowPunct/>
        <w:topLinePunct w:val="0"/>
        <w:autoSpaceDE/>
        <w:autoSpaceDN/>
        <w:bidi w:val="0"/>
        <w:adjustRightInd/>
        <w:spacing w:line="576" w:lineRule="exact"/>
        <w:ind w:firstLine="643" w:firstLineChars="200"/>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b/>
          <w:bCs/>
          <w:i w:val="0"/>
          <w:iCs w:val="0"/>
          <w:caps w:val="0"/>
          <w:color w:val="000000" w:themeColor="text1"/>
          <w:spacing w:val="0"/>
          <w:sz w:val="32"/>
          <w:szCs w:val="32"/>
          <w:shd w:val="clear" w:fill="FFFFFF"/>
          <w:lang w:eastAsia="zh-CN"/>
          <w14:textFill>
            <w14:solidFill>
              <w14:schemeClr w14:val="tx1"/>
            </w14:solidFill>
          </w14:textFill>
        </w:rPr>
        <w:t>（三）</w:t>
      </w:r>
      <w:r>
        <w:rPr>
          <w:rStyle w:val="12"/>
          <w:rFonts w:hint="eastAsia" w:ascii="仿宋" w:hAnsi="仿宋" w:eastAsia="仿宋" w:cs="仿宋"/>
          <w:b/>
          <w:bCs/>
          <w:i w:val="0"/>
          <w:iCs w:val="0"/>
          <w:caps w:val="0"/>
          <w:color w:val="000000" w:themeColor="text1"/>
          <w:spacing w:val="0"/>
          <w:sz w:val="32"/>
          <w:szCs w:val="32"/>
          <w:shd w:val="clear" w:fill="FFFFFF"/>
          <w14:textFill>
            <w14:solidFill>
              <w14:schemeClr w14:val="tx1"/>
            </w14:solidFill>
          </w14:textFill>
        </w:rPr>
        <w:t>市政设施管护更加精细。</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维修道路约</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1100余</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平方米</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、人行道</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3600余平方米</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，维修更换</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93</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座</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，疏通下水管道</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100余次</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并按照中央、省、州关于窨井盖整治的工作部署，城市《整治方案》、建立领导小组，目前已完成对城区</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1177个窨井盖、410个雨水篦子进行了排查。</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有力的保障了城市道路的安全通行，提升了市容市貌。加强城市照明设施管护，精细化</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维修</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陈旧路灯，维修路灯光源</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174</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盏、线路故障85处，更换镇流器368个、触发器</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120</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个、灯泡506个、漏电开关</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45</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个，维修控制柜72次，拆除废旧路灯</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21</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根，恢复</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泥石流</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损坏的路灯25处，更换电缆1265米</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。对城区</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建筑亮化配电箱42个，</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河堤及栏杆亮化</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配电箱11个，龙王庙山体投影2个，河堤及栏杆亮化约6km，建筑楼宇亮化70处，桥梁亮化3座，勒双路人行道景观9处进行管理及维护。</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76" w:lineRule="exact"/>
        <w:ind w:left="645" w:right="0" w:firstLine="315"/>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Style w:val="12"/>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二、深化专项整治，有效改善环境质量</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（一）城乡环境治理纵深推进。</w:t>
      </w:r>
      <w:r>
        <w:rPr>
          <w:rFonts w:hint="eastAsia" w:ascii="仿宋" w:hAnsi="仿宋" w:eastAsia="仿宋" w:cs="仿宋"/>
          <w:color w:val="000000" w:themeColor="text1"/>
          <w:sz w:val="32"/>
          <w:szCs w:val="32"/>
          <w14:textFill>
            <w14:solidFill>
              <w14:schemeClr w14:val="tx1"/>
            </w14:solidFill>
          </w14:textFill>
        </w:rPr>
        <w:t>以“街面干净、秩序规范、设施完好、风貌独特”为目标，深入推进城市环境卫生整治工作，全面落实环卫精细化管理，进一步提升城市环境卫生管理水平。</w:t>
      </w:r>
    </w:p>
    <w:p>
      <w:pPr>
        <w:keepNext w:val="0"/>
        <w:keepLines w:val="0"/>
        <w:pageBreakBefore w:val="0"/>
        <w:kinsoku/>
        <w:wordWrap/>
        <w:overflowPunct/>
        <w:topLinePunct w:val="0"/>
        <w:autoSpaceDE/>
        <w:autoSpaceDN/>
        <w:bidi w:val="0"/>
        <w:adjustRightInd/>
        <w:spacing w:line="576"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000000" w:themeColor="text1"/>
          <w:sz w:val="32"/>
          <w:szCs w:val="32"/>
          <w14:textFill>
            <w14:solidFill>
              <w14:schemeClr w14:val="tx1"/>
            </w14:solidFill>
          </w14:textFill>
        </w:rPr>
        <w:t>（二）扬尘污染治理成效明显。</w:t>
      </w:r>
      <w:r>
        <w:rPr>
          <w:rFonts w:hint="eastAsia" w:ascii="仿宋" w:hAnsi="仿宋" w:eastAsia="仿宋" w:cs="仿宋"/>
          <w:color w:val="000000" w:themeColor="text1"/>
          <w:sz w:val="32"/>
          <w:szCs w:val="32"/>
          <w14:textFill>
            <w14:solidFill>
              <w14:schemeClr w14:val="tx1"/>
            </w14:solidFill>
          </w14:textFill>
        </w:rPr>
        <w:t>建立“每日一巡查、每周一调度、每月一通报”工作机制，深入治理露天烧烤、露天焚烧、道路扬尘等问题，强化联合执法，严格曝光问责，</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约谈工地及建筑垃圾运输企业负责人</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人</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，现场劝导</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违规工地和渣土运输企业</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车辆</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27次。</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二、收入支出预算执行情况分析。</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Style w:val="12"/>
          <w:rFonts w:hint="eastAsia" w:ascii="仿宋" w:hAnsi="仿宋" w:eastAsia="仿宋" w:cs="仿宋"/>
          <w:sz w:val="32"/>
          <w:szCs w:val="32"/>
          <w:shd w:val="clear" w:fill="FFFFFF"/>
        </w:rPr>
        <w:t>（一）收入支出预算安排情况。</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本单位本年度收入的年初预算数为351.51万元，上年度收入的年初预算数为339.53万元，差异为11.98万元；</w:t>
      </w:r>
      <w:r>
        <w:rPr>
          <w:rFonts w:hint="eastAsia" w:ascii="仿宋" w:hAnsi="仿宋" w:eastAsia="仿宋" w:cs="仿宋"/>
          <w:b w:val="0"/>
          <w:color w:val="auto"/>
          <w:sz w:val="32"/>
          <w:szCs w:val="32"/>
          <w:lang w:val="en-US" w:eastAsia="zh-CN"/>
        </w:rPr>
        <w:t>人员增加经费增加</w:t>
      </w:r>
      <w:r>
        <w:rPr>
          <w:rFonts w:hint="eastAsia" w:ascii="仿宋" w:hAnsi="仿宋" w:eastAsia="仿宋" w:cs="仿宋"/>
          <w:sz w:val="32"/>
          <w:szCs w:val="32"/>
          <w:shd w:val="clear" w:fill="FFFFFF"/>
        </w:rPr>
        <w:t>。本年度支出的年初预算数为 351.51万元，上年度支出的年初预算数为339.53万元，差异为11.98万元；</w:t>
      </w:r>
      <w:r>
        <w:rPr>
          <w:rFonts w:hint="eastAsia" w:ascii="仿宋" w:hAnsi="仿宋" w:eastAsia="仿宋" w:cs="仿宋"/>
          <w:b w:val="0"/>
          <w:color w:val="auto"/>
          <w:sz w:val="32"/>
          <w:szCs w:val="32"/>
          <w:lang w:val="en-US" w:eastAsia="zh-CN"/>
        </w:rPr>
        <w:t>人员增加经费增加</w:t>
      </w:r>
      <w:r>
        <w:rPr>
          <w:rStyle w:val="12"/>
          <w:rFonts w:hint="eastAsia" w:ascii="仿宋" w:hAnsi="仿宋" w:eastAsia="仿宋" w:cs="仿宋"/>
          <w:sz w:val="32"/>
          <w:szCs w:val="32"/>
          <w:shd w:val="clear" w:fill="FFFFFF"/>
        </w:rPr>
        <w:t>。</w:t>
      </w:r>
      <w:r>
        <w:rPr>
          <w:rFonts w:hint="eastAsia" w:ascii="仿宋" w:hAnsi="仿宋" w:eastAsia="仿宋" w:cs="仿宋"/>
          <w:sz w:val="32"/>
          <w:szCs w:val="32"/>
        </w:rPr>
        <w:drawing>
          <wp:inline distT="0" distB="0" distL="114300" distR="114300">
            <wp:extent cx="4572000" cy="2743200"/>
            <wp:effectExtent l="4445" t="4445" r="14605" b="14605"/>
            <wp:docPr id="4" name="图表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Style w:val="12"/>
          <w:rFonts w:hint="eastAsia" w:ascii="仿宋" w:hAnsi="仿宋" w:eastAsia="仿宋" w:cs="仿宋"/>
          <w:sz w:val="32"/>
          <w:szCs w:val="32"/>
          <w:shd w:val="clear" w:fill="FFFFFF"/>
        </w:rPr>
        <w:t>（二）收入支出预算执行情况。</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本单位本年度收入调整预算数为708.58万元，收入决算数为708.58万元，预算完成度为100.00%，上年度预算完成度为100.00%，</w:t>
      </w:r>
      <w:r>
        <w:rPr>
          <w:rStyle w:val="12"/>
          <w:rFonts w:hint="eastAsia" w:ascii="仿宋" w:hAnsi="仿宋" w:eastAsia="仿宋" w:cs="仿宋"/>
          <w:sz w:val="32"/>
          <w:szCs w:val="32"/>
          <w:shd w:val="clear" w:fill="FFFFFF"/>
        </w:rPr>
        <w:t>存在差异的主要原因为</w:t>
      </w:r>
      <w:r>
        <w:rPr>
          <w:rFonts w:hint="eastAsia" w:ascii="仿宋" w:hAnsi="仿宋" w:eastAsia="仿宋" w:cs="仿宋"/>
          <w:b w:val="0"/>
          <w:color w:val="auto"/>
          <w:sz w:val="32"/>
          <w:szCs w:val="32"/>
          <w:lang w:val="en-US" w:eastAsia="zh-CN"/>
        </w:rPr>
        <w:t>追加</w:t>
      </w:r>
      <w:r>
        <w:rPr>
          <w:rFonts w:hint="eastAsia" w:ascii="仿宋" w:hAnsi="仿宋" w:eastAsia="仿宋" w:cs="仿宋"/>
          <w:b w:val="0"/>
          <w:color w:val="auto"/>
          <w:sz w:val="32"/>
          <w:szCs w:val="32"/>
          <w:lang w:eastAsia="zh-CN"/>
        </w:rPr>
        <w:t>城市维护费</w:t>
      </w:r>
      <w:r>
        <w:rPr>
          <w:rFonts w:hint="eastAsia" w:ascii="仿宋" w:hAnsi="仿宋" w:eastAsia="仿宋" w:cs="仿宋"/>
          <w:b w:val="0"/>
          <w:color w:val="auto"/>
          <w:sz w:val="32"/>
          <w:szCs w:val="32"/>
          <w:lang w:val="en-US" w:eastAsia="zh-CN"/>
        </w:rPr>
        <w:t>和顺美环境卫生管理有限公司金川分公司服务费</w:t>
      </w:r>
      <w:r>
        <w:rPr>
          <w:rFonts w:hint="eastAsia" w:ascii="仿宋" w:hAnsi="仿宋" w:eastAsia="仿宋" w:cs="仿宋"/>
          <w:sz w:val="32"/>
          <w:szCs w:val="32"/>
          <w:shd w:val="clear" w:fill="FFFFFF"/>
        </w:rPr>
        <w:t>。 本年度支出调整预算数为708.58万元，支出决算数为708.58万元，预算完成度为100.00%，上年度预算完成度为100.00%，</w:t>
      </w:r>
      <w:r>
        <w:rPr>
          <w:rStyle w:val="12"/>
          <w:rFonts w:hint="eastAsia" w:ascii="仿宋" w:hAnsi="仿宋" w:eastAsia="仿宋" w:cs="仿宋"/>
          <w:sz w:val="32"/>
          <w:szCs w:val="32"/>
          <w:shd w:val="clear" w:fill="FFFFFF"/>
        </w:rPr>
        <w:t>存在差异的主要原因为</w:t>
      </w:r>
      <w:r>
        <w:rPr>
          <w:rFonts w:hint="eastAsia" w:ascii="仿宋" w:hAnsi="仿宋" w:eastAsia="仿宋" w:cs="仿宋"/>
          <w:b w:val="0"/>
          <w:color w:val="auto"/>
          <w:sz w:val="32"/>
          <w:szCs w:val="32"/>
          <w:lang w:val="en-US" w:eastAsia="zh-CN"/>
        </w:rPr>
        <w:t>追加</w:t>
      </w:r>
      <w:r>
        <w:rPr>
          <w:rFonts w:hint="eastAsia" w:ascii="仿宋" w:hAnsi="仿宋" w:eastAsia="仿宋" w:cs="仿宋"/>
          <w:b w:val="0"/>
          <w:color w:val="auto"/>
          <w:sz w:val="32"/>
          <w:szCs w:val="32"/>
          <w:lang w:eastAsia="zh-CN"/>
        </w:rPr>
        <w:t>城市维护费</w:t>
      </w:r>
      <w:r>
        <w:rPr>
          <w:rFonts w:hint="eastAsia" w:ascii="仿宋" w:hAnsi="仿宋" w:eastAsia="仿宋" w:cs="仿宋"/>
          <w:b w:val="0"/>
          <w:color w:val="auto"/>
          <w:sz w:val="32"/>
          <w:szCs w:val="32"/>
          <w:lang w:val="en-US" w:eastAsia="zh-CN"/>
        </w:rPr>
        <w:t>和顺美环境卫生管理有限公司金川分公司服务费</w:t>
      </w:r>
      <w:r>
        <w:rPr>
          <w:rFonts w:hint="eastAsia" w:ascii="仿宋" w:hAnsi="仿宋" w:eastAsia="仿宋" w:cs="仿宋"/>
          <w:sz w:val="32"/>
          <w:szCs w:val="32"/>
          <w:shd w:val="clear" w:fill="FFFFFF"/>
        </w:rPr>
        <w:t>。</w:t>
      </w:r>
      <w:r>
        <w:rPr>
          <w:rFonts w:hint="eastAsia" w:ascii="仿宋" w:hAnsi="仿宋" w:eastAsia="仿宋" w:cs="仿宋"/>
          <w:sz w:val="32"/>
          <w:szCs w:val="32"/>
        </w:rPr>
        <w:drawing>
          <wp:inline distT="0" distB="0" distL="114300" distR="114300">
            <wp:extent cx="4572000" cy="2743200"/>
            <wp:effectExtent l="4445" t="4445" r="14605" b="14605"/>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Style w:val="12"/>
          <w:rFonts w:hint="eastAsia" w:ascii="仿宋" w:hAnsi="仿宋" w:eastAsia="仿宋" w:cs="仿宋"/>
          <w:sz w:val="32"/>
          <w:szCs w:val="32"/>
          <w:shd w:val="clear" w:fill="FFFFFF"/>
        </w:rPr>
        <w:t>1．收入支出与预算对比分析。</w:t>
      </w:r>
    </w:p>
    <w:p>
      <w:pPr>
        <w:snapToGrid w:val="0"/>
        <w:spacing w:line="52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sz w:val="32"/>
          <w:szCs w:val="32"/>
          <w:shd w:val="clear" w:fill="FFFFFF"/>
        </w:rPr>
        <w:t>（1）预、决算差异情况，可分收入支出功能科目、分单位、分收入支出具体项目逐项对比。</w:t>
      </w:r>
      <w:r>
        <w:rPr>
          <w:rFonts w:hint="eastAsia" w:ascii="仿宋" w:hAnsi="仿宋" w:eastAsia="仿宋" w:cs="仿宋"/>
          <w:color w:val="auto"/>
          <w:sz w:val="32"/>
          <w:szCs w:val="32"/>
          <w:lang w:eastAsia="zh-CN"/>
        </w:rPr>
        <w:t>本年度年初预算收入</w:t>
      </w:r>
      <w:r>
        <w:rPr>
          <w:rFonts w:hint="eastAsia" w:ascii="仿宋" w:hAnsi="仿宋" w:eastAsia="仿宋" w:cs="仿宋"/>
          <w:color w:val="auto"/>
          <w:sz w:val="32"/>
          <w:szCs w:val="32"/>
          <w:vertAlign w:val="baseline"/>
          <w:lang w:val="en-US" w:eastAsia="zh-CN"/>
        </w:rPr>
        <w:t>351.51</w:t>
      </w:r>
      <w:r>
        <w:rPr>
          <w:rFonts w:hint="eastAsia" w:ascii="仿宋" w:hAnsi="仿宋" w:eastAsia="仿宋" w:cs="仿宋"/>
          <w:color w:val="auto"/>
          <w:sz w:val="32"/>
          <w:szCs w:val="32"/>
          <w:lang w:val="en-US" w:eastAsia="zh-CN"/>
        </w:rPr>
        <w:t>万元，预算支出</w:t>
      </w:r>
      <w:r>
        <w:rPr>
          <w:rFonts w:hint="eastAsia" w:ascii="仿宋" w:hAnsi="仿宋" w:eastAsia="仿宋" w:cs="仿宋"/>
          <w:color w:val="auto"/>
          <w:sz w:val="32"/>
          <w:szCs w:val="32"/>
          <w:vertAlign w:val="baseline"/>
          <w:lang w:val="en-US" w:eastAsia="zh-CN"/>
        </w:rPr>
        <w:t>351.51</w:t>
      </w:r>
      <w:r>
        <w:rPr>
          <w:rFonts w:hint="eastAsia" w:ascii="仿宋" w:hAnsi="仿宋" w:eastAsia="仿宋" w:cs="仿宋"/>
          <w:color w:val="auto"/>
          <w:sz w:val="32"/>
          <w:szCs w:val="32"/>
          <w:lang w:val="en-US" w:eastAsia="zh-CN"/>
        </w:rPr>
        <w:t>万元，年末决算收入708.58万元，支出708.58万元。</w:t>
      </w:r>
    </w:p>
    <w:p>
      <w:pPr>
        <w:snapToGrid w:val="0"/>
        <w:spacing w:line="52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2021年</w:t>
      </w:r>
      <w:r>
        <w:rPr>
          <w:rFonts w:hint="eastAsia" w:ascii="仿宋" w:hAnsi="仿宋" w:eastAsia="仿宋" w:cs="仿宋"/>
          <w:color w:val="auto"/>
          <w:sz w:val="32"/>
          <w:szCs w:val="32"/>
          <w:lang w:eastAsia="zh-CN"/>
        </w:rPr>
        <w:t>收入支出与预算对比分析（单位：万元）</w:t>
      </w:r>
    </w:p>
    <w:p>
      <w:pPr>
        <w:snapToGrid w:val="0"/>
        <w:spacing w:line="240" w:lineRule="auto"/>
        <w:rPr>
          <w:rFonts w:hint="eastAsia" w:ascii="仿宋" w:hAnsi="仿宋" w:eastAsia="仿宋" w:cs="仿宋"/>
          <w:color w:val="auto"/>
          <w:sz w:val="32"/>
          <w:szCs w:val="32"/>
          <w:lang w:val="en-US" w:eastAsia="zh-CN"/>
        </w:rPr>
      </w:pPr>
      <w:r>
        <w:rPr>
          <w:rFonts w:hint="eastAsia" w:ascii="仿宋" w:hAnsi="仿宋" w:eastAsia="仿宋" w:cs="仿宋"/>
          <w:sz w:val="32"/>
          <w:szCs w:val="32"/>
        </w:rPr>
        <w:drawing>
          <wp:inline distT="0" distB="0" distL="114300" distR="114300">
            <wp:extent cx="4572000" cy="3257550"/>
            <wp:effectExtent l="4445" t="4445" r="14605" b="14605"/>
            <wp:docPr id="9" name="图表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Style w:val="10"/>
        <w:tblpPr w:leftFromText="180" w:rightFromText="180" w:vertAnchor="text" w:horzAnchor="page" w:tblpX="1986" w:tblpY="615"/>
        <w:tblOverlap w:val="never"/>
        <w:tblW w:w="84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2"/>
        <w:gridCol w:w="2967"/>
        <w:gridCol w:w="2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602" w:type="dxa"/>
            <w:noWrap w:val="0"/>
            <w:vAlign w:val="top"/>
          </w:tcPr>
          <w:p>
            <w:pPr>
              <w:snapToGrid w:val="0"/>
              <w:spacing w:line="520" w:lineRule="exact"/>
              <w:jc w:val="center"/>
              <w:rPr>
                <w:rFonts w:hint="eastAsia" w:ascii="仿宋" w:hAnsi="仿宋" w:eastAsia="仿宋" w:cs="仿宋"/>
                <w:color w:val="auto"/>
                <w:sz w:val="32"/>
                <w:szCs w:val="32"/>
                <w:vertAlign w:val="baseline"/>
                <w:lang w:eastAsia="zh-CN"/>
              </w:rPr>
            </w:pPr>
            <w:r>
              <w:rPr>
                <w:rFonts w:hint="eastAsia" w:ascii="仿宋" w:hAnsi="仿宋" w:eastAsia="仿宋" w:cs="仿宋"/>
                <w:color w:val="auto"/>
                <w:sz w:val="32"/>
                <w:szCs w:val="32"/>
                <w:vertAlign w:val="baseline"/>
                <w:lang w:eastAsia="zh-CN"/>
              </w:rPr>
              <w:t>名称</w:t>
            </w:r>
          </w:p>
        </w:tc>
        <w:tc>
          <w:tcPr>
            <w:tcW w:w="2967" w:type="dxa"/>
            <w:noWrap w:val="0"/>
            <w:vAlign w:val="top"/>
          </w:tcPr>
          <w:p>
            <w:pPr>
              <w:snapToGrid w:val="0"/>
              <w:spacing w:line="520" w:lineRule="exact"/>
              <w:jc w:val="center"/>
              <w:rPr>
                <w:rFonts w:hint="eastAsia" w:ascii="仿宋" w:hAnsi="仿宋" w:eastAsia="仿宋" w:cs="仿宋"/>
                <w:color w:val="auto"/>
                <w:sz w:val="32"/>
                <w:szCs w:val="32"/>
                <w:vertAlign w:val="baseline"/>
                <w:lang w:val="en-US" w:eastAsia="zh-CN"/>
              </w:rPr>
            </w:pPr>
            <w:r>
              <w:rPr>
                <w:rFonts w:hint="eastAsia" w:ascii="仿宋" w:hAnsi="仿宋" w:eastAsia="仿宋" w:cs="仿宋"/>
                <w:color w:val="auto"/>
                <w:sz w:val="32"/>
                <w:szCs w:val="32"/>
                <w:vertAlign w:val="baseline"/>
                <w:lang w:eastAsia="zh-CN"/>
              </w:rPr>
              <w:t>预算</w:t>
            </w:r>
            <w:r>
              <w:rPr>
                <w:rFonts w:hint="eastAsia" w:ascii="仿宋" w:hAnsi="仿宋" w:eastAsia="仿宋" w:cs="仿宋"/>
                <w:color w:val="auto"/>
                <w:sz w:val="32"/>
                <w:szCs w:val="32"/>
                <w:vertAlign w:val="baseline"/>
                <w:lang w:val="en-US" w:eastAsia="zh-CN"/>
              </w:rPr>
              <w:t>数</w:t>
            </w:r>
          </w:p>
        </w:tc>
        <w:tc>
          <w:tcPr>
            <w:tcW w:w="2838" w:type="dxa"/>
            <w:noWrap w:val="0"/>
            <w:vAlign w:val="top"/>
          </w:tcPr>
          <w:p>
            <w:pPr>
              <w:snapToGrid w:val="0"/>
              <w:spacing w:line="520" w:lineRule="exact"/>
              <w:jc w:val="center"/>
              <w:rPr>
                <w:rFonts w:hint="eastAsia" w:ascii="仿宋" w:hAnsi="仿宋" w:eastAsia="仿宋" w:cs="仿宋"/>
                <w:color w:val="auto"/>
                <w:sz w:val="32"/>
                <w:szCs w:val="32"/>
                <w:vertAlign w:val="baseline"/>
                <w:lang w:eastAsia="zh-CN"/>
              </w:rPr>
            </w:pPr>
            <w:r>
              <w:rPr>
                <w:rFonts w:hint="eastAsia" w:ascii="仿宋" w:hAnsi="仿宋" w:eastAsia="仿宋" w:cs="仿宋"/>
                <w:color w:val="auto"/>
                <w:sz w:val="32"/>
                <w:szCs w:val="32"/>
                <w:vertAlign w:val="baseline"/>
                <w:lang w:eastAsia="zh-CN"/>
              </w:rPr>
              <w:t>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602" w:type="dxa"/>
            <w:noWrap w:val="0"/>
            <w:vAlign w:val="top"/>
          </w:tcPr>
          <w:p>
            <w:pPr>
              <w:snapToGrid w:val="0"/>
              <w:spacing w:line="520" w:lineRule="exact"/>
              <w:jc w:val="center"/>
              <w:rPr>
                <w:rFonts w:hint="eastAsia" w:ascii="仿宋" w:hAnsi="仿宋" w:eastAsia="仿宋" w:cs="仿宋"/>
                <w:color w:val="auto"/>
                <w:sz w:val="32"/>
                <w:szCs w:val="32"/>
                <w:vertAlign w:val="baseline"/>
                <w:lang w:eastAsia="zh-CN"/>
              </w:rPr>
            </w:pPr>
            <w:r>
              <w:rPr>
                <w:rFonts w:hint="eastAsia" w:ascii="仿宋" w:hAnsi="仿宋" w:eastAsia="仿宋" w:cs="仿宋"/>
                <w:color w:val="auto"/>
                <w:sz w:val="32"/>
                <w:szCs w:val="32"/>
                <w:vertAlign w:val="baseline"/>
                <w:lang w:eastAsia="zh-CN"/>
              </w:rPr>
              <w:t>总收入</w:t>
            </w:r>
          </w:p>
        </w:tc>
        <w:tc>
          <w:tcPr>
            <w:tcW w:w="2967" w:type="dxa"/>
            <w:noWrap w:val="0"/>
            <w:vAlign w:val="top"/>
          </w:tcPr>
          <w:p>
            <w:pPr>
              <w:snapToGrid w:val="0"/>
              <w:spacing w:line="520" w:lineRule="exact"/>
              <w:jc w:val="center"/>
              <w:rPr>
                <w:rFonts w:hint="eastAsia" w:ascii="仿宋" w:hAnsi="仿宋" w:eastAsia="仿宋" w:cs="仿宋"/>
                <w:color w:val="auto"/>
                <w:sz w:val="32"/>
                <w:szCs w:val="32"/>
                <w:vertAlign w:val="baseline"/>
                <w:lang w:val="en-US" w:eastAsia="zh-CN"/>
              </w:rPr>
            </w:pPr>
            <w:r>
              <w:rPr>
                <w:rFonts w:hint="eastAsia" w:ascii="仿宋" w:hAnsi="仿宋" w:eastAsia="仿宋" w:cs="仿宋"/>
                <w:color w:val="auto"/>
                <w:sz w:val="32"/>
                <w:szCs w:val="32"/>
                <w:vertAlign w:val="baseline"/>
                <w:lang w:val="en-US" w:eastAsia="zh-CN"/>
              </w:rPr>
              <w:t>351.51</w:t>
            </w:r>
          </w:p>
        </w:tc>
        <w:tc>
          <w:tcPr>
            <w:tcW w:w="2838" w:type="dxa"/>
            <w:noWrap w:val="0"/>
            <w:vAlign w:val="top"/>
          </w:tcPr>
          <w:p>
            <w:pPr>
              <w:snapToGrid w:val="0"/>
              <w:spacing w:line="520" w:lineRule="exact"/>
              <w:jc w:val="center"/>
              <w:rPr>
                <w:rFonts w:hint="eastAsia" w:ascii="仿宋" w:hAnsi="仿宋" w:eastAsia="仿宋" w:cs="仿宋"/>
                <w:color w:val="auto"/>
                <w:sz w:val="32"/>
                <w:szCs w:val="32"/>
                <w:vertAlign w:val="baseline"/>
                <w:lang w:val="en-US" w:eastAsia="zh-CN"/>
              </w:rPr>
            </w:pPr>
            <w:r>
              <w:rPr>
                <w:rFonts w:hint="eastAsia" w:ascii="仿宋" w:hAnsi="仿宋" w:eastAsia="仿宋" w:cs="仿宋"/>
                <w:b w:val="0"/>
                <w:color w:val="auto"/>
                <w:sz w:val="32"/>
                <w:szCs w:val="32"/>
                <w:lang w:val="en-US" w:eastAsia="zh-CN"/>
              </w:rPr>
              <w:t>708.58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602" w:type="dxa"/>
            <w:noWrap w:val="0"/>
            <w:vAlign w:val="top"/>
          </w:tcPr>
          <w:p>
            <w:pPr>
              <w:snapToGrid w:val="0"/>
              <w:spacing w:line="520" w:lineRule="exact"/>
              <w:jc w:val="center"/>
              <w:rPr>
                <w:rFonts w:hint="eastAsia" w:ascii="仿宋" w:hAnsi="仿宋" w:eastAsia="仿宋" w:cs="仿宋"/>
                <w:color w:val="auto"/>
                <w:sz w:val="32"/>
                <w:szCs w:val="32"/>
                <w:vertAlign w:val="baseline"/>
                <w:lang w:eastAsia="zh-CN"/>
              </w:rPr>
            </w:pPr>
            <w:r>
              <w:rPr>
                <w:rFonts w:hint="eastAsia" w:ascii="仿宋" w:hAnsi="仿宋" w:eastAsia="仿宋" w:cs="仿宋"/>
                <w:color w:val="auto"/>
                <w:sz w:val="32"/>
                <w:szCs w:val="32"/>
                <w:vertAlign w:val="baseline"/>
                <w:lang w:eastAsia="zh-CN"/>
              </w:rPr>
              <w:t>一般公共预算拨款</w:t>
            </w:r>
          </w:p>
        </w:tc>
        <w:tc>
          <w:tcPr>
            <w:tcW w:w="2967" w:type="dxa"/>
            <w:noWrap w:val="0"/>
            <w:vAlign w:val="top"/>
          </w:tcPr>
          <w:p>
            <w:pPr>
              <w:snapToGrid w:val="0"/>
              <w:spacing w:line="520" w:lineRule="exact"/>
              <w:jc w:val="center"/>
              <w:rPr>
                <w:rFonts w:hint="eastAsia" w:ascii="仿宋" w:hAnsi="仿宋" w:eastAsia="仿宋" w:cs="仿宋"/>
                <w:color w:val="auto"/>
                <w:sz w:val="32"/>
                <w:szCs w:val="32"/>
                <w:vertAlign w:val="baseline"/>
                <w:lang w:val="en-US" w:eastAsia="zh-CN"/>
              </w:rPr>
            </w:pPr>
            <w:r>
              <w:rPr>
                <w:rFonts w:hint="eastAsia" w:ascii="仿宋" w:hAnsi="仿宋" w:eastAsia="仿宋" w:cs="仿宋"/>
                <w:color w:val="auto"/>
                <w:sz w:val="32"/>
                <w:szCs w:val="32"/>
                <w:vertAlign w:val="baseline"/>
                <w:lang w:val="en-US" w:eastAsia="zh-CN"/>
              </w:rPr>
              <w:t>351.51</w:t>
            </w:r>
          </w:p>
        </w:tc>
        <w:tc>
          <w:tcPr>
            <w:tcW w:w="2838" w:type="dxa"/>
            <w:noWrap w:val="0"/>
            <w:vAlign w:val="top"/>
          </w:tcPr>
          <w:p>
            <w:pPr>
              <w:snapToGrid w:val="0"/>
              <w:spacing w:line="520" w:lineRule="exact"/>
              <w:jc w:val="center"/>
              <w:rPr>
                <w:rFonts w:hint="eastAsia" w:ascii="仿宋" w:hAnsi="仿宋" w:eastAsia="仿宋" w:cs="仿宋"/>
                <w:color w:val="auto"/>
                <w:sz w:val="32"/>
                <w:szCs w:val="32"/>
                <w:vertAlign w:val="baseline"/>
                <w:lang w:val="en-US" w:eastAsia="zh-CN"/>
              </w:rPr>
            </w:pPr>
            <w:r>
              <w:rPr>
                <w:rFonts w:hint="eastAsia" w:ascii="仿宋" w:hAnsi="仿宋" w:eastAsia="仿宋" w:cs="仿宋"/>
                <w:b w:val="0"/>
                <w:color w:val="auto"/>
                <w:sz w:val="32"/>
                <w:szCs w:val="32"/>
                <w:lang w:val="en-US" w:eastAsia="zh-CN"/>
              </w:rPr>
              <w:t>708.58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602" w:type="dxa"/>
            <w:noWrap w:val="0"/>
            <w:vAlign w:val="top"/>
          </w:tcPr>
          <w:p>
            <w:pPr>
              <w:snapToGrid w:val="0"/>
              <w:spacing w:line="520" w:lineRule="exact"/>
              <w:jc w:val="center"/>
              <w:rPr>
                <w:rFonts w:hint="eastAsia" w:ascii="仿宋" w:hAnsi="仿宋" w:eastAsia="仿宋" w:cs="仿宋"/>
                <w:color w:val="auto"/>
                <w:sz w:val="32"/>
                <w:szCs w:val="32"/>
                <w:vertAlign w:val="baseline"/>
                <w:lang w:eastAsia="zh-CN"/>
              </w:rPr>
            </w:pPr>
            <w:r>
              <w:rPr>
                <w:rFonts w:hint="eastAsia" w:ascii="仿宋" w:hAnsi="仿宋" w:eastAsia="仿宋" w:cs="仿宋"/>
                <w:color w:val="auto"/>
                <w:sz w:val="32"/>
                <w:szCs w:val="32"/>
                <w:vertAlign w:val="baseline"/>
                <w:lang w:eastAsia="zh-CN"/>
              </w:rPr>
              <w:t>总支出</w:t>
            </w:r>
          </w:p>
        </w:tc>
        <w:tc>
          <w:tcPr>
            <w:tcW w:w="2967" w:type="dxa"/>
            <w:noWrap w:val="0"/>
            <w:vAlign w:val="top"/>
          </w:tcPr>
          <w:p>
            <w:pPr>
              <w:snapToGrid w:val="0"/>
              <w:spacing w:line="520" w:lineRule="exact"/>
              <w:jc w:val="center"/>
              <w:rPr>
                <w:rFonts w:hint="eastAsia" w:ascii="仿宋" w:hAnsi="仿宋" w:eastAsia="仿宋" w:cs="仿宋"/>
                <w:color w:val="auto"/>
                <w:sz w:val="32"/>
                <w:szCs w:val="32"/>
                <w:vertAlign w:val="baseline"/>
                <w:lang w:val="en-US" w:eastAsia="zh-CN"/>
              </w:rPr>
            </w:pPr>
            <w:r>
              <w:rPr>
                <w:rFonts w:hint="eastAsia" w:ascii="仿宋" w:hAnsi="仿宋" w:eastAsia="仿宋" w:cs="仿宋"/>
                <w:color w:val="auto"/>
                <w:sz w:val="32"/>
                <w:szCs w:val="32"/>
                <w:vertAlign w:val="baseline"/>
                <w:lang w:val="en-US" w:eastAsia="zh-CN"/>
              </w:rPr>
              <w:t>351.51</w:t>
            </w:r>
          </w:p>
        </w:tc>
        <w:tc>
          <w:tcPr>
            <w:tcW w:w="2838" w:type="dxa"/>
            <w:noWrap w:val="0"/>
            <w:vAlign w:val="top"/>
          </w:tcPr>
          <w:p>
            <w:pPr>
              <w:snapToGrid w:val="0"/>
              <w:spacing w:line="520" w:lineRule="exact"/>
              <w:jc w:val="center"/>
              <w:rPr>
                <w:rFonts w:hint="eastAsia" w:ascii="仿宋" w:hAnsi="仿宋" w:eastAsia="仿宋" w:cs="仿宋"/>
                <w:color w:val="auto"/>
                <w:sz w:val="32"/>
                <w:szCs w:val="32"/>
                <w:vertAlign w:val="baseline"/>
                <w:lang w:val="en-US" w:eastAsia="zh-CN"/>
              </w:rPr>
            </w:pPr>
            <w:r>
              <w:rPr>
                <w:rFonts w:hint="eastAsia" w:ascii="仿宋" w:hAnsi="仿宋" w:eastAsia="仿宋" w:cs="仿宋"/>
                <w:b w:val="0"/>
                <w:color w:val="auto"/>
                <w:sz w:val="32"/>
                <w:szCs w:val="32"/>
                <w:lang w:val="en-US" w:eastAsia="zh-CN"/>
              </w:rPr>
              <w:t>708.58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2602" w:type="dxa"/>
            <w:noWrap w:val="0"/>
            <w:vAlign w:val="top"/>
          </w:tcPr>
          <w:p>
            <w:pPr>
              <w:snapToGrid w:val="0"/>
              <w:spacing w:line="520" w:lineRule="exact"/>
              <w:jc w:val="center"/>
              <w:rPr>
                <w:rFonts w:hint="eastAsia" w:ascii="仿宋" w:hAnsi="仿宋" w:eastAsia="仿宋" w:cs="仿宋"/>
                <w:color w:val="auto"/>
                <w:sz w:val="32"/>
                <w:szCs w:val="32"/>
                <w:vertAlign w:val="baseline"/>
                <w:lang w:eastAsia="zh-CN"/>
              </w:rPr>
            </w:pPr>
            <w:r>
              <w:rPr>
                <w:rFonts w:hint="eastAsia" w:ascii="仿宋" w:hAnsi="仿宋" w:eastAsia="仿宋" w:cs="仿宋"/>
                <w:color w:val="auto"/>
                <w:sz w:val="32"/>
                <w:szCs w:val="32"/>
                <w:vertAlign w:val="baseline"/>
                <w:lang w:eastAsia="zh-CN"/>
              </w:rPr>
              <w:t>基本支出</w:t>
            </w:r>
          </w:p>
        </w:tc>
        <w:tc>
          <w:tcPr>
            <w:tcW w:w="2967" w:type="dxa"/>
            <w:noWrap w:val="0"/>
            <w:vAlign w:val="top"/>
          </w:tcPr>
          <w:p>
            <w:pPr>
              <w:snapToGrid w:val="0"/>
              <w:spacing w:line="520" w:lineRule="exact"/>
              <w:jc w:val="center"/>
              <w:rPr>
                <w:rFonts w:hint="eastAsia" w:ascii="仿宋" w:hAnsi="仿宋" w:eastAsia="仿宋" w:cs="仿宋"/>
                <w:color w:val="auto"/>
                <w:sz w:val="32"/>
                <w:szCs w:val="32"/>
                <w:vertAlign w:val="baseline"/>
                <w:lang w:val="en-US" w:eastAsia="zh-CN"/>
              </w:rPr>
            </w:pPr>
            <w:r>
              <w:rPr>
                <w:rFonts w:hint="eastAsia" w:ascii="仿宋" w:hAnsi="仿宋" w:eastAsia="仿宋" w:cs="仿宋"/>
                <w:color w:val="auto"/>
                <w:sz w:val="32"/>
                <w:szCs w:val="32"/>
                <w:vertAlign w:val="baseline"/>
                <w:lang w:val="en-US" w:eastAsia="zh-CN"/>
              </w:rPr>
              <w:t>351.51</w:t>
            </w:r>
          </w:p>
        </w:tc>
        <w:tc>
          <w:tcPr>
            <w:tcW w:w="2838" w:type="dxa"/>
            <w:noWrap w:val="0"/>
            <w:vAlign w:val="top"/>
          </w:tcPr>
          <w:p>
            <w:pPr>
              <w:snapToGrid w:val="0"/>
              <w:spacing w:line="520" w:lineRule="exact"/>
              <w:jc w:val="center"/>
              <w:rPr>
                <w:rFonts w:hint="eastAsia" w:ascii="仿宋" w:hAnsi="仿宋" w:eastAsia="仿宋" w:cs="仿宋"/>
                <w:color w:val="auto"/>
                <w:sz w:val="32"/>
                <w:szCs w:val="32"/>
                <w:vertAlign w:val="baseline"/>
                <w:lang w:val="en-US" w:eastAsia="zh-CN"/>
              </w:rPr>
            </w:pPr>
            <w:r>
              <w:rPr>
                <w:rFonts w:hint="eastAsia" w:ascii="仿宋" w:hAnsi="仿宋" w:eastAsia="仿宋" w:cs="仿宋"/>
                <w:color w:val="auto"/>
                <w:sz w:val="32"/>
                <w:szCs w:val="32"/>
                <w:vertAlign w:val="baseline"/>
                <w:lang w:val="en-US" w:eastAsia="zh-CN"/>
              </w:rPr>
              <w:t>412.87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2602" w:type="dxa"/>
            <w:noWrap w:val="0"/>
            <w:vAlign w:val="top"/>
          </w:tcPr>
          <w:p>
            <w:pPr>
              <w:snapToGrid w:val="0"/>
              <w:spacing w:line="520" w:lineRule="exact"/>
              <w:jc w:val="center"/>
              <w:rPr>
                <w:rFonts w:hint="eastAsia" w:ascii="仿宋" w:hAnsi="仿宋" w:eastAsia="仿宋" w:cs="仿宋"/>
                <w:color w:val="auto"/>
                <w:sz w:val="32"/>
                <w:szCs w:val="32"/>
                <w:vertAlign w:val="baseline"/>
                <w:lang w:eastAsia="zh-CN"/>
              </w:rPr>
            </w:pPr>
            <w:r>
              <w:rPr>
                <w:rFonts w:hint="eastAsia" w:ascii="仿宋" w:hAnsi="仿宋" w:eastAsia="仿宋" w:cs="仿宋"/>
                <w:color w:val="auto"/>
                <w:sz w:val="32"/>
                <w:szCs w:val="32"/>
                <w:vertAlign w:val="baseline"/>
                <w:lang w:eastAsia="zh-CN"/>
              </w:rPr>
              <w:t>项目支出</w:t>
            </w:r>
          </w:p>
        </w:tc>
        <w:tc>
          <w:tcPr>
            <w:tcW w:w="2967" w:type="dxa"/>
            <w:noWrap w:val="0"/>
            <w:vAlign w:val="top"/>
          </w:tcPr>
          <w:p>
            <w:pPr>
              <w:snapToGrid w:val="0"/>
              <w:spacing w:line="520" w:lineRule="exact"/>
              <w:jc w:val="center"/>
              <w:rPr>
                <w:rFonts w:hint="eastAsia" w:ascii="仿宋" w:hAnsi="仿宋" w:eastAsia="仿宋" w:cs="仿宋"/>
                <w:color w:val="auto"/>
                <w:sz w:val="32"/>
                <w:szCs w:val="32"/>
                <w:vertAlign w:val="baseline"/>
                <w:lang w:val="en-US" w:eastAsia="zh-CN"/>
              </w:rPr>
            </w:pPr>
            <w:r>
              <w:rPr>
                <w:rFonts w:hint="eastAsia" w:ascii="仿宋" w:hAnsi="仿宋" w:eastAsia="仿宋" w:cs="仿宋"/>
                <w:color w:val="auto"/>
                <w:sz w:val="32"/>
                <w:szCs w:val="32"/>
                <w:vertAlign w:val="baseline"/>
                <w:lang w:val="en-US" w:eastAsia="zh-CN"/>
              </w:rPr>
              <w:t>0</w:t>
            </w:r>
          </w:p>
        </w:tc>
        <w:tc>
          <w:tcPr>
            <w:tcW w:w="2838" w:type="dxa"/>
            <w:noWrap w:val="0"/>
            <w:vAlign w:val="top"/>
          </w:tcPr>
          <w:p>
            <w:pPr>
              <w:snapToGrid w:val="0"/>
              <w:spacing w:line="520" w:lineRule="exact"/>
              <w:jc w:val="center"/>
              <w:rPr>
                <w:rFonts w:hint="eastAsia" w:ascii="仿宋" w:hAnsi="仿宋" w:eastAsia="仿宋" w:cs="仿宋"/>
                <w:color w:val="auto"/>
                <w:sz w:val="32"/>
                <w:szCs w:val="32"/>
                <w:vertAlign w:val="baseline"/>
                <w:lang w:val="en-US" w:eastAsia="zh-CN"/>
              </w:rPr>
            </w:pPr>
            <w:r>
              <w:rPr>
                <w:rFonts w:hint="eastAsia" w:ascii="仿宋" w:hAnsi="仿宋" w:eastAsia="仿宋" w:cs="仿宋"/>
                <w:color w:val="auto"/>
                <w:sz w:val="32"/>
                <w:szCs w:val="32"/>
                <w:vertAlign w:val="baseline"/>
                <w:lang w:val="en-US" w:eastAsia="zh-CN"/>
              </w:rPr>
              <w:t>295.7</w:t>
            </w:r>
          </w:p>
        </w:tc>
      </w:tr>
    </w:tbl>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 </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（2）差异原因分析。差异较大的应分析到具体收入支出功能科目和具体单位。</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color w:val="auto"/>
          <w:sz w:val="32"/>
          <w:szCs w:val="32"/>
          <w:lang w:val="en-US" w:eastAsia="zh-CN"/>
        </w:rPr>
        <w:t>本年度收入支出决算数与预算数差异较大，主要原因是：本年度增加城市维护费县城环卫工作项目经费。</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Style w:val="12"/>
          <w:rFonts w:hint="eastAsia" w:ascii="仿宋" w:hAnsi="仿宋" w:eastAsia="仿宋" w:cs="仿宋"/>
          <w:sz w:val="32"/>
          <w:szCs w:val="32"/>
          <w:shd w:val="clear" w:fill="FFFFFF"/>
        </w:rPr>
        <w:t>2．收入支出结构分析。</w:t>
      </w:r>
    </w:p>
    <w:p>
      <w:pPr>
        <w:pStyle w:val="7"/>
        <w:keepNext w:val="0"/>
        <w:keepLines w:val="0"/>
        <w:widowControl/>
        <w:suppressLineNumbers w:val="0"/>
        <w:spacing w:before="0" w:beforeAutospacing="0"/>
        <w:ind w:left="0"/>
        <w:jc w:val="left"/>
        <w:rPr>
          <w:rFonts w:hint="eastAsia" w:ascii="仿宋" w:hAnsi="仿宋" w:eastAsia="仿宋" w:cs="仿宋"/>
          <w:sz w:val="32"/>
          <w:szCs w:val="32"/>
          <w:shd w:val="clear" w:fill="FFFFFF"/>
        </w:rPr>
      </w:pPr>
      <w:r>
        <w:rPr>
          <w:rFonts w:hint="eastAsia" w:ascii="仿宋" w:hAnsi="仿宋" w:eastAsia="仿宋" w:cs="仿宋"/>
          <w:sz w:val="32"/>
          <w:szCs w:val="32"/>
          <w:shd w:val="clear" w:fill="FFFFFF"/>
        </w:rPr>
        <w:t>（1） 本单位本年度总收入为708.58万元。其中：一般公共预算财政拨款收入为708.58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本年度总支出为708.58万元。其中：一般公共服务支出为0.00万元，占比0.00%；外交支出为0.00万元，占比0.00%；国防支出为0.00万元，占比0.00%；公共安全支出为0.00万元，占比0.00%；教育支出为0.00万元，占比0.00%；科学技术支出为0.00万元，占比0.00%；文化旅游体育与传媒支出为0.00万元，占比0.00%；社会保障和就业支出为51.08万元，占比7.21%；卫生健康支出为20.32万元，占比2.87%；节能环保支出为0.00万元，占比0.00%；城乡社区支出为604.53万元，占比85.32%；农林水支出为0.00万元，占比0.00%；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32.66万元，占比4.61%；粮油物资储备支出为0.00万元，占比0.00%；国有资本经营预算支出为0.00万元，占比0.00%；灾害防治及应急管理支出为0.00万元，占比0.00%；其他支出为0.00万元，占比0.00%；债务还本支出为0.00万元，占比0.00%；债务付息支出为0.00万元，占比0.00%；抗疫特别国债安排的支出为0.00万元，占比0.00%。</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4572000" cy="2743200"/>
            <wp:effectExtent l="4445" t="4445" r="14605" b="14605"/>
            <wp:docPr id="5" name="图表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4572000" cy="2743200"/>
            <wp:effectExtent l="4445" t="4445" r="14605" b="14605"/>
            <wp:docPr id="6" name="图表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7"/>
        <w:keepNext w:val="0"/>
        <w:keepLines w:val="0"/>
        <w:widowControl/>
        <w:numPr>
          <w:ilvl w:val="0"/>
          <w:numId w:val="1"/>
        </w:numPr>
        <w:suppressLineNumbers w:val="0"/>
        <w:spacing w:before="0" w:beforeAutospacing="0"/>
        <w:ind w:left="0"/>
        <w:jc w:val="left"/>
        <w:rPr>
          <w:rStyle w:val="12"/>
          <w:rFonts w:hint="eastAsia" w:ascii="仿宋" w:hAnsi="仿宋" w:eastAsia="仿宋" w:cs="仿宋"/>
          <w:sz w:val="32"/>
          <w:szCs w:val="32"/>
          <w:shd w:val="clear" w:fill="FFFFFF"/>
        </w:rPr>
      </w:pPr>
      <w:r>
        <w:rPr>
          <w:rFonts w:hint="eastAsia" w:ascii="仿宋" w:hAnsi="仿宋" w:eastAsia="仿宋" w:cs="仿宋"/>
          <w:sz w:val="32"/>
          <w:szCs w:val="32"/>
          <w:shd w:val="clear" w:fill="FFFFFF"/>
        </w:rPr>
        <w:t>本年度一般公共预算财政拨款收入相比上年度增加-20.78万元，</w:t>
      </w:r>
      <w:r>
        <w:rPr>
          <w:rStyle w:val="12"/>
          <w:rFonts w:hint="eastAsia" w:ascii="仿宋" w:hAnsi="仿宋" w:eastAsia="仿宋" w:cs="仿宋"/>
          <w:sz w:val="32"/>
          <w:szCs w:val="32"/>
          <w:shd w:val="clear" w:fill="FFFFFF"/>
        </w:rPr>
        <w:t>主要原因为</w:t>
      </w:r>
      <w:r>
        <w:rPr>
          <w:rStyle w:val="12"/>
          <w:rFonts w:hint="eastAsia" w:ascii="仿宋" w:hAnsi="仿宋" w:eastAsia="仿宋" w:cs="仿宋"/>
          <w:sz w:val="32"/>
          <w:szCs w:val="32"/>
          <w:shd w:val="clear" w:fill="FFFFFF"/>
          <w:lang w:eastAsia="zh-CN"/>
        </w:rPr>
        <w:t>本年度项目减少</w:t>
      </w:r>
      <w:r>
        <w:rPr>
          <w:rFonts w:hint="eastAsia" w:ascii="仿宋" w:hAnsi="仿宋" w:eastAsia="仿宋" w:cs="仿宋"/>
          <w:sz w:val="32"/>
          <w:szCs w:val="32"/>
          <w:shd w:val="clear" w:fill="FFFFFF"/>
        </w:rPr>
        <w:t>；政府性基金预算财政拨款收入相比上年度增加0.00万元，；国有资本经营预算财政拨款收入相比上年度增加0.00万元；上级补助收入相比上年度增加0.00万元；事业收入相比上年度增加0.00万元；经营收入相比上年度增加0.00万元；附属单位上缴收入相比上年度增加0.00万元；其他收入相比上年度增加0.00万元。本年度一般公共服务支出相比上年度增加0.00万元，外交支出相比上年度增加0.00万元</w:t>
      </w:r>
      <w:r>
        <w:rPr>
          <w:rStyle w:val="12"/>
          <w:rFonts w:hint="eastAsia" w:ascii="仿宋" w:hAnsi="仿宋" w:eastAsia="仿宋" w:cs="仿宋"/>
          <w:sz w:val="32"/>
          <w:szCs w:val="32"/>
          <w:shd w:val="clear" w:fill="FFFFFF"/>
        </w:rPr>
        <w:t>.</w:t>
      </w:r>
      <w:r>
        <w:rPr>
          <w:rFonts w:hint="eastAsia" w:ascii="仿宋" w:hAnsi="仿宋" w:eastAsia="仿宋" w:cs="仿宋"/>
          <w:sz w:val="32"/>
          <w:szCs w:val="32"/>
          <w:shd w:val="clear" w:fill="FFFFFF"/>
        </w:rPr>
        <w:t>；国防支出相比上年度增加0.00万元；公共安全支出相比上年度增加0.00万元；教育支出相比上年度增加0.00万元；科学技术支出相比上年度增加0.00万元；文化旅游体育与传媒支出相比上年度增加0.00万元；社会保障和就业支出相比上年度增加6.28万元，</w:t>
      </w:r>
      <w:r>
        <w:rPr>
          <w:rStyle w:val="12"/>
          <w:rFonts w:hint="eastAsia" w:ascii="仿宋" w:hAnsi="仿宋" w:eastAsia="仿宋" w:cs="仿宋"/>
          <w:sz w:val="32"/>
          <w:szCs w:val="32"/>
          <w:shd w:val="clear" w:fill="FFFFFF"/>
        </w:rPr>
        <w:t>主要原因为</w:t>
      </w:r>
      <w:r>
        <w:rPr>
          <w:rStyle w:val="12"/>
          <w:rFonts w:hint="eastAsia" w:ascii="仿宋" w:hAnsi="仿宋" w:eastAsia="仿宋" w:cs="仿宋"/>
          <w:sz w:val="32"/>
          <w:szCs w:val="32"/>
          <w:shd w:val="clear" w:fill="FFFFFF"/>
          <w:lang w:eastAsia="zh-CN"/>
        </w:rPr>
        <w:t>人员增加经费增加</w:t>
      </w:r>
      <w:r>
        <w:rPr>
          <w:rFonts w:hint="eastAsia" w:ascii="仿宋" w:hAnsi="仿宋" w:eastAsia="仿宋" w:cs="仿宋"/>
          <w:sz w:val="32"/>
          <w:szCs w:val="32"/>
          <w:shd w:val="clear" w:fill="FFFFFF"/>
        </w:rPr>
        <w:t>；卫生健康支出相比上年度增加0.35万元，</w:t>
      </w:r>
      <w:r>
        <w:rPr>
          <w:rStyle w:val="12"/>
          <w:rFonts w:hint="eastAsia" w:ascii="仿宋" w:hAnsi="仿宋" w:eastAsia="仿宋" w:cs="仿宋"/>
          <w:sz w:val="32"/>
          <w:szCs w:val="32"/>
          <w:shd w:val="clear" w:fill="FFFFFF"/>
        </w:rPr>
        <w:t>主要原因为</w:t>
      </w:r>
      <w:r>
        <w:rPr>
          <w:rStyle w:val="12"/>
          <w:rFonts w:hint="eastAsia" w:ascii="仿宋" w:hAnsi="仿宋" w:eastAsia="仿宋" w:cs="仿宋"/>
          <w:sz w:val="32"/>
          <w:szCs w:val="32"/>
          <w:shd w:val="clear" w:fill="FFFFFF"/>
          <w:lang w:eastAsia="zh-CN"/>
        </w:rPr>
        <w:t>人员增加经费增加</w:t>
      </w:r>
      <w:r>
        <w:rPr>
          <w:rFonts w:hint="eastAsia" w:ascii="仿宋" w:hAnsi="仿宋" w:eastAsia="仿宋" w:cs="仿宋"/>
          <w:sz w:val="32"/>
          <w:szCs w:val="32"/>
          <w:shd w:val="clear" w:fill="FFFFFF"/>
        </w:rPr>
        <w:t>；节能环保支出相比上年度增加-236.22万元，</w:t>
      </w:r>
      <w:r>
        <w:rPr>
          <w:rStyle w:val="12"/>
          <w:rFonts w:hint="eastAsia" w:ascii="仿宋" w:hAnsi="仿宋" w:eastAsia="仿宋" w:cs="仿宋"/>
          <w:sz w:val="32"/>
          <w:szCs w:val="32"/>
          <w:shd w:val="clear" w:fill="FFFFFF"/>
        </w:rPr>
        <w:t>主要原因为</w:t>
      </w:r>
      <w:r>
        <w:rPr>
          <w:rStyle w:val="12"/>
          <w:rFonts w:hint="eastAsia" w:ascii="仿宋" w:hAnsi="仿宋" w:eastAsia="仿宋" w:cs="仿宋"/>
          <w:sz w:val="32"/>
          <w:szCs w:val="32"/>
          <w:shd w:val="clear" w:fill="FFFFFF"/>
          <w:lang w:eastAsia="zh-CN"/>
        </w:rPr>
        <w:t>今年无节能环保项目</w:t>
      </w:r>
      <w:r>
        <w:rPr>
          <w:rFonts w:hint="eastAsia" w:ascii="仿宋" w:hAnsi="仿宋" w:eastAsia="仿宋" w:cs="仿宋"/>
          <w:sz w:val="32"/>
          <w:szCs w:val="32"/>
          <w:shd w:val="clear" w:fill="FFFFFF"/>
        </w:rPr>
        <w:t>；城乡社区支出相比上年度增加-998.76万元，</w:t>
      </w:r>
      <w:r>
        <w:rPr>
          <w:rStyle w:val="12"/>
          <w:rFonts w:hint="eastAsia" w:ascii="仿宋" w:hAnsi="仿宋" w:eastAsia="仿宋" w:cs="仿宋"/>
          <w:sz w:val="32"/>
          <w:szCs w:val="32"/>
          <w:shd w:val="clear" w:fill="FFFFFF"/>
        </w:rPr>
        <w:t>主要原因为</w:t>
      </w:r>
      <w:r>
        <w:rPr>
          <w:rFonts w:hint="eastAsia" w:ascii="仿宋" w:hAnsi="仿宋" w:eastAsia="仿宋" w:cs="仿宋"/>
          <w:color w:val="auto"/>
          <w:sz w:val="32"/>
          <w:szCs w:val="32"/>
          <w:lang w:val="en-US" w:eastAsia="zh-CN"/>
        </w:rPr>
        <w:t>上年度城市工作成效明显，</w:t>
      </w:r>
      <w:r>
        <w:rPr>
          <w:rFonts w:hint="eastAsia" w:ascii="仿宋" w:hAnsi="仿宋" w:eastAsia="仿宋" w:cs="仿宋"/>
          <w:b w:val="0"/>
          <w:color w:val="auto"/>
          <w:sz w:val="32"/>
          <w:szCs w:val="32"/>
          <w:lang w:val="en-US" w:eastAsia="zh-CN"/>
        </w:rPr>
        <w:t>城市环境卫生，其他污染防治支出，城乡人居环境经费、垃圾无害化处理建设项目、垃圾收转运体系项目支出减少</w:t>
      </w:r>
      <w:r>
        <w:rPr>
          <w:rStyle w:val="12"/>
          <w:rFonts w:hint="eastAsia" w:ascii="仿宋" w:hAnsi="仿宋" w:eastAsia="仿宋" w:cs="仿宋"/>
          <w:sz w:val="32"/>
          <w:szCs w:val="32"/>
          <w:shd w:val="clear" w:fill="FFFFFF"/>
        </w:rPr>
        <w:t>.</w:t>
      </w:r>
      <w:r>
        <w:rPr>
          <w:rFonts w:hint="eastAsia" w:ascii="仿宋" w:hAnsi="仿宋" w:eastAsia="仿宋" w:cs="仿宋"/>
          <w:sz w:val="32"/>
          <w:szCs w:val="32"/>
          <w:shd w:val="clear" w:fill="FFFFFF"/>
        </w:rPr>
        <w:t>；农林水支出相比上年度增加0.00万元；交通运输支出相比上年度增加0.00万元</w:t>
      </w:r>
      <w:r>
        <w:rPr>
          <w:rStyle w:val="12"/>
          <w:rFonts w:hint="eastAsia" w:ascii="仿宋" w:hAnsi="仿宋" w:eastAsia="仿宋" w:cs="仿宋"/>
          <w:sz w:val="32"/>
          <w:szCs w:val="32"/>
          <w:shd w:val="clear" w:fill="FFFFFF"/>
        </w:rPr>
        <w:t>.</w:t>
      </w:r>
      <w:r>
        <w:rPr>
          <w:rFonts w:hint="eastAsia" w:ascii="仿宋" w:hAnsi="仿宋" w:eastAsia="仿宋" w:cs="仿宋"/>
          <w:sz w:val="32"/>
          <w:szCs w:val="32"/>
          <w:shd w:val="clear" w:fill="FFFFFF"/>
        </w:rPr>
        <w:t>；资源勘探工业信息等支出相比上年度增加0.00万元；商业服务业等支出相比上年度增加0.00万元；金融支出相比上年度增加0.00万元；援助其他地区支出相比上年度增加0.00万元；自然资源海洋气象等支出相比上年度增加0.00万元，；住房保障支出相比上年度增加2.58万元，</w:t>
      </w:r>
      <w:r>
        <w:rPr>
          <w:rStyle w:val="12"/>
          <w:rFonts w:hint="eastAsia" w:ascii="仿宋" w:hAnsi="仿宋" w:eastAsia="仿宋" w:cs="仿宋"/>
          <w:sz w:val="32"/>
          <w:szCs w:val="32"/>
          <w:shd w:val="clear" w:fill="FFFFFF"/>
        </w:rPr>
        <w:t>主要原因为</w:t>
      </w:r>
      <w:r>
        <w:rPr>
          <w:rStyle w:val="12"/>
          <w:rFonts w:hint="eastAsia" w:ascii="仿宋" w:hAnsi="仿宋" w:eastAsia="仿宋" w:cs="仿宋"/>
          <w:sz w:val="32"/>
          <w:szCs w:val="32"/>
          <w:shd w:val="clear" w:fill="FFFFFF"/>
          <w:lang w:eastAsia="zh-CN"/>
        </w:rPr>
        <w:t>人员增加经费增加</w:t>
      </w:r>
      <w:r>
        <w:rPr>
          <w:rFonts w:hint="eastAsia" w:ascii="仿宋" w:hAnsi="仿宋" w:eastAsia="仿宋" w:cs="仿宋"/>
          <w:sz w:val="32"/>
          <w:szCs w:val="32"/>
          <w:shd w:val="clear" w:fill="FFFFFF"/>
        </w:rPr>
        <w:t>；粮油物资储备支出相比上年度增加0.00万元；国有资本经营预算支出相比上年度增加0.00万元；灾害防治及应急管理支出相比上年度增加0.00万元，；其他支出相比上年度增加0.00万元</w:t>
      </w:r>
      <w:r>
        <w:rPr>
          <w:rStyle w:val="12"/>
          <w:rFonts w:hint="eastAsia" w:ascii="仿宋" w:hAnsi="仿宋" w:eastAsia="仿宋" w:cs="仿宋"/>
          <w:sz w:val="32"/>
          <w:szCs w:val="32"/>
          <w:shd w:val="clear" w:fill="FFFFFF"/>
        </w:rPr>
        <w:t>..</w:t>
      </w:r>
      <w:r>
        <w:rPr>
          <w:rFonts w:hint="eastAsia" w:ascii="仿宋" w:hAnsi="仿宋" w:eastAsia="仿宋" w:cs="仿宋"/>
          <w:sz w:val="32"/>
          <w:szCs w:val="32"/>
          <w:shd w:val="clear" w:fill="FFFFFF"/>
        </w:rPr>
        <w:t>；债务还本支出相比上年度增加0.00万元，；债务付息支出相比上年度增加0.00万元，</w:t>
      </w:r>
      <w:r>
        <w:rPr>
          <w:rStyle w:val="12"/>
          <w:rFonts w:hint="eastAsia" w:ascii="仿宋" w:hAnsi="仿宋" w:eastAsia="仿宋" w:cs="仿宋"/>
          <w:sz w:val="32"/>
          <w:szCs w:val="32"/>
          <w:shd w:val="clear" w:fill="FFFFFF"/>
        </w:rPr>
        <w:t>.</w:t>
      </w:r>
      <w:r>
        <w:rPr>
          <w:rFonts w:hint="eastAsia" w:ascii="仿宋" w:hAnsi="仿宋" w:eastAsia="仿宋" w:cs="仿宋"/>
          <w:sz w:val="32"/>
          <w:szCs w:val="32"/>
          <w:shd w:val="clear" w:fill="FFFFFF"/>
        </w:rPr>
        <w:t>；抗疫特别国债安排的支出相比上年度增加0.00万元，。</w:t>
      </w:r>
      <w:r>
        <w:drawing>
          <wp:inline distT="0" distB="0" distL="114300" distR="114300">
            <wp:extent cx="4572000" cy="2743200"/>
            <wp:effectExtent l="4445" t="4445" r="14605" b="14605"/>
            <wp:docPr id="7" name="图表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Style w:val="12"/>
          <w:rFonts w:hint="eastAsia" w:ascii="仿宋" w:hAnsi="仿宋" w:eastAsia="仿宋" w:cs="仿宋"/>
          <w:sz w:val="32"/>
          <w:szCs w:val="32"/>
          <w:shd w:val="clear" w:fill="FFFFFF"/>
        </w:rPr>
        <w:t>3．支出按经济分类科目分析。</w:t>
      </w:r>
    </w:p>
    <w:p>
      <w:pPr>
        <w:pStyle w:val="7"/>
        <w:keepNext w:val="0"/>
        <w:keepLines w:val="0"/>
        <w:widowControl/>
        <w:suppressLineNumbers w:val="0"/>
        <w:spacing w:before="0" w:beforeAutospacing="0"/>
        <w:ind w:left="0"/>
        <w:jc w:val="left"/>
        <w:rPr>
          <w:rFonts w:hint="eastAsia" w:ascii="仿宋" w:hAnsi="仿宋" w:eastAsia="仿宋" w:cs="仿宋"/>
          <w:sz w:val="32"/>
          <w:szCs w:val="32"/>
          <w:shd w:val="clear" w:fill="FFFFFF"/>
        </w:rPr>
      </w:pPr>
      <w:r>
        <w:rPr>
          <w:rFonts w:hint="eastAsia" w:ascii="仿宋" w:hAnsi="仿宋" w:eastAsia="仿宋" w:cs="仿宋"/>
          <w:sz w:val="32"/>
          <w:szCs w:val="32"/>
          <w:shd w:val="clear" w:fill="FFFFFF"/>
        </w:rPr>
        <w:t>（1） “三公”经费支出情况：本单位本年度“三公”经费支出决算数为0.00万元。其中:因公出国（境）费支出决算数为0.00万元，相比上年度增加0.00万元；     公务用车购置及运行维护费支出决算数为0.00万元，相比上年度增加0.00万元；公务接待费支出决算数为0.00万元，相比上年度增加0.00万元。 本年度“三公”经费支出预算数为0.00万元，决算数为0.00万元，预算完成度为0.00%。本年度因 公出国（境）费人均支出为0.00万元，公务用车购置及运行维护费人均支出为0.00万元，公务接待费人均支出为0.00万元</w:t>
      </w:r>
    </w:p>
    <w:p>
      <w:pPr>
        <w:pStyle w:val="7"/>
        <w:keepNext w:val="0"/>
        <w:keepLines w:val="0"/>
        <w:widowControl/>
        <w:suppressLineNumbers w:val="0"/>
        <w:spacing w:before="0" w:beforeAutospacing="0"/>
        <w:ind w:left="0"/>
        <w:jc w:val="left"/>
        <w:rPr>
          <w:rFonts w:hint="eastAsia" w:ascii="仿宋" w:hAnsi="仿宋" w:eastAsia="仿宋" w:cs="仿宋"/>
          <w:sz w:val="32"/>
          <w:szCs w:val="32"/>
          <w:shd w:val="clear" w:fill="FFFFFF"/>
        </w:rPr>
      </w:pPr>
      <w:r>
        <w:rPr>
          <w:rFonts w:hint="eastAsia" w:ascii="仿宋" w:hAnsi="仿宋" w:eastAsia="仿宋" w:cs="仿宋"/>
          <w:sz w:val="32"/>
          <w:szCs w:val="32"/>
          <w:shd w:val="clear" w:fill="FFFFFF"/>
        </w:rPr>
        <w:t>（2） 会议费支出情况：本单位本年度会议费支出决算数为0.00万元，相比上年度增加0.00万元，；会议费人均支出为0.00万元。</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（3） 培训费支出情况：本单位本年度培训费支出决算数为0.00万元，相比上年度增加0.00万元；培训费人均支出为0.00万元。</w:t>
      </w:r>
      <w:r>
        <w:rPr>
          <w:rStyle w:val="12"/>
          <w:rFonts w:hint="eastAsia" w:ascii="仿宋" w:hAnsi="仿宋" w:eastAsia="仿宋" w:cs="仿宋"/>
          <w:sz w:val="32"/>
          <w:szCs w:val="32"/>
          <w:shd w:val="clear" w:fill="FFFFFF"/>
        </w:rPr>
        <w:t>（</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（4）其他对单位影响较大的支出情况。</w:t>
      </w:r>
    </w:p>
    <w:p>
      <w:pPr>
        <w:spacing w:line="600" w:lineRule="exact"/>
        <w:ind w:firstLine="643" w:firstLineChars="200"/>
        <w:outlineLvl w:val="2"/>
        <w:rPr>
          <w:rFonts w:ascii="仿宋" w:eastAsia="仿宋"/>
          <w:color w:val="000000" w:themeColor="text1"/>
          <w:sz w:val="32"/>
          <w:szCs w:val="32"/>
          <w14:textFill>
            <w14:solidFill>
              <w14:schemeClr w14:val="tx1"/>
            </w14:solidFill>
          </w14:textFill>
        </w:rPr>
      </w:pPr>
      <w:bookmarkStart w:id="11" w:name="_Toc15377222"/>
      <w:r>
        <w:rPr>
          <w:rFonts w:hint="eastAsia" w:ascii="仿宋" w:eastAsia="仿宋"/>
          <w:b/>
          <w:color w:val="000000" w:themeColor="text1"/>
          <w:sz w:val="32"/>
          <w:szCs w:val="32"/>
          <w14:textFill>
            <w14:solidFill>
              <w14:schemeClr w14:val="tx1"/>
            </w14:solidFill>
          </w14:textFill>
        </w:rPr>
        <w:t>（一）机关运行经费支出情况</w:t>
      </w:r>
      <w:bookmarkEnd w:id="11"/>
    </w:p>
    <w:p>
      <w:pPr>
        <w:spacing w:line="600" w:lineRule="exact"/>
        <w:ind w:firstLine="640" w:firstLineChars="200"/>
        <w:rPr>
          <w:rFonts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21</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eastAsia="zh-CN"/>
          <w14:textFill>
            <w14:solidFill>
              <w14:schemeClr w14:val="tx1"/>
            </w14:solidFill>
          </w14:textFill>
        </w:rPr>
        <w:t>金川县市政公用事业服务中心</w:t>
      </w:r>
      <w:r>
        <w:rPr>
          <w:rFonts w:hint="eastAsia" w:ascii="仿宋_GB2312" w:eastAsia="仿宋_GB2312"/>
          <w:color w:val="000000" w:themeColor="text1"/>
          <w:sz w:val="32"/>
          <w:szCs w:val="32"/>
          <w14:textFill>
            <w14:solidFill>
              <w14:schemeClr w14:val="tx1"/>
            </w14:solidFill>
          </w14:textFill>
        </w:rPr>
        <w:t>运行经费支出</w:t>
      </w:r>
      <w:r>
        <w:rPr>
          <w:rFonts w:hint="eastAsia" w:ascii="仿宋_GB2312" w:eastAsia="仿宋_GB2312"/>
          <w:color w:val="000000" w:themeColor="text1"/>
          <w:sz w:val="32"/>
          <w:szCs w:val="32"/>
          <w:lang w:val="en-US" w:eastAsia="zh-CN"/>
          <w14:textFill>
            <w14:solidFill>
              <w14:schemeClr w14:val="tx1"/>
            </w14:solidFill>
          </w14:textFill>
        </w:rPr>
        <w:t>19.73</w:t>
      </w:r>
      <w:r>
        <w:rPr>
          <w:rFonts w:hint="eastAsia" w:ascii="仿宋_GB2312" w:eastAsia="仿宋_GB2312"/>
          <w:color w:val="000000" w:themeColor="text1"/>
          <w:sz w:val="32"/>
          <w:szCs w:val="32"/>
          <w14:textFill>
            <w14:solidFill>
              <w14:schemeClr w14:val="tx1"/>
            </w14:solidFill>
          </w14:textFill>
        </w:rPr>
        <w:t>万元，比</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21</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eastAsia="zh-CN"/>
          <w14:textFill>
            <w14:solidFill>
              <w14:schemeClr w14:val="tx1"/>
            </w14:solidFill>
          </w14:textFill>
        </w:rPr>
        <w:t>减少</w:t>
      </w:r>
      <w:r>
        <w:rPr>
          <w:rFonts w:hint="eastAsia" w:ascii="仿宋_GB2312" w:eastAsia="仿宋_GB2312"/>
          <w:color w:val="000000" w:themeColor="text1"/>
          <w:sz w:val="32"/>
          <w:szCs w:val="32"/>
          <w:lang w:val="en-US" w:eastAsia="zh-CN"/>
          <w14:textFill>
            <w14:solidFill>
              <w14:schemeClr w14:val="tx1"/>
            </w14:solidFill>
          </w14:textFill>
        </w:rPr>
        <w:t>0.84</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增加</w:t>
      </w:r>
      <w:r>
        <w:rPr>
          <w:rFonts w:hint="eastAsia" w:ascii="仿宋_GB2312" w:eastAsia="仿宋_GB2312"/>
          <w:color w:val="000000" w:themeColor="text1"/>
          <w:sz w:val="32"/>
          <w:szCs w:val="32"/>
          <w:lang w:val="en-US" w:eastAsia="zh-CN"/>
          <w14:textFill>
            <w14:solidFill>
              <w14:schemeClr w14:val="tx1"/>
            </w14:solidFill>
          </w14:textFill>
        </w:rPr>
        <w:t>4</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。主要原</w:t>
      </w:r>
      <w:r>
        <w:rPr>
          <w:rFonts w:hint="eastAsia" w:ascii="仿宋_GB2312" w:eastAsia="仿宋_GB2312"/>
          <w:color w:val="000000" w:themeColor="text1"/>
          <w:sz w:val="32"/>
          <w:szCs w:val="32"/>
          <w:lang w:eastAsia="zh-CN"/>
          <w14:textFill>
            <w14:solidFill>
              <w14:schemeClr w14:val="tx1"/>
            </w14:solidFill>
          </w14:textFill>
        </w:rPr>
        <w:t>厉行节约，减少办公经费支出</w:t>
      </w:r>
      <w:r>
        <w:rPr>
          <w:rFonts w:hint="eastAsia" w:ascii="仿宋_GB2312" w:eastAsia="仿宋_GB2312"/>
          <w:color w:val="000000" w:themeColor="text1"/>
          <w:sz w:val="32"/>
          <w:szCs w:val="32"/>
          <w:lang w:val="en-US" w:eastAsia="zh-CN"/>
          <w14:textFill>
            <w14:solidFill>
              <w14:schemeClr w14:val="tx1"/>
            </w14:solidFill>
          </w14:textFill>
        </w:rPr>
        <w:t>。</w:t>
      </w:r>
    </w:p>
    <w:p>
      <w:pPr>
        <w:autoSpaceDE w:val="0"/>
        <w:autoSpaceDN w:val="0"/>
        <w:adjustRightInd w:val="0"/>
        <w:spacing w:line="600" w:lineRule="exact"/>
        <w:ind w:firstLine="643" w:firstLineChars="200"/>
        <w:jc w:val="left"/>
        <w:outlineLvl w:val="2"/>
        <w:rPr>
          <w:rFonts w:ascii="仿宋" w:eastAsia="仿宋"/>
          <w:b/>
          <w:color w:val="000000" w:themeColor="text1"/>
          <w:sz w:val="32"/>
          <w:szCs w:val="32"/>
          <w14:textFill>
            <w14:solidFill>
              <w14:schemeClr w14:val="tx1"/>
            </w14:solidFill>
          </w14:textFill>
        </w:rPr>
      </w:pPr>
      <w:bookmarkStart w:id="12" w:name="_Toc15377223"/>
      <w:r>
        <w:rPr>
          <w:rFonts w:hint="eastAsia" w:ascii="仿宋" w:eastAsia="仿宋"/>
          <w:b/>
          <w:color w:val="000000" w:themeColor="text1"/>
          <w:sz w:val="32"/>
          <w:szCs w:val="32"/>
          <w14:textFill>
            <w14:solidFill>
              <w14:schemeClr w14:val="tx1"/>
            </w14:solidFill>
          </w14:textFill>
        </w:rPr>
        <w:t>（二）政府采购支出情况</w:t>
      </w:r>
      <w:bookmarkEnd w:id="12"/>
    </w:p>
    <w:p>
      <w:pPr>
        <w:spacing w:line="600" w:lineRule="exact"/>
        <w:ind w:firstLine="640" w:firstLineChars="200"/>
        <w:rPr>
          <w:rFonts w:ascii="仿宋" w:eastAsia="仿宋"/>
          <w:b/>
          <w:color w:val="000000" w:themeColor="text1"/>
          <w:sz w:val="32"/>
          <w:szCs w:val="32"/>
          <w:lang w:val="en-US" w:eastAsia="zh-CN"/>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21</w:t>
      </w:r>
      <w:r>
        <w:rPr>
          <w:rFonts w:hint="eastAsia" w:ascii="仿宋_GB2312" w:eastAsia="仿宋_GB2312"/>
          <w:color w:val="000000" w:themeColor="text1"/>
          <w:sz w:val="32"/>
          <w:szCs w:val="32"/>
          <w14:textFill>
            <w14:solidFill>
              <w14:schemeClr w14:val="tx1"/>
            </w14:solidFill>
          </w14:textFill>
        </w:rPr>
        <w:t>年，政府采购支出总额</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万元，其中：政府采购货物支出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万元、政府采购服务支出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val="en-US" w:eastAsia="zh-CN"/>
          <w14:textFill>
            <w14:solidFill>
              <w14:schemeClr w14:val="tx1"/>
            </w14:solidFill>
          </w14:textFill>
        </w:rPr>
        <w:t>、政府采购服务支出0万元</w:t>
      </w:r>
      <w:r>
        <w:rPr>
          <w:rFonts w:hint="eastAsia" w:ascii="仿宋_GB2312" w:eastAsia="仿宋_GB2312"/>
          <w:color w:val="000000" w:themeColor="text1"/>
          <w:sz w:val="32"/>
          <w:szCs w:val="32"/>
          <w14:textFill>
            <w14:solidFill>
              <w14:schemeClr w14:val="tx1"/>
            </w14:solidFill>
          </w14:textFill>
        </w:rPr>
        <w:t>。</w:t>
      </w:r>
    </w:p>
    <w:p>
      <w:pPr>
        <w:autoSpaceDE w:val="0"/>
        <w:autoSpaceDN w:val="0"/>
        <w:adjustRightInd w:val="0"/>
        <w:spacing w:line="600" w:lineRule="exact"/>
        <w:ind w:firstLine="643" w:firstLineChars="200"/>
        <w:jc w:val="left"/>
        <w:outlineLvl w:val="2"/>
        <w:rPr>
          <w:rFonts w:ascii="仿宋" w:eastAsia="仿宋"/>
          <w:b/>
          <w:color w:val="000000" w:themeColor="text1"/>
          <w:sz w:val="32"/>
          <w:szCs w:val="32"/>
          <w14:textFill>
            <w14:solidFill>
              <w14:schemeClr w14:val="tx1"/>
            </w14:solidFill>
          </w14:textFill>
        </w:rPr>
      </w:pPr>
      <w:bookmarkStart w:id="13" w:name="_Toc15377224"/>
      <w:r>
        <w:rPr>
          <w:rFonts w:hint="eastAsia" w:ascii="仿宋" w:eastAsia="仿宋"/>
          <w:b/>
          <w:color w:val="000000" w:themeColor="text1"/>
          <w:sz w:val="32"/>
          <w:szCs w:val="32"/>
          <w14:textFill>
            <w14:solidFill>
              <w14:schemeClr w14:val="tx1"/>
            </w14:solidFill>
          </w14:textFill>
        </w:rPr>
        <w:t>（三）国有资产占有使用情况</w:t>
      </w:r>
      <w:bookmarkEnd w:id="13"/>
    </w:p>
    <w:p>
      <w:pPr>
        <w:widowControl/>
        <w:ind w:firstLine="640" w:firstLineChars="200"/>
        <w:jc w:val="left"/>
        <w:rPr>
          <w:rFonts w:ascii="仿宋_GB2312" w:eastAsia="仿宋_GB2312"/>
          <w:b/>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截至</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21</w:t>
      </w:r>
      <w:r>
        <w:rPr>
          <w:rFonts w:hint="eastAsia" w:ascii="仿宋_GB2312" w:eastAsia="仿宋_GB2312"/>
          <w:color w:val="000000" w:themeColor="text1"/>
          <w:sz w:val="32"/>
          <w:szCs w:val="32"/>
          <w14:textFill>
            <w14:solidFill>
              <w14:schemeClr w14:val="tx1"/>
            </w14:solidFill>
          </w14:textFill>
        </w:rPr>
        <w:t>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w:t>
      </w:r>
      <w:r>
        <w:rPr>
          <w:rFonts w:ascii="仿宋_GB2312" w:eastAsia="仿宋_GB2312"/>
          <w:color w:val="000000" w:themeColor="text1"/>
          <w:sz w:val="32"/>
          <w:szCs w:val="32"/>
          <w14:textFill>
            <w14:solidFill>
              <w14:schemeClr w14:val="tx1"/>
            </w14:solidFill>
          </w14:textFill>
        </w:rPr>
        <w:t>31</w:t>
      </w:r>
      <w:r>
        <w:rPr>
          <w:rFonts w:hint="eastAsia" w:ascii="仿宋_GB2312" w:eastAsia="仿宋_GB2312"/>
          <w:color w:val="000000" w:themeColor="text1"/>
          <w:sz w:val="32"/>
          <w:szCs w:val="32"/>
          <w14:textFill>
            <w14:solidFill>
              <w14:schemeClr w14:val="tx1"/>
            </w14:solidFill>
          </w14:textFill>
        </w:rPr>
        <w:t>日，</w:t>
      </w:r>
      <w:r>
        <w:rPr>
          <w:rFonts w:hint="eastAsia" w:ascii="仿宋_GB2312" w:eastAsia="仿宋_GB2312"/>
          <w:color w:val="000000" w:themeColor="text1"/>
          <w:sz w:val="32"/>
          <w:szCs w:val="32"/>
          <w:lang w:eastAsia="zh-CN"/>
          <w14:textFill>
            <w14:solidFill>
              <w14:schemeClr w14:val="tx1"/>
            </w14:solidFill>
          </w14:textFill>
        </w:rPr>
        <w:t>市政基础实施公共基础设施路灯，</w:t>
      </w:r>
      <w:r>
        <w:rPr>
          <w:rFonts w:hint="eastAsia" w:ascii="仿宋_GB2312" w:eastAsia="仿宋_GB2312"/>
          <w:color w:val="000000" w:themeColor="text1"/>
          <w:sz w:val="32"/>
          <w:szCs w:val="32"/>
          <w:lang w:val="en-US" w:eastAsia="zh-CN"/>
          <w14:textFill>
            <w14:solidFill>
              <w14:schemeClr w14:val="tx1"/>
            </w14:solidFill>
          </w14:textFill>
        </w:rPr>
        <w:t>为日常</w:t>
      </w:r>
      <w:r>
        <w:rPr>
          <w:rFonts w:hint="eastAsia" w:ascii="仿宋_GB2312" w:eastAsia="仿宋_GB2312"/>
          <w:color w:val="000000" w:themeColor="text1"/>
          <w:sz w:val="32"/>
          <w:szCs w:val="32"/>
          <w:lang w:eastAsia="zh-CN"/>
          <w14:textFill>
            <w14:solidFill>
              <w14:schemeClr w14:val="tx1"/>
            </w14:solidFill>
          </w14:textFill>
        </w:rPr>
        <w:t>市政基础。</w:t>
      </w:r>
      <w:r>
        <w:rPr>
          <w:rFonts w:hint="eastAsia" w:ascii="仿宋_GB2312" w:eastAsia="仿宋_GB2312"/>
          <w:b/>
          <w:color w:val="000000" w:themeColor="text1"/>
          <w:sz w:val="32"/>
          <w:szCs w:val="32"/>
          <w:lang w:val="en-US" w:eastAsia="zh-CN"/>
          <w14:textFill>
            <w14:solidFill>
              <w14:schemeClr w14:val="tx1"/>
            </w14:solidFill>
          </w14:textFill>
        </w:rPr>
        <w:t xml:space="preserve">    </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（5）重点经济分类支出中存在的问题及改进措施。</w:t>
      </w:r>
    </w:p>
    <w:p>
      <w:pPr>
        <w:pStyle w:val="7"/>
        <w:keepNext w:val="0"/>
        <w:keepLines w:val="0"/>
        <w:widowControl/>
        <w:suppressLineNumbers w:val="0"/>
        <w:spacing w:before="0" w:beforeAutospacing="0"/>
        <w:ind w:left="0"/>
        <w:jc w:val="left"/>
        <w:rPr>
          <w:rStyle w:val="12"/>
          <w:rFonts w:hint="eastAsia" w:ascii="仿宋" w:hAnsi="仿宋" w:eastAsia="仿宋" w:cs="仿宋"/>
          <w:sz w:val="32"/>
          <w:szCs w:val="32"/>
          <w:shd w:val="clear" w:fill="FFFFFF"/>
          <w:lang w:eastAsia="zh-CN"/>
        </w:rPr>
      </w:pPr>
      <w:r>
        <w:rPr>
          <w:rStyle w:val="12"/>
          <w:rFonts w:hint="eastAsia" w:ascii="仿宋" w:hAnsi="仿宋" w:eastAsia="仿宋" w:cs="仿宋"/>
          <w:sz w:val="32"/>
          <w:szCs w:val="32"/>
          <w:shd w:val="clear" w:fill="FFFFFF"/>
          <w:lang w:eastAsia="zh-CN"/>
        </w:rPr>
        <w:t>无</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Style w:val="12"/>
          <w:rFonts w:hint="eastAsia" w:ascii="仿宋" w:hAnsi="仿宋" w:eastAsia="仿宋" w:cs="仿宋"/>
          <w:sz w:val="32"/>
          <w:szCs w:val="32"/>
          <w:shd w:val="clear" w:fill="FFFFFF"/>
        </w:rPr>
        <w:t>4.财政拨款收入、支出分析。</w:t>
      </w:r>
    </w:p>
    <w:p>
      <w:pPr>
        <w:spacing w:line="600" w:lineRule="exact"/>
        <w:ind w:firstLine="645"/>
        <w:rPr>
          <w:rFonts w:hint="eastAsia" w:ascii="仿宋" w:hAnsi="仿宋" w:eastAsia="仿宋" w:cs="仿宋"/>
          <w:sz w:val="32"/>
          <w:szCs w:val="32"/>
          <w:shd w:val="clear" w:fill="FFFFFF"/>
        </w:rPr>
      </w:pPr>
      <w:r>
        <w:rPr>
          <w:rFonts w:hint="eastAsia" w:ascii="仿宋" w:hAnsi="仿宋" w:eastAsia="仿宋" w:cs="仿宋"/>
          <w:sz w:val="32"/>
          <w:szCs w:val="32"/>
          <w:shd w:val="clear" w:fill="FFFFFF"/>
        </w:rPr>
        <w:t>本单位本年度财政拨款收入为708.58万元，财政拨款支出为708.58万元，其中：基本支出中人员经费支出为393.67万元，公用经费支出为19.20万元。项目支出中基本建设类项目支出为0.00万元，支出要按照基本支出和项目支出分析具体构成及特点：</w:t>
      </w:r>
    </w:p>
    <w:p>
      <w:pPr>
        <w:spacing w:line="600" w:lineRule="exact"/>
        <w:ind w:firstLine="645"/>
        <w:rPr>
          <w:rFonts w:ascii="仿宋" w:eastAsia="仿宋"/>
          <w:color w:val="000000" w:themeColor="text1"/>
          <w:sz w:val="32"/>
          <w:szCs w:val="32"/>
          <w14:textFill>
            <w14:solidFill>
              <w14:schemeClr w14:val="tx1"/>
            </w14:solidFill>
          </w14:textFill>
        </w:rPr>
      </w:pPr>
      <w:r>
        <w:rPr>
          <w:rFonts w:ascii="仿宋" w:eastAsia="仿宋"/>
          <w:color w:val="000000" w:themeColor="text1"/>
          <w:sz w:val="32"/>
          <w:szCs w:val="32"/>
          <w14:textFill>
            <w14:solidFill>
              <w14:schemeClr w14:val="tx1"/>
            </w14:solidFill>
          </w14:textFill>
        </w:rPr>
        <w:t>20</w:t>
      </w:r>
      <w:r>
        <w:rPr>
          <w:rFonts w:hint="eastAsia" w:ascii="仿宋" w:eastAsia="仿宋"/>
          <w:color w:val="000000" w:themeColor="text1"/>
          <w:sz w:val="32"/>
          <w:szCs w:val="32"/>
          <w:lang w:val="en-US" w:eastAsia="zh-CN"/>
          <w14:textFill>
            <w14:solidFill>
              <w14:schemeClr w14:val="tx1"/>
            </w14:solidFill>
          </w14:textFill>
        </w:rPr>
        <w:t>22</w:t>
      </w:r>
      <w:r>
        <w:rPr>
          <w:rFonts w:hint="eastAsia" w:ascii="仿宋" w:eastAsia="仿宋"/>
          <w:color w:val="000000" w:themeColor="text1"/>
          <w:sz w:val="32"/>
          <w:szCs w:val="32"/>
          <w14:textFill>
            <w14:solidFill>
              <w14:schemeClr w14:val="tx1"/>
            </w14:solidFill>
          </w14:textFill>
        </w:rPr>
        <w:t>年一般公共预算财政拨款基本支出</w:t>
      </w:r>
      <w:r>
        <w:rPr>
          <w:rFonts w:hint="eastAsia" w:ascii="仿宋_GB2312" w:eastAsia="仿宋_GB2312"/>
          <w:b w:val="0"/>
          <w:color w:val="000000" w:themeColor="text1"/>
          <w:sz w:val="32"/>
          <w:lang w:val="en-US" w:eastAsia="zh-CN"/>
          <w14:textFill>
            <w14:solidFill>
              <w14:schemeClr w14:val="tx1"/>
            </w14:solidFill>
          </w14:textFill>
        </w:rPr>
        <w:t>412.88</w:t>
      </w:r>
      <w:r>
        <w:rPr>
          <w:rFonts w:hint="eastAsia" w:ascii="仿宋" w:eastAsia="仿宋"/>
          <w:color w:val="000000" w:themeColor="text1"/>
          <w:sz w:val="32"/>
          <w:szCs w:val="32"/>
          <w14:textFill>
            <w14:solidFill>
              <w14:schemeClr w14:val="tx1"/>
            </w14:solidFill>
          </w14:textFill>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eastAsia="仿宋"/>
          <w:color w:val="000000" w:themeColor="text1"/>
          <w:sz w:val="32"/>
          <w:szCs w:val="32"/>
          <w:lang w:eastAsia="zh-CN"/>
          <w14:textFill>
            <w14:solidFill>
              <w14:schemeClr w14:val="tx1"/>
            </w14:solidFill>
          </w14:textFill>
        </w:rPr>
      </w:pPr>
      <w:r>
        <w:rPr>
          <w:rFonts w:hint="eastAsia" w:ascii="仿宋_GB2312" w:eastAsia="仿宋_GB2312"/>
          <w:color w:val="auto"/>
          <w:sz w:val="32"/>
          <w:szCs w:val="32"/>
        </w:rPr>
        <w:t>人员经费</w:t>
      </w:r>
      <w:r>
        <w:rPr>
          <w:rFonts w:hint="eastAsia" w:ascii="仿宋_GB2312" w:eastAsia="仿宋_GB2312"/>
          <w:color w:val="auto"/>
          <w:sz w:val="32"/>
          <w:szCs w:val="32"/>
          <w:lang w:val="en-US" w:eastAsia="zh-CN"/>
        </w:rPr>
        <w:t>393.67</w:t>
      </w:r>
      <w:r>
        <w:rPr>
          <w:rFonts w:hint="eastAsia" w:ascii="仿宋_GB2312" w:eastAsia="仿宋_GB2312"/>
          <w:color w:val="auto"/>
          <w:sz w:val="32"/>
          <w:szCs w:val="32"/>
        </w:rPr>
        <w:t>万元，主要包括：基本工资</w:t>
      </w:r>
      <w:r>
        <w:rPr>
          <w:rFonts w:hint="eastAsia" w:ascii="仿宋_GB2312" w:eastAsia="仿宋_GB2312"/>
          <w:color w:val="auto"/>
          <w:sz w:val="32"/>
          <w:szCs w:val="32"/>
          <w:lang w:val="en-US" w:eastAsia="zh-CN"/>
        </w:rPr>
        <w:t>87.76</w:t>
      </w:r>
      <w:r>
        <w:rPr>
          <w:rFonts w:hint="eastAsia" w:ascii="仿宋_GB2312" w:eastAsia="仿宋_GB2312"/>
          <w:color w:val="auto"/>
          <w:sz w:val="32"/>
          <w:szCs w:val="32"/>
        </w:rPr>
        <w:t>万元，津贴补贴</w:t>
      </w:r>
      <w:r>
        <w:rPr>
          <w:rFonts w:hint="eastAsia" w:ascii="仿宋_GB2312" w:eastAsia="仿宋_GB2312"/>
          <w:color w:val="auto"/>
          <w:sz w:val="32"/>
          <w:szCs w:val="32"/>
          <w:lang w:val="en-US" w:eastAsia="zh-CN"/>
        </w:rPr>
        <w:t>82.84</w:t>
      </w:r>
      <w:r>
        <w:rPr>
          <w:rFonts w:hint="eastAsia" w:ascii="仿宋_GB2312" w:eastAsia="仿宋_GB2312"/>
          <w:color w:val="auto"/>
          <w:sz w:val="32"/>
          <w:szCs w:val="32"/>
        </w:rPr>
        <w:t>万元，奖金</w:t>
      </w:r>
      <w:r>
        <w:rPr>
          <w:rFonts w:hint="eastAsia" w:ascii="仿宋_GB2312" w:eastAsia="仿宋_GB2312"/>
          <w:color w:val="auto"/>
          <w:sz w:val="32"/>
          <w:szCs w:val="32"/>
          <w:lang w:val="en-US" w:eastAsia="zh-CN"/>
        </w:rPr>
        <w:t>7.5</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绩效工</w:t>
      </w:r>
      <w:r>
        <w:rPr>
          <w:rFonts w:hint="eastAsia" w:ascii="仿宋_GB2312" w:eastAsia="仿宋_GB2312"/>
          <w:color w:val="auto"/>
          <w:sz w:val="32"/>
          <w:szCs w:val="32"/>
          <w:lang w:val="en-US" w:eastAsia="zh-CN"/>
        </w:rPr>
        <w:t>资38.39</w:t>
      </w:r>
      <w:r>
        <w:rPr>
          <w:rFonts w:hint="eastAsia" w:ascii="仿宋_GB2312" w:eastAsia="仿宋_GB2312"/>
          <w:color w:val="auto"/>
          <w:sz w:val="32"/>
          <w:szCs w:val="32"/>
        </w:rPr>
        <w:t>万元，机关事业单位基本养老保险缴费</w:t>
      </w:r>
      <w:r>
        <w:rPr>
          <w:rFonts w:hint="eastAsia" w:ascii="仿宋_GB2312" w:eastAsia="仿宋_GB2312"/>
          <w:color w:val="auto"/>
          <w:sz w:val="32"/>
          <w:szCs w:val="32"/>
          <w:lang w:val="en-US" w:eastAsia="zh-CN"/>
        </w:rPr>
        <w:t>34.02</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公务员医疗补助2.84万元，</w:t>
      </w:r>
      <w:r>
        <w:rPr>
          <w:rFonts w:hint="eastAsia" w:ascii="仿宋_GB2312" w:eastAsia="仿宋_GB2312"/>
          <w:color w:val="auto"/>
          <w:sz w:val="32"/>
          <w:szCs w:val="32"/>
        </w:rPr>
        <w:t>职业年金缴费</w:t>
      </w:r>
      <w:r>
        <w:rPr>
          <w:rFonts w:hint="eastAsia" w:ascii="仿宋_GB2312" w:eastAsia="仿宋_GB2312"/>
          <w:color w:val="auto"/>
          <w:sz w:val="32"/>
          <w:szCs w:val="32"/>
          <w:lang w:val="en-US" w:eastAsia="zh-CN"/>
        </w:rPr>
        <w:t>17.06</w:t>
      </w:r>
      <w:r>
        <w:rPr>
          <w:rFonts w:hint="eastAsia" w:ascii="仿宋_GB2312" w:eastAsia="仿宋_GB2312"/>
          <w:color w:val="auto"/>
          <w:sz w:val="32"/>
          <w:szCs w:val="32"/>
        </w:rPr>
        <w:t>万元，职工基本医疗保险缴费</w:t>
      </w:r>
      <w:r>
        <w:rPr>
          <w:rFonts w:hint="eastAsia" w:ascii="仿宋_GB2312" w:eastAsia="仿宋_GB2312"/>
          <w:color w:val="auto"/>
          <w:sz w:val="32"/>
          <w:szCs w:val="32"/>
          <w:lang w:val="en-US" w:eastAsia="zh-CN"/>
        </w:rPr>
        <w:t>15.28</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rPr>
        <w:t>其他社会保障缴费</w:t>
      </w:r>
      <w:r>
        <w:rPr>
          <w:rFonts w:hint="eastAsia" w:ascii="仿宋_GB2312" w:eastAsia="仿宋_GB2312"/>
          <w:color w:val="auto"/>
          <w:sz w:val="32"/>
          <w:szCs w:val="32"/>
          <w:lang w:val="en-US" w:eastAsia="zh-CN"/>
        </w:rPr>
        <w:t>6.14</w:t>
      </w:r>
      <w:r>
        <w:rPr>
          <w:rFonts w:hint="eastAsia" w:ascii="仿宋_GB2312" w:eastAsia="仿宋_GB2312"/>
          <w:color w:val="auto"/>
          <w:sz w:val="32"/>
          <w:szCs w:val="32"/>
        </w:rPr>
        <w:t>万元，住房公积金</w:t>
      </w:r>
      <w:r>
        <w:rPr>
          <w:rFonts w:hint="eastAsia" w:ascii="仿宋_GB2312" w:eastAsia="仿宋_GB2312"/>
          <w:color w:val="auto"/>
          <w:sz w:val="32"/>
          <w:szCs w:val="32"/>
          <w:lang w:val="en-US" w:eastAsia="zh-CN"/>
        </w:rPr>
        <w:t>32.66万元</w:t>
      </w:r>
      <w:r>
        <w:rPr>
          <w:rFonts w:hint="eastAsia" w:ascii="仿宋" w:eastAsia="仿宋"/>
          <w:color w:val="000000" w:themeColor="text1"/>
          <w:sz w:val="32"/>
          <w:szCs w:val="32"/>
          <w14:textFill>
            <w14:solidFill>
              <w14:schemeClr w14:val="tx1"/>
            </w14:solidFill>
          </w14:textFill>
        </w:rPr>
        <w:t>。</w:t>
      </w:r>
    </w:p>
    <w:p>
      <w:pPr>
        <w:spacing w:line="600" w:lineRule="exact"/>
        <w:ind w:firstLine="645"/>
        <w:rPr>
          <w:rFonts w:hint="eastAsia" w:ascii="仿宋" w:hAnsi="仿宋" w:eastAsia="仿宋" w:cs="仿宋"/>
          <w:sz w:val="32"/>
          <w:szCs w:val="32"/>
          <w:shd w:val="clear" w:fill="FFFFFF"/>
        </w:rPr>
      </w:pPr>
      <w:r>
        <w:rPr>
          <w:rFonts w:hint="eastAsia" w:ascii="仿宋" w:eastAsia="仿宋"/>
          <w:color w:val="000000" w:themeColor="text1"/>
          <w:sz w:val="32"/>
          <w:szCs w:val="32"/>
          <w14:textFill>
            <w14:solidFill>
              <w14:schemeClr w14:val="tx1"/>
            </w14:solidFill>
          </w14:textFill>
        </w:rPr>
        <w:t>　</w:t>
      </w:r>
      <w:r>
        <w:rPr>
          <w:rFonts w:hint="eastAsia" w:ascii="仿宋_GB2312" w:eastAsia="仿宋_GB2312"/>
          <w:color w:val="auto"/>
          <w:sz w:val="30"/>
          <w:szCs w:val="30"/>
        </w:rPr>
        <w:t>日常</w:t>
      </w:r>
      <w:r>
        <w:rPr>
          <w:rFonts w:hint="eastAsia" w:ascii="仿宋_GB2312" w:eastAsia="仿宋_GB2312"/>
          <w:color w:val="auto"/>
          <w:sz w:val="32"/>
          <w:szCs w:val="32"/>
        </w:rPr>
        <w:t>公用经费</w:t>
      </w:r>
      <w:r>
        <w:rPr>
          <w:rFonts w:hint="eastAsia" w:ascii="仿宋_GB2312" w:eastAsia="仿宋_GB2312"/>
          <w:color w:val="auto"/>
          <w:sz w:val="32"/>
          <w:szCs w:val="32"/>
          <w:lang w:val="en-US" w:eastAsia="zh-CN"/>
        </w:rPr>
        <w:t>19.2</w:t>
      </w:r>
      <w:r>
        <w:rPr>
          <w:rFonts w:hint="eastAsia" w:ascii="仿宋_GB2312" w:eastAsia="仿宋_GB2312"/>
          <w:color w:val="auto"/>
          <w:sz w:val="32"/>
          <w:szCs w:val="32"/>
        </w:rPr>
        <w:t>万元，主要包括：办公费</w:t>
      </w:r>
      <w:r>
        <w:rPr>
          <w:rFonts w:hint="eastAsia" w:ascii="仿宋_GB2312" w:eastAsia="仿宋_GB2312"/>
          <w:color w:val="auto"/>
          <w:sz w:val="32"/>
          <w:szCs w:val="32"/>
          <w:lang w:val="en-US" w:eastAsia="zh-CN"/>
        </w:rPr>
        <w:t>9.03</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rPr>
        <w:t>印刷费</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、水费</w:t>
      </w:r>
      <w:r>
        <w:rPr>
          <w:rFonts w:hint="eastAsia" w:ascii="仿宋_GB2312" w:eastAsia="仿宋_GB2312"/>
          <w:color w:val="auto"/>
          <w:sz w:val="32"/>
          <w:szCs w:val="32"/>
          <w:lang w:val="en-US" w:eastAsia="zh-CN"/>
        </w:rPr>
        <w:t>0万元</w:t>
      </w:r>
      <w:r>
        <w:rPr>
          <w:rFonts w:hint="eastAsia" w:ascii="仿宋_GB2312" w:eastAsia="仿宋_GB2312"/>
          <w:color w:val="auto"/>
          <w:sz w:val="32"/>
          <w:szCs w:val="32"/>
        </w:rPr>
        <w:t>、邮电费</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rPr>
        <w:t>取暖费</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电费0.15万元、</w:t>
      </w:r>
      <w:r>
        <w:rPr>
          <w:rFonts w:hint="eastAsia" w:ascii="仿宋_GB2312" w:eastAsia="仿宋_GB2312"/>
          <w:color w:val="auto"/>
          <w:sz w:val="32"/>
          <w:szCs w:val="32"/>
        </w:rPr>
        <w:t>差旅费</w:t>
      </w:r>
      <w:r>
        <w:rPr>
          <w:rFonts w:hint="eastAsia" w:ascii="仿宋_GB2312" w:eastAsia="仿宋_GB2312"/>
          <w:color w:val="auto"/>
          <w:sz w:val="32"/>
          <w:szCs w:val="32"/>
          <w:lang w:val="en-US" w:eastAsia="zh-CN"/>
        </w:rPr>
        <w:t>3.51</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rPr>
        <w:t>公务接待费</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rPr>
        <w:t>会议费</w:t>
      </w:r>
      <w:r>
        <w:rPr>
          <w:rFonts w:hint="eastAsia" w:ascii="仿宋_GB2312" w:eastAsia="仿宋_GB2312"/>
          <w:color w:val="auto"/>
          <w:sz w:val="32"/>
          <w:szCs w:val="32"/>
          <w:lang w:val="en-US" w:eastAsia="zh-CN"/>
        </w:rPr>
        <w:t>0万元、培训费0万元、</w:t>
      </w:r>
      <w:r>
        <w:rPr>
          <w:rFonts w:hint="eastAsia" w:ascii="仿宋_GB2312" w:eastAsia="仿宋_GB2312"/>
          <w:color w:val="auto"/>
          <w:sz w:val="32"/>
          <w:szCs w:val="32"/>
        </w:rPr>
        <w:t>公务用车运行维护费</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、其他交通费</w:t>
      </w:r>
      <w:r>
        <w:rPr>
          <w:rFonts w:hint="eastAsia" w:ascii="仿宋_GB2312" w:eastAsia="仿宋_GB2312"/>
          <w:color w:val="auto"/>
          <w:sz w:val="32"/>
          <w:szCs w:val="32"/>
          <w:lang w:val="en-US" w:eastAsia="zh-CN"/>
        </w:rPr>
        <w:t>3.51万元、手续费0.01万元.</w:t>
      </w:r>
    </w:p>
    <w:p>
      <w:pPr>
        <w:pStyle w:val="7"/>
        <w:keepNext w:val="0"/>
        <w:keepLines w:val="0"/>
        <w:widowControl/>
        <w:suppressLineNumbers w:val="0"/>
        <w:spacing w:before="0" w:beforeAutospacing="0"/>
        <w:ind w:left="0"/>
        <w:jc w:val="left"/>
        <w:rPr>
          <w:rFonts w:hint="eastAsia" w:ascii="仿宋" w:hAnsi="仿宋" w:eastAsia="仿宋" w:cs="仿宋"/>
          <w:sz w:val="32"/>
          <w:szCs w:val="32"/>
          <w:shd w:val="clear" w:fill="FFFFFF"/>
        </w:rPr>
      </w:pP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Style w:val="12"/>
          <w:rFonts w:hint="eastAsia" w:ascii="仿宋" w:hAnsi="仿宋" w:eastAsia="仿宋" w:cs="仿宋"/>
          <w:sz w:val="32"/>
          <w:szCs w:val="32"/>
          <w:shd w:val="clear" w:fill="FFFFFF"/>
        </w:rPr>
        <w:t>（三）年末结转和结余情况。</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1．分资金来源、资金性质结转和结余情况，特别是项目经费结转和结余情况。</w:t>
      </w:r>
    </w:p>
    <w:p>
      <w:pPr>
        <w:pStyle w:val="7"/>
        <w:keepNext w:val="0"/>
        <w:keepLines w:val="0"/>
        <w:widowControl/>
        <w:suppressLineNumbers w:val="0"/>
        <w:spacing w:before="0" w:beforeAutospacing="0"/>
        <w:ind w:left="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年末无结转结余。</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2．结转和结余规模较大的原因分析及消化结转和结余的对策。</w:t>
      </w:r>
    </w:p>
    <w:p>
      <w:pPr>
        <w:pStyle w:val="7"/>
        <w:keepNext w:val="0"/>
        <w:keepLines w:val="0"/>
        <w:widowControl/>
        <w:suppressLineNumbers w:val="0"/>
        <w:spacing w:before="0" w:beforeAutospacing="0"/>
        <w:ind w:left="0"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年末无结转结余。</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Style w:val="12"/>
          <w:rFonts w:hint="eastAsia" w:ascii="仿宋" w:hAnsi="仿宋" w:eastAsia="仿宋" w:cs="仿宋"/>
          <w:sz w:val="32"/>
          <w:szCs w:val="32"/>
          <w:shd w:val="clear" w:fill="FFFFFF"/>
        </w:rPr>
        <w:t>（四）与预算支出相关的其他指标分析。</w:t>
      </w:r>
    </w:p>
    <w:p>
      <w:pPr>
        <w:pStyle w:val="7"/>
        <w:keepNext w:val="0"/>
        <w:keepLines w:val="0"/>
        <w:widowControl/>
        <w:suppressLineNumbers w:val="0"/>
        <w:spacing w:before="0" w:beforeAutospacing="0"/>
        <w:ind w:left="0" w:firstLine="640" w:firstLineChars="200"/>
        <w:jc w:val="left"/>
        <w:rPr>
          <w:rFonts w:hint="eastAsia" w:ascii="仿宋" w:hAnsi="仿宋" w:eastAsia="仿宋" w:cs="仿宋"/>
          <w:sz w:val="32"/>
          <w:szCs w:val="32"/>
          <w:shd w:val="clear" w:fill="FFFFFF"/>
          <w:lang w:eastAsia="zh-CN"/>
        </w:rPr>
      </w:pPr>
      <w:r>
        <w:rPr>
          <w:rFonts w:hint="eastAsia" w:ascii="仿宋" w:hAnsi="仿宋" w:eastAsia="仿宋" w:cs="仿宋"/>
          <w:sz w:val="32"/>
          <w:szCs w:val="32"/>
          <w:shd w:val="clear" w:fill="FFFFFF"/>
          <w:lang w:eastAsia="zh-CN"/>
        </w:rPr>
        <w:t>本年度与上年总资产无变化，无资产增减。</w:t>
      </w:r>
    </w:p>
    <w:p>
      <w:pPr>
        <w:pStyle w:val="7"/>
        <w:keepNext w:val="0"/>
        <w:keepLines w:val="0"/>
        <w:widowControl/>
        <w:suppressLineNumbers w:val="0"/>
        <w:spacing w:before="0" w:beforeAutospacing="0"/>
        <w:ind w:left="0" w:firstLine="640" w:firstLineChars="200"/>
        <w:jc w:val="left"/>
        <w:rPr>
          <w:rFonts w:hint="eastAsia" w:ascii="仿宋" w:hAnsi="仿宋" w:eastAsia="仿宋" w:cs="仿宋"/>
          <w:sz w:val="32"/>
          <w:szCs w:val="32"/>
          <w:shd w:val="clear" w:fill="FFFFFF"/>
          <w:lang w:eastAsia="zh-CN"/>
        </w:rPr>
      </w:pPr>
      <w:r>
        <w:rPr>
          <w:rFonts w:hint="eastAsia" w:ascii="仿宋" w:hAnsi="仿宋" w:eastAsia="仿宋" w:cs="仿宋"/>
          <w:sz w:val="32"/>
          <w:szCs w:val="32"/>
          <w:shd w:val="clear" w:fill="FFFFFF"/>
          <w:lang w:eastAsia="zh-CN"/>
        </w:rPr>
        <w:t>本年度无负债与上年总资产无变化。</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Style w:val="12"/>
          <w:rFonts w:hint="eastAsia" w:ascii="仿宋" w:hAnsi="仿宋" w:eastAsia="仿宋" w:cs="仿宋"/>
          <w:sz w:val="32"/>
          <w:szCs w:val="32"/>
          <w:shd w:val="clear" w:fill="FFFFFF"/>
        </w:rPr>
        <w:t>（五）绩效目标完成情况。</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1.概述项目绩效目标完成情况。</w:t>
      </w:r>
    </w:p>
    <w:p>
      <w:pPr>
        <w:spacing w:line="580" w:lineRule="exact"/>
        <w:ind w:firstLine="640" w:firstLineChars="200"/>
        <w:rPr>
          <w:rFonts w:ascii="仿宋_GB2312" w:eastAsia="仿宋_GB2312" w:cs="仿宋_GB2312"/>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根据预算绩效管理要求，</w:t>
      </w:r>
      <w:r>
        <w:rPr>
          <w:rFonts w:hint="eastAsia" w:ascii="仿宋_GB2312" w:eastAsia="仿宋_GB2312" w:cs="仿宋_GB2312"/>
          <w:color w:val="000000" w:themeColor="text1"/>
          <w:sz w:val="32"/>
          <w:szCs w:val="32"/>
          <w:lang w:val="en-US" w:eastAsia="zh-CN"/>
          <w14:textFill>
            <w14:solidFill>
              <w14:schemeClr w14:val="tx1"/>
            </w14:solidFill>
          </w14:textFill>
        </w:rPr>
        <w:t>我</w:t>
      </w:r>
      <w:r>
        <w:rPr>
          <w:rFonts w:hint="eastAsia" w:ascii="仿宋_GB2312" w:eastAsia="仿宋_GB2312" w:cs="仿宋_GB2312"/>
          <w:color w:val="000000" w:themeColor="text1"/>
          <w:sz w:val="32"/>
          <w:szCs w:val="32"/>
          <w14:textFill>
            <w14:solidFill>
              <w14:schemeClr w14:val="tx1"/>
            </w14:solidFill>
          </w14:textFill>
        </w:rPr>
        <w:t>单位在年初预算编制阶段，组织对项目开展了预算事前绩效评估，对</w:t>
      </w:r>
      <w:r>
        <w:rPr>
          <w:rFonts w:hint="eastAsia" w:asci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eastAsia="仿宋_GB2312" w:cs="仿宋_GB2312"/>
          <w:color w:val="000000" w:themeColor="text1"/>
          <w:sz w:val="32"/>
          <w:szCs w:val="32"/>
          <w14:textFill>
            <w14:solidFill>
              <w14:schemeClr w14:val="tx1"/>
            </w14:solidFill>
          </w14:textFill>
        </w:rPr>
        <w:t>个项目编制了绩效目标，预算执行过程中，选取</w:t>
      </w:r>
      <w:r>
        <w:rPr>
          <w:rFonts w:hint="eastAsia" w:asci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eastAsia="仿宋_GB2312" w:cs="仿宋_GB2312"/>
          <w:color w:val="000000" w:themeColor="text1"/>
          <w:sz w:val="32"/>
          <w:szCs w:val="32"/>
          <w14:textFill>
            <w14:solidFill>
              <w14:schemeClr w14:val="tx1"/>
            </w14:solidFill>
          </w14:textFill>
        </w:rPr>
        <w:t>个项目开展绩效监控，年终执行完毕后，对</w:t>
      </w:r>
      <w:r>
        <w:rPr>
          <w:rFonts w:hint="eastAsia" w:asci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eastAsia="仿宋_GB2312" w:cs="仿宋_GB2312"/>
          <w:color w:val="000000" w:themeColor="text1"/>
          <w:sz w:val="32"/>
          <w:szCs w:val="32"/>
          <w14:textFill>
            <w14:solidFill>
              <w14:schemeClr w14:val="tx1"/>
            </w14:solidFill>
          </w14:textFill>
        </w:rPr>
        <w:t>个项目开展了绩效目标完成情况梳理填报。</w:t>
      </w:r>
    </w:p>
    <w:p>
      <w:pPr>
        <w:spacing w:line="580" w:lineRule="exact"/>
        <w:ind w:firstLine="640" w:firstLineChars="200"/>
        <w:rPr>
          <w:rFonts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本部门按要求对</w:t>
      </w:r>
      <w:r>
        <w:rPr>
          <w:rFonts w:hint="eastAsia" w:ascii="仿宋_GB2312" w:eastAsia="仿宋_GB2312" w:cs="仿宋_GB2312"/>
          <w:color w:val="000000" w:themeColor="text1"/>
          <w:sz w:val="32"/>
          <w:szCs w:val="32"/>
          <w:lang w:val="en-US" w:eastAsia="zh-CN"/>
          <w14:textFill>
            <w14:solidFill>
              <w14:schemeClr w14:val="tx1"/>
            </w14:solidFill>
          </w14:textFill>
        </w:rPr>
        <w:t>2021</w:t>
      </w:r>
      <w:r>
        <w:rPr>
          <w:rFonts w:hint="eastAsia" w:ascii="仿宋_GB2312" w:eastAsia="仿宋_GB2312" w:cs="仿宋_GB2312"/>
          <w:color w:val="000000" w:themeColor="text1"/>
          <w:sz w:val="32"/>
          <w:szCs w:val="32"/>
          <w14:textFill>
            <w14:solidFill>
              <w14:schemeClr w14:val="tx1"/>
            </w14:solidFill>
          </w14:textFill>
        </w:rPr>
        <w:t>年部门整体支出开展绩效自评，</w:t>
      </w:r>
      <w:r>
        <w:rPr>
          <w:rFonts w:hint="eastAsia" w:ascii="仿宋_GB2312" w:eastAsia="仿宋_GB2312"/>
          <w:color w:val="000000" w:themeColor="text1"/>
          <w:sz w:val="32"/>
          <w:szCs w:val="32"/>
          <w14:textFill>
            <w14:solidFill>
              <w14:schemeClr w14:val="tx1"/>
            </w14:solidFill>
          </w14:textFill>
        </w:rPr>
        <w:t>经全面综合评价，我</w:t>
      </w:r>
      <w:r>
        <w:rPr>
          <w:rFonts w:hint="eastAsia" w:ascii="仿宋_GB2312" w:eastAsia="仿宋_GB2312"/>
          <w:color w:val="000000" w:themeColor="text1"/>
          <w:sz w:val="32"/>
          <w:szCs w:val="32"/>
          <w:lang w:val="en-US" w:eastAsia="zh-CN"/>
          <w14:textFill>
            <w14:solidFill>
              <w14:schemeClr w14:val="tx1"/>
            </w14:solidFill>
          </w14:textFill>
        </w:rPr>
        <w:t>单位</w:t>
      </w:r>
      <w:r>
        <w:rPr>
          <w:rFonts w:hint="eastAsia" w:ascii="仿宋_GB2312" w:eastAsia="仿宋_GB2312"/>
          <w:color w:val="000000" w:themeColor="text1"/>
          <w:sz w:val="32"/>
          <w:szCs w:val="32"/>
          <w:lang w:eastAsia="zh-CN"/>
          <w14:textFill>
            <w14:solidFill>
              <w14:schemeClr w14:val="tx1"/>
            </w14:solidFill>
          </w14:textFill>
        </w:rPr>
        <w:t>预算</w:t>
      </w:r>
      <w:r>
        <w:rPr>
          <w:rFonts w:hint="eastAsia" w:ascii="仿宋_GB2312" w:eastAsia="仿宋_GB2312"/>
          <w:color w:val="000000" w:themeColor="text1"/>
          <w:sz w:val="32"/>
          <w:szCs w:val="32"/>
          <w14:textFill>
            <w14:solidFill>
              <w14:schemeClr w14:val="tx1"/>
            </w14:solidFill>
          </w14:textFill>
        </w:rPr>
        <w:t>支出绩效自评得分</w:t>
      </w:r>
      <w:r>
        <w:rPr>
          <w:rFonts w:hint="eastAsia" w:ascii="仿宋_GB2312" w:eastAsia="仿宋_GB2312"/>
          <w:color w:val="000000" w:themeColor="text1"/>
          <w:sz w:val="32"/>
          <w:szCs w:val="32"/>
          <w:lang w:val="en-US" w:eastAsia="zh-CN"/>
          <w14:textFill>
            <w14:solidFill>
              <w14:schemeClr w14:val="tx1"/>
            </w14:solidFill>
          </w14:textFill>
        </w:rPr>
        <w:t>90</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color w:val="000000" w:themeColor="text1"/>
          <w:sz w:val="32"/>
          <w:szCs w:val="32"/>
          <w:lang w:eastAsia="zh-CN"/>
          <w14:textFill>
            <w14:solidFill>
              <w14:schemeClr w14:val="tx1"/>
            </w14:solidFill>
          </w14:textFill>
        </w:rPr>
        <w:t>扣除我单位不存在的评价指标分值</w:t>
      </w:r>
      <w:r>
        <w:rPr>
          <w:rFonts w:hint="eastAsia" w:ascii="仿宋_GB2312" w:eastAsia="仿宋_GB2312"/>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总分为</w:t>
      </w:r>
      <w:r>
        <w:rPr>
          <w:rFonts w:hint="eastAsia" w:ascii="仿宋_GB2312" w:eastAsia="仿宋_GB2312"/>
          <w:color w:val="000000" w:themeColor="text1"/>
          <w:sz w:val="32"/>
          <w:szCs w:val="32"/>
          <w:lang w:val="en-US" w:eastAsia="zh-CN"/>
          <w14:textFill>
            <w14:solidFill>
              <w14:schemeClr w14:val="tx1"/>
            </w14:solidFill>
          </w14:textFill>
        </w:rPr>
        <w:t>96</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color w:val="000000" w:themeColor="text1"/>
          <w:sz w:val="32"/>
          <w:szCs w:val="32"/>
          <w:lang w:eastAsia="zh-CN"/>
          <w14:textFill>
            <w14:solidFill>
              <w14:schemeClr w14:val="tx1"/>
            </w14:solidFill>
          </w14:textFill>
        </w:rPr>
        <w:t>我单位深入贯彻落实十九大关于“全面实施绩效管理”的要求，努力提升本单位绩效预算管理业务水平。主动公开绩效结果，加大资金使用效率，提升政府管理水平。及时告知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color w:val="000000" w:themeColor="text1"/>
          <w:sz w:val="32"/>
          <w:szCs w:val="32"/>
          <w14:textFill>
            <w14:solidFill>
              <w14:schemeClr w14:val="tx1"/>
            </w14:solidFill>
          </w14:textFill>
        </w:rPr>
        <w:t>各部门（科室）部门预算及</w:t>
      </w:r>
      <w:r>
        <w:rPr>
          <w:rFonts w:hint="eastAsia" w:ascii="仿宋_GB2312" w:eastAsia="仿宋_GB2312"/>
          <w:color w:val="000000" w:themeColor="text1"/>
          <w:sz w:val="32"/>
          <w:szCs w:val="32"/>
          <w:lang w:eastAsia="zh-CN"/>
          <w14:textFill>
            <w14:solidFill>
              <w14:schemeClr w14:val="tx1"/>
            </w14:solidFill>
          </w14:textFill>
        </w:rPr>
        <w:t>项目支出进度</w:t>
      </w:r>
      <w:r>
        <w:rPr>
          <w:rFonts w:hint="eastAsia" w:ascii="仿宋_GB2312" w:eastAsia="仿宋_GB2312" w:cs="仿宋_GB2312"/>
          <w:color w:val="000000" w:themeColor="text1"/>
          <w:sz w:val="32"/>
          <w:szCs w:val="32"/>
          <w14:textFill>
            <w14:solidFill>
              <w14:schemeClr w14:val="tx1"/>
            </w14:solidFill>
          </w14:textFill>
        </w:rPr>
        <w:t>。本</w:t>
      </w:r>
      <w:r>
        <w:rPr>
          <w:rFonts w:hint="eastAsia" w:ascii="仿宋_GB2312" w:eastAsia="仿宋_GB2312" w:cs="仿宋_GB2312"/>
          <w:color w:val="000000" w:themeColor="text1"/>
          <w:sz w:val="32"/>
          <w:szCs w:val="32"/>
          <w:lang w:val="en-US" w:eastAsia="zh-CN"/>
          <w14:textFill>
            <w14:solidFill>
              <w14:schemeClr w14:val="tx1"/>
            </w14:solidFill>
          </w14:textFill>
        </w:rPr>
        <w:t>单位</w:t>
      </w:r>
      <w:r>
        <w:rPr>
          <w:rFonts w:hint="eastAsia" w:ascii="仿宋_GB2312" w:eastAsia="仿宋_GB2312" w:cs="仿宋_GB2312"/>
          <w:color w:val="000000" w:themeColor="text1"/>
          <w:sz w:val="32"/>
          <w:szCs w:val="32"/>
          <w14:textFill>
            <w14:solidFill>
              <w14:schemeClr w14:val="tx1"/>
            </w14:solidFill>
          </w14:textFill>
        </w:rPr>
        <w:t>还自行组织了</w:t>
      </w:r>
      <w:r>
        <w:rPr>
          <w:rFonts w:hint="eastAsia" w:asci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eastAsia="仿宋_GB2312" w:cs="仿宋_GB2312"/>
          <w:color w:val="000000" w:themeColor="text1"/>
          <w:sz w:val="32"/>
          <w:szCs w:val="32"/>
          <w14:textFill>
            <w14:solidFill>
              <w14:schemeClr w14:val="tx1"/>
            </w14:solidFill>
          </w14:textFill>
        </w:rPr>
        <w:t>个项目绩效评价，从评价情况来看</w:t>
      </w:r>
      <w:r>
        <w:rPr>
          <w:rFonts w:hint="eastAsia" w:ascii="仿宋_GB2312" w:eastAsia="仿宋_GB2312" w:cs="仿宋_GB2312"/>
          <w:color w:val="000000" w:themeColor="text1"/>
          <w:sz w:val="32"/>
          <w:szCs w:val="32"/>
          <w:lang w:val="en-US" w:eastAsia="zh-CN"/>
          <w14:textFill>
            <w14:solidFill>
              <w14:schemeClr w14:val="tx1"/>
            </w14:solidFill>
          </w14:textFill>
        </w:rPr>
        <w:t>我单位年初预算项目基本按照绩效目标完成支付，项目资金按工程进度拨款。</w:t>
      </w:r>
    </w:p>
    <w:p>
      <w:pPr>
        <w:numPr>
          <w:ilvl w:val="0"/>
          <w:numId w:val="2"/>
        </w:numPr>
        <w:spacing w:line="580" w:lineRule="exact"/>
        <w:ind w:left="0" w:firstLine="643" w:firstLineChars="200"/>
        <w:jc w:val="left"/>
        <w:rPr>
          <w:rFonts w:ascii="仿宋_GB2312" w:eastAsia="仿宋_GB2312" w:cs="仿宋_GB2312"/>
          <w:color w:val="000000" w:themeColor="text1"/>
          <w:sz w:val="32"/>
          <w:szCs w:val="32"/>
          <w14:textFill>
            <w14:solidFill>
              <w14:schemeClr w14:val="tx1"/>
            </w14:solidFill>
          </w14:textFill>
        </w:rPr>
      </w:pPr>
      <w:r>
        <w:rPr>
          <w:rFonts w:hint="eastAsia" w:ascii="仿宋" w:eastAsia="仿宋" w:cs="楷体_GB2312"/>
          <w:b/>
          <w:bCs/>
          <w:color w:val="000000" w:themeColor="text1"/>
          <w:sz w:val="32"/>
          <w:szCs w:val="32"/>
          <w14:textFill>
            <w14:solidFill>
              <w14:schemeClr w14:val="tx1"/>
            </w14:solidFill>
          </w14:textFill>
        </w:rPr>
        <w:t>项目绩效目标完成情况。</w:t>
      </w:r>
    </w:p>
    <w:p>
      <w:pPr>
        <w:numPr>
          <w:ilvl w:val="0"/>
          <w:numId w:val="0"/>
        </w:numPr>
        <w:tabs>
          <w:tab w:val="left" w:pos="0"/>
        </w:tabs>
        <w:spacing w:line="580" w:lineRule="exact"/>
        <w:ind w:leftChars="200" w:firstLine="640" w:firstLineChars="200"/>
        <w:jc w:val="left"/>
        <w:rPr>
          <w:rFonts w:ascii="仿宋_GB2312" w:eastAsia="仿宋_GB2312" w:cs="仿宋_GB2312"/>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 xml:space="preserve"> 本部门在20</w:t>
      </w:r>
      <w:r>
        <w:rPr>
          <w:rFonts w:hint="eastAsia" w:ascii="仿宋_GB2312" w:eastAsia="仿宋_GB2312" w:cs="仿宋_GB2312"/>
          <w:color w:val="000000" w:themeColor="text1"/>
          <w:sz w:val="32"/>
          <w:szCs w:val="32"/>
          <w:lang w:val="en-US" w:eastAsia="zh-CN"/>
          <w14:textFill>
            <w14:solidFill>
              <w14:schemeClr w14:val="tx1"/>
            </w14:solidFill>
          </w14:textFill>
        </w:rPr>
        <w:t>21</w:t>
      </w:r>
      <w:r>
        <w:rPr>
          <w:rFonts w:hint="eastAsia" w:ascii="仿宋_GB2312" w:eastAsia="仿宋_GB2312" w:cs="仿宋_GB2312"/>
          <w:color w:val="000000" w:themeColor="text1"/>
          <w:sz w:val="32"/>
          <w:szCs w:val="32"/>
          <w14:textFill>
            <w14:solidFill>
              <w14:schemeClr w14:val="tx1"/>
            </w14:solidFill>
          </w14:textFill>
        </w:rPr>
        <w:t>年度部门决算中反映</w:t>
      </w:r>
      <w:r>
        <w:rPr>
          <w:rFonts w:hint="eastAsia" w:ascii="仿宋_GB2312" w:eastAsia="仿宋_GB2312" w:cs="仿宋_GB2312"/>
          <w:color w:val="000000" w:themeColor="text1"/>
          <w:sz w:val="32"/>
          <w:szCs w:val="32"/>
          <w:lang w:eastAsia="zh-CN"/>
          <w14:textFill>
            <w14:solidFill>
              <w14:schemeClr w14:val="tx1"/>
            </w14:solidFill>
          </w14:textFill>
        </w:rPr>
        <w:t>城市环卫工作服务费</w:t>
      </w:r>
      <w:r>
        <w:rPr>
          <w:rFonts w:hint="eastAsia" w:ascii="仿宋_GB2312" w:eastAsia="仿宋_GB2312" w:cs="仿宋_GB2312"/>
          <w:color w:val="000000" w:themeColor="text1"/>
          <w:sz w:val="32"/>
          <w:szCs w:val="32"/>
          <w14:textFill>
            <w14:solidFill>
              <w14:schemeClr w14:val="tx1"/>
            </w14:solidFill>
          </w14:textFill>
        </w:rPr>
        <w:t>项目等</w:t>
      </w:r>
      <w:r>
        <w:rPr>
          <w:rFonts w:hint="eastAsia" w:asci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eastAsia="仿宋_GB2312" w:cs="仿宋_GB2312"/>
          <w:color w:val="000000" w:themeColor="text1"/>
          <w:sz w:val="32"/>
          <w:szCs w:val="32"/>
          <w14:textFill>
            <w14:solidFill>
              <w14:schemeClr w14:val="tx1"/>
            </w14:solidFill>
          </w14:textFill>
        </w:rPr>
        <w:t>个项目绩效目标实际完成情况。</w:t>
      </w:r>
    </w:p>
    <w:p>
      <w:pPr>
        <w:pStyle w:val="4"/>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eastAsia="仿宋_GB2312" w:cs="仿宋_GB2312"/>
          <w:color w:val="000000" w:themeColor="text1"/>
          <w:sz w:val="32"/>
          <w:szCs w:val="32"/>
          <w:lang w:eastAsia="zh-CN"/>
          <w14:textFill>
            <w14:solidFill>
              <w14:schemeClr w14:val="tx1"/>
            </w14:solidFill>
          </w14:textFill>
        </w:rPr>
        <w:t>城市环卫工作过渡期服务费</w:t>
      </w:r>
      <w:r>
        <w:rPr>
          <w:rFonts w:hint="eastAsia" w:ascii="仿宋_GB2312" w:eastAsia="仿宋_GB2312" w:cs="仿宋_GB2312"/>
          <w:color w:val="000000" w:themeColor="text1"/>
          <w:sz w:val="32"/>
          <w:szCs w:val="32"/>
          <w14:textFill>
            <w14:solidFill>
              <w14:schemeClr w14:val="tx1"/>
            </w14:solidFill>
          </w14:textFill>
        </w:rPr>
        <w:t>项目绩效目标完成情况综述。项目预算数</w:t>
      </w:r>
      <w:r>
        <w:rPr>
          <w:rFonts w:hint="eastAsia" w:ascii="仿宋_GB2312" w:eastAsia="仿宋_GB2312" w:cs="仿宋_GB2312"/>
          <w:color w:val="000000" w:themeColor="text1"/>
          <w:sz w:val="32"/>
          <w:szCs w:val="32"/>
          <w:lang w:val="en-US" w:eastAsia="zh-CN"/>
          <w14:textFill>
            <w14:solidFill>
              <w14:schemeClr w14:val="tx1"/>
            </w14:solidFill>
          </w14:textFill>
        </w:rPr>
        <w:t>158.3</w:t>
      </w:r>
      <w:r>
        <w:rPr>
          <w:rFonts w:hint="eastAsia" w:ascii="仿宋_GB2312" w:eastAsia="仿宋_GB2312" w:cs="仿宋_GB2312"/>
          <w:color w:val="000000" w:themeColor="text1"/>
          <w:sz w:val="32"/>
          <w:szCs w:val="32"/>
          <w14:textFill>
            <w14:solidFill>
              <w14:schemeClr w14:val="tx1"/>
            </w14:solidFill>
          </w14:textFill>
        </w:rPr>
        <w:t>万元，执行数为</w:t>
      </w:r>
      <w:r>
        <w:rPr>
          <w:rFonts w:hint="eastAsia" w:ascii="仿宋_GB2312" w:eastAsia="仿宋_GB2312" w:cs="仿宋_GB2312"/>
          <w:color w:val="000000" w:themeColor="text1"/>
          <w:sz w:val="32"/>
          <w:szCs w:val="32"/>
          <w:lang w:val="en-US" w:eastAsia="zh-CN"/>
          <w14:textFill>
            <w14:solidFill>
              <w14:schemeClr w14:val="tx1"/>
            </w14:solidFill>
          </w14:textFill>
        </w:rPr>
        <w:t>158.3</w:t>
      </w:r>
      <w:r>
        <w:rPr>
          <w:rFonts w:hint="eastAsia" w:ascii="仿宋_GB2312" w:eastAsia="仿宋_GB2312" w:cs="仿宋_GB2312"/>
          <w:color w:val="000000" w:themeColor="text1"/>
          <w:sz w:val="32"/>
          <w:szCs w:val="32"/>
          <w14:textFill>
            <w14:solidFill>
              <w14:schemeClr w14:val="tx1"/>
            </w14:solidFill>
          </w14:textFill>
        </w:rPr>
        <w:t>万元，完成预算的</w:t>
      </w:r>
      <w:r>
        <w:rPr>
          <w:rFonts w:hint="eastAsia" w:asci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eastAsia="仿宋_GB2312" w:cs="仿宋_GB2312"/>
          <w:color w:val="000000" w:themeColor="text1"/>
          <w:sz w:val="32"/>
          <w:szCs w:val="32"/>
          <w14:textFill>
            <w14:solidFill>
              <w14:schemeClr w14:val="tx1"/>
            </w14:solidFill>
          </w14:textFill>
        </w:rPr>
        <w:t>%</w:t>
      </w:r>
      <w:r>
        <w:rPr>
          <w:rFonts w:hint="eastAsia" w:asci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该项目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为我县环卫工作服务费</w:t>
      </w:r>
      <w:r>
        <w:rPr>
          <w:rFonts w:hint="eastAsia" w:ascii="仿宋_GB2312" w:eastAsia="仿宋_GB2312" w:cs="仿宋_GB2312"/>
          <w:color w:val="000000" w:themeColor="text1"/>
          <w:sz w:val="32"/>
          <w:szCs w:val="32"/>
          <w:lang w:eastAsia="zh-CN"/>
          <w14:textFill>
            <w14:solidFill>
              <w14:schemeClr w14:val="tx1"/>
            </w14:solidFill>
          </w14:textFill>
        </w:rPr>
        <w:t>。</w:t>
      </w:r>
    </w:p>
    <w:p>
      <w:pPr>
        <w:spacing w:line="580" w:lineRule="exact"/>
        <w:rPr>
          <w:rFonts w:ascii="仿宋_GB2312" w:eastAsia="仿宋_GB2312" w:cs="仿宋_GB2312"/>
          <w:color w:val="000000" w:themeColor="text1"/>
          <w:sz w:val="32"/>
          <w:szCs w:val="32"/>
          <w:lang w:val="en-US" w:eastAsia="zh-CN"/>
          <w14:textFill>
            <w14:solidFill>
              <w14:schemeClr w14:val="tx1"/>
            </w14:solidFill>
          </w14:textFill>
        </w:rPr>
      </w:pPr>
    </w:p>
    <w:tbl>
      <w:tblPr>
        <w:tblStyle w:val="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15"/>
              <w:widowControl/>
              <w:ind w:left="4173" w:leftChars="1310" w:hanging="1422" w:hangingChars="395"/>
              <w:textAlignment w:val="center"/>
              <w:rPr>
                <w:rFonts w:hint="eastAsia" w:ascii="黑体" w:eastAsia="黑体" w:cs="宋体"/>
                <w:bCs/>
                <w:color w:val="000000" w:themeColor="text1"/>
                <w:kern w:val="0"/>
                <w:sz w:val="36"/>
                <w:szCs w:val="36"/>
                <w:lang w:eastAsia="zh-CN"/>
                <w14:textFill>
                  <w14:solidFill>
                    <w14:schemeClr w14:val="tx1"/>
                  </w14:solidFill>
                </w14:textFill>
              </w:rPr>
            </w:pPr>
            <w:r>
              <w:rPr>
                <w:rFonts w:hint="eastAsia" w:ascii="黑体" w:eastAsia="黑体" w:cs="宋体"/>
                <w:bCs/>
                <w:color w:val="000000" w:themeColor="text1"/>
                <w:kern w:val="0"/>
                <w:sz w:val="36"/>
                <w:szCs w:val="36"/>
                <w14:textFill>
                  <w14:solidFill>
                    <w14:schemeClr w14:val="tx1"/>
                  </w14:solidFill>
                </w14:textFill>
              </w:rPr>
              <w:t>项目支出绩效目标完成情况表</w:t>
            </w:r>
          </w:p>
          <w:p>
            <w:pPr>
              <w:pStyle w:val="15"/>
              <w:widowControl/>
              <w:ind w:left="4173" w:leftChars="1310" w:hanging="1422" w:hangingChars="395"/>
              <w:textAlignment w:val="center"/>
              <w:rPr>
                <w:rFonts w:ascii="宋体" w:cs="宋体"/>
                <w:color w:val="000000" w:themeColor="text1"/>
                <w:sz w:val="36"/>
                <w:szCs w:val="36"/>
                <w14:textFill>
                  <w14:solidFill>
                    <w14:schemeClr w14:val="tx1"/>
                  </w14:solidFill>
                </w14:textFill>
              </w:rPr>
            </w:pPr>
            <w:r>
              <w:rPr>
                <w:rFonts w:hint="eastAsia" w:ascii="宋体" w:cs="宋体"/>
                <w:color w:val="000000" w:themeColor="text1"/>
                <w:kern w:val="0"/>
                <w:sz w:val="36"/>
                <w:szCs w:val="36"/>
                <w14:textFill>
                  <w14:solidFill>
                    <w14:schemeClr w14:val="tx1"/>
                  </w14:solidFill>
                </w14:textFill>
              </w:rPr>
              <w:t>(20</w:t>
            </w:r>
            <w:r>
              <w:rPr>
                <w:rFonts w:hint="eastAsia" w:ascii="宋体" w:cs="宋体"/>
                <w:color w:val="000000" w:themeColor="text1"/>
                <w:kern w:val="0"/>
                <w:sz w:val="36"/>
                <w:szCs w:val="36"/>
                <w:lang w:val="en-US" w:eastAsia="zh-CN"/>
                <w14:textFill>
                  <w14:solidFill>
                    <w14:schemeClr w14:val="tx1"/>
                  </w14:solidFill>
                </w14:textFill>
              </w:rPr>
              <w:t>21</w:t>
            </w:r>
            <w:r>
              <w:rPr>
                <w:rFonts w:hint="eastAsia" w:ascii="宋体" w:cs="宋体"/>
                <w:color w:val="000000" w:themeColor="text1"/>
                <w:kern w:val="0"/>
                <w:sz w:val="36"/>
                <w:szCs w:val="36"/>
                <w14:textFill>
                  <w14:solidFill>
                    <w14:schemeClr w14:val="tx1"/>
                  </w14:solidFill>
                </w14:textFill>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仿宋_GB2312" w:eastAsia="仿宋_GB2312" w:cs="仿宋_GB2312"/>
                <w:color w:val="000000" w:themeColor="text1"/>
                <w:sz w:val="32"/>
                <w:szCs w:val="32"/>
                <w:lang w:eastAsia="zh-CN"/>
                <w14:textFill>
                  <w14:solidFill>
                    <w14:schemeClr w14:val="tx1"/>
                  </w14:solidFill>
                </w14:textFill>
              </w:rPr>
              <w:t>城市环卫工作过渡期服务费</w:t>
            </w:r>
            <w:r>
              <w:rPr>
                <w:rFonts w:hint="eastAsia" w:ascii="仿宋_GB2312" w:eastAsia="仿宋_GB2312" w:cs="仿宋_GB2312"/>
                <w:color w:val="000000" w:themeColor="text1"/>
                <w:sz w:val="32"/>
                <w:szCs w:val="32"/>
                <w14:textFill>
                  <w14:solidFill>
                    <w14:schemeClr w14:val="tx1"/>
                  </w14:solidFill>
                </w14:textFill>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金川县市政公用事业服务中心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158.3</w:t>
            </w:r>
            <w:r>
              <w:rPr>
                <w:rFonts w:hint="eastAsia" w:ascii="宋体" w:cs="宋体"/>
                <w:color w:val="000000" w:themeColor="text1"/>
                <w:sz w:val="24"/>
                <w:lang w:val="en-US" w:eastAsia="zh-CN"/>
                <w14:textFill>
                  <w14:solidFill>
                    <w14:schemeClr w14:val="tx1"/>
                  </w14:solidFill>
                </w14:textFill>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158.3</w:t>
            </w:r>
            <w:r>
              <w:rPr>
                <w:rFonts w:hint="eastAsia" w:ascii="宋体" w:cs="宋体"/>
                <w:color w:val="000000" w:themeColor="text1"/>
                <w:sz w:val="24"/>
                <w:lang w:val="en-US" w:eastAsia="zh-CN"/>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color w:val="000000" w:themeColor="text1"/>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158.3</w:t>
            </w:r>
            <w:r>
              <w:rPr>
                <w:rFonts w:hint="eastAsia" w:ascii="宋体" w:cs="宋体"/>
                <w:color w:val="000000" w:themeColor="text1"/>
                <w:sz w:val="24"/>
                <w:lang w:val="en-US" w:eastAsia="zh-CN"/>
                <w14:textFill>
                  <w14:solidFill>
                    <w14:schemeClr w14:val="tx1"/>
                  </w14:solidFill>
                </w14:textFill>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158.3</w:t>
            </w:r>
            <w:r>
              <w:rPr>
                <w:rFonts w:hint="eastAsia" w:ascii="宋体" w:cs="宋体"/>
                <w:color w:val="000000" w:themeColor="text1"/>
                <w:sz w:val="24"/>
                <w:lang w:val="en-US" w:eastAsia="zh-CN"/>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color w:val="000000" w:themeColor="text1"/>
                <w14:textFill>
                  <w14:solidFill>
                    <w14:schemeClr w14:val="tx1"/>
                  </w14:solidFill>
                </w14:textFill>
              </w:rPr>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both"/>
              <w:rPr>
                <w:rFonts w:ascii="宋体" w:cs="宋体"/>
                <w:color w:val="000000" w:themeColor="text1"/>
                <w:sz w:val="24"/>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color w:val="000000" w:themeColor="text1"/>
                <w14:textFill>
                  <w14:solidFill>
                    <w14:schemeClr w14:val="tx1"/>
                  </w14:solidFill>
                </w14:textFill>
              </w:rPr>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themeColor="text1"/>
                <w:sz w:val="24"/>
                <w:lang w:eastAsia="zh-CN"/>
                <w14:textFill>
                  <w14:solidFill>
                    <w14:schemeClr w14:val="tx1"/>
                  </w14:solidFill>
                </w14:textFill>
              </w:rPr>
            </w:pPr>
            <w:r>
              <w:rPr>
                <w:rFonts w:hint="eastAsia" w:ascii="宋体" w:cs="宋体"/>
                <w:color w:val="000000" w:themeColor="text1"/>
                <w:kern w:val="0"/>
                <w:sz w:val="24"/>
                <w:lang w:eastAsia="zh-CN"/>
                <w14:textFill>
                  <w14:solidFill>
                    <w14:schemeClr w14:val="tx1"/>
                  </w14:solidFill>
                </w14:textFill>
              </w:rPr>
              <w:t>完成了新旧公司过度期间城镇环卫工作的服务，使城区保持清洁</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基本实现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sz w:val="24"/>
                <w14:textFill>
                  <w14:solidFill>
                    <w14:schemeClr w14:val="tx1"/>
                  </w14:solidFill>
                </w14:textFill>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color w:val="000000" w:themeColor="text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kern w:val="0"/>
                <w:sz w:val="24"/>
                <w:lang w:eastAsia="zh-CN"/>
                <w14:textFill>
                  <w14:solidFill>
                    <w14:schemeClr w14:val="tx1"/>
                  </w14:solidFill>
                </w14:textFill>
              </w:rPr>
              <w:t>清洁达标率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cs="宋体"/>
                <w:color w:val="000000" w:themeColor="text1"/>
                <w:sz w:val="24"/>
                <w:lang w:val="en-US"/>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color w:val="000000" w:themeColor="text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服务时限</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themeColor="text1"/>
                <w:kern w:val="0"/>
                <w:sz w:val="24"/>
                <w:lang w:val="en-US" w:eastAsia="zh-CN"/>
                <w14:textFill>
                  <w14:solidFill>
                    <w14:schemeClr w14:val="tx1"/>
                  </w14:solidFill>
                </w14:textFill>
              </w:rPr>
            </w:pPr>
            <w:r>
              <w:rPr>
                <w:rFonts w:hint="eastAsia" w:ascii="宋体" w:cs="宋体"/>
                <w:color w:val="000000" w:themeColor="text1"/>
                <w:kern w:val="0"/>
                <w:sz w:val="24"/>
                <w:lang w:val="en-US" w:eastAsia="zh-CN"/>
                <w14:textFill>
                  <w14:solidFill>
                    <w14:schemeClr w14:val="tx1"/>
                  </w14:solidFill>
                </w14:textFill>
              </w:rPr>
              <w:t>一年</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themeColor="text1"/>
                <w:kern w:val="0"/>
                <w:sz w:val="24"/>
                <w:lang w:val="en-US" w:eastAsia="zh-CN"/>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pPr>
              <w:rPr>
                <w:color w:val="000000" w:themeColor="text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kern w:val="0"/>
                <w:sz w:val="24"/>
                <w14:textFill>
                  <w14:solidFill>
                    <w14:schemeClr w14:val="tx1"/>
                  </w14:solidFill>
                </w14:textFill>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themeColor="text1"/>
                <w:sz w:val="24"/>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满意</w:t>
            </w:r>
          </w:p>
        </w:tc>
      </w:tr>
    </w:tbl>
    <w:p>
      <w:pPr>
        <w:spacing w:line="580" w:lineRule="exact"/>
        <w:ind w:left="0"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p>
    <w:p>
      <w:pPr>
        <w:pStyle w:val="4"/>
        <w:bidi w:val="0"/>
        <w:rPr>
          <w:rFonts w:hint="eastAsia"/>
        </w:rPr>
      </w:pPr>
      <w:r>
        <w:rPr>
          <w:rFonts w:hint="eastAsia"/>
        </w:rPr>
        <w:t>2.概述本单位整体支出绩效目标实现情况。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eastAsia="仿宋_GB2312" w:cs="仿宋_GB2312"/>
          <w:color w:val="000000" w:themeColor="text1"/>
          <w:sz w:val="32"/>
          <w:szCs w:val="32"/>
          <w:lang w:eastAsia="zh-CN"/>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本部门按要求对20</w:t>
      </w:r>
      <w:r>
        <w:rPr>
          <w:rFonts w:hint="eastAsia" w:ascii="仿宋_GB2312" w:eastAsia="仿宋_GB2312" w:cs="仿宋_GB2312"/>
          <w:color w:val="000000" w:themeColor="text1"/>
          <w:sz w:val="32"/>
          <w:szCs w:val="32"/>
          <w:lang w:val="en-US" w:eastAsia="zh-CN"/>
          <w14:textFill>
            <w14:solidFill>
              <w14:schemeClr w14:val="tx1"/>
            </w14:solidFill>
          </w14:textFill>
        </w:rPr>
        <w:t>21</w:t>
      </w:r>
      <w:r>
        <w:rPr>
          <w:rFonts w:hint="eastAsia" w:ascii="仿宋_GB2312" w:eastAsia="仿宋_GB2312" w:cs="仿宋_GB2312"/>
          <w:color w:val="000000" w:themeColor="text1"/>
          <w:sz w:val="32"/>
          <w:szCs w:val="32"/>
          <w14:textFill>
            <w14:solidFill>
              <w14:schemeClr w14:val="tx1"/>
            </w14:solidFill>
          </w14:textFill>
        </w:rPr>
        <w:t>年部门整体支出绩效评价情况开展自评</w:t>
      </w:r>
      <w:r>
        <w:rPr>
          <w:rFonts w:hint="eastAsia" w:ascii="仿宋_GB2312" w:eastAsia="仿宋_GB2312" w:cs="仿宋_GB2312"/>
          <w:color w:val="000000" w:themeColor="text1"/>
          <w:sz w:val="32"/>
          <w:szCs w:val="32"/>
          <w:lang w:eastAsia="zh-CN"/>
          <w14:textFill>
            <w14:solidFill>
              <w14:schemeClr w14:val="tx1"/>
            </w14:solidFill>
          </w14:textFill>
        </w:rPr>
        <w:t>。</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themeColor="text1"/>
          <w:kern w:val="0"/>
          <w:sz w:val="32"/>
          <w:szCs w:val="32"/>
          <w:shd w:val="clear" w:fill="FFFFFF"/>
          <w14:textFill>
            <w14:solidFill>
              <w14:schemeClr w14:val="tx1"/>
            </w14:solidFill>
          </w14:textFill>
        </w:rPr>
      </w:pPr>
      <w:r>
        <w:rPr>
          <w:rFonts w:hint="eastAsia" w:ascii="仿宋_GB2312" w:hAnsi="Times New Roman" w:eastAsia="仿宋_GB2312" w:cs="仿宋_GB2312"/>
          <w:color w:val="000000" w:themeColor="text1"/>
          <w:kern w:val="0"/>
          <w:sz w:val="32"/>
          <w:szCs w:val="32"/>
          <w:shd w:val="clear" w:fill="FFFFFF"/>
          <w:lang w:val="en-US" w:eastAsia="zh-CN" w:bidi="ar"/>
          <w14:textFill>
            <w14:solidFill>
              <w14:schemeClr w14:val="tx1"/>
            </w14:solidFill>
          </w14:textFill>
        </w:rPr>
        <w:t>（一）评价结论。</w:t>
      </w:r>
    </w:p>
    <w:p>
      <w:pPr>
        <w:pStyle w:val="7"/>
        <w:keepNext w:val="0"/>
        <w:keepLines w:val="0"/>
        <w:widowControl/>
        <w:suppressLineNumbers w:val="0"/>
        <w:shd w:val="clear" w:fill="FFFFFF"/>
        <w:spacing w:before="0" w:beforeAutospacing="0" w:after="0" w:afterAutospacing="0" w:line="375" w:lineRule="atLeast"/>
        <w:ind w:left="0" w:right="0" w:firstLine="1280" w:firstLineChars="400"/>
        <w:jc w:val="left"/>
        <w:rPr>
          <w:rFonts w:hint="eastAsia" w:ascii="仿宋_GB2312" w:hAnsi="宋体" w:eastAsia="仿宋_GB2312" w:cs="宋体"/>
          <w:color w:val="000000" w:themeColor="text1"/>
          <w:kern w:val="0"/>
          <w:sz w:val="24"/>
          <w:szCs w:val="24"/>
          <w:shd w:val="clear" w:fill="FFFFFF"/>
          <w14:textFill>
            <w14:solidFill>
              <w14:schemeClr w14:val="tx1"/>
            </w14:solidFill>
          </w14:textFill>
        </w:rPr>
      </w:pPr>
      <w:r>
        <w:rPr>
          <w:rFonts w:hint="eastAsia" w:ascii="仿宋" w:hAnsi="仿宋" w:eastAsia="仿宋" w:cs="仿宋"/>
          <w:color w:val="000000" w:themeColor="text1"/>
          <w:kern w:val="0"/>
          <w:sz w:val="32"/>
          <w:szCs w:val="32"/>
          <w:shd w:val="clear" w:fill="FFFFFF"/>
          <w:lang w:val="en-US" w:eastAsia="zh-CN" w:bidi="ar"/>
          <w14:textFill>
            <w14:solidFill>
              <w14:schemeClr w14:val="tx1"/>
            </w14:solidFill>
          </w14:textFill>
        </w:rPr>
        <w:t>自评合格。</w:t>
      </w:r>
    </w:p>
    <w:p>
      <w:pPr>
        <w:pStyle w:val="16"/>
        <w:bidi w:val="0"/>
        <w:ind w:firstLine="640" w:firstLineChars="200"/>
        <w:rPr>
          <w:rFonts w:hint="eastAsia" w:ascii="仿宋_GB2312" w:hAnsi="仿宋_GB2312" w:eastAsia="仿宋_GB2312" w:cs="仿宋_GB2312"/>
          <w:color w:val="auto"/>
          <w:kern w:val="0"/>
          <w:sz w:val="32"/>
          <w:szCs w:val="32"/>
          <w:shd w:val="clear" w:fill="FFFFFF"/>
          <w:lang w:val="zh-CN"/>
        </w:rPr>
      </w:pPr>
      <w:r>
        <w:rPr>
          <w:rFonts w:hint="eastAsia" w:ascii="仿宋_GB2312" w:hAnsi="仿宋_GB2312" w:eastAsia="仿宋_GB2312" w:cs="仿宋_GB2312"/>
          <w:color w:val="000000"/>
          <w:kern w:val="0"/>
          <w:sz w:val="32"/>
          <w:szCs w:val="32"/>
          <w:shd w:val="clear" w:fill="FFFFFF"/>
          <w:lang w:val="zh-CN"/>
        </w:rPr>
        <w:t>二）存在问题</w:t>
      </w:r>
    </w:p>
    <w:p>
      <w:pPr>
        <w:pStyle w:val="16"/>
        <w:bidi w:val="0"/>
        <w:spacing w:line="520" w:lineRule="exact"/>
        <w:ind w:firstLine="640" w:firstLineChars="200"/>
        <w:rPr>
          <w:rFonts w:hint="eastAsia"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rPr>
        <w:t>1</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对绩效评价工作的认识和重视程度</w:t>
      </w:r>
      <w:r>
        <w:rPr>
          <w:rFonts w:hint="eastAsia" w:ascii="仿宋_GB2312" w:hAnsi="仿宋_GB2312" w:eastAsia="仿宋_GB2312" w:cs="仿宋_GB2312"/>
          <w:color w:val="333333"/>
          <w:sz w:val="32"/>
          <w:szCs w:val="32"/>
          <w:lang w:eastAsia="zh-CN"/>
        </w:rPr>
        <w:t>还不够。</w:t>
      </w:r>
    </w:p>
    <w:p>
      <w:pPr>
        <w:pStyle w:val="16"/>
        <w:bidi w:val="0"/>
        <w:spacing w:line="52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Style w:val="11"/>
          <w:rFonts w:hint="eastAsia" w:ascii="仿宋_GB2312" w:hAnsi="仿宋_GB2312" w:eastAsia="仿宋_GB2312" w:cs="仿宋_GB2312"/>
          <w:sz w:val="32"/>
          <w:szCs w:val="32"/>
        </w:rPr>
        <w:t>在资金的使用和安排上取得了较好的预算执行结果，但仍存在预算管理不够完善，资金使用不够科学等问题</w:t>
      </w:r>
      <w:r>
        <w:rPr>
          <w:rStyle w:val="11"/>
          <w:rFonts w:hint="eastAsia" w:ascii="仿宋_GB2312" w:hAnsi="仿宋_GB2312" w:eastAsia="仿宋_GB2312" w:cs="仿宋_GB2312"/>
          <w:sz w:val="32"/>
          <w:szCs w:val="32"/>
          <w:lang w:eastAsia="zh-CN"/>
        </w:rPr>
        <w:t>。</w:t>
      </w:r>
    </w:p>
    <w:p>
      <w:pPr>
        <w:pStyle w:val="16"/>
        <w:widowControl/>
        <w:bidi w:val="0"/>
        <w:snapToGrid w:val="0"/>
        <w:spacing w:line="540" w:lineRule="exact"/>
        <w:ind w:firstLine="640" w:firstLineChars="200"/>
        <w:jc w:val="left"/>
        <w:rPr>
          <w:rFonts w:hint="eastAsia" w:ascii="仿宋_GB2312" w:hAnsi="仿宋_GB2312" w:eastAsia="仿宋_GB2312" w:cs="仿宋_GB2312"/>
          <w:color w:val="auto"/>
          <w:kern w:val="0"/>
          <w:sz w:val="32"/>
          <w:szCs w:val="32"/>
          <w:shd w:val="clear" w:fill="FFFFFF"/>
        </w:rPr>
      </w:pPr>
      <w:r>
        <w:rPr>
          <w:rFonts w:hint="eastAsia" w:ascii="仿宋_GB2312" w:hAnsi="仿宋_GB2312" w:eastAsia="仿宋_GB2312" w:cs="仿宋_GB2312"/>
          <w:color w:val="000000"/>
          <w:kern w:val="0"/>
          <w:sz w:val="32"/>
          <w:szCs w:val="32"/>
          <w:shd w:val="clear" w:fill="FFFFFF"/>
          <w:lang w:val="zh-CN"/>
        </w:rPr>
        <w:t>（三）改进建议</w:t>
      </w:r>
    </w:p>
    <w:p>
      <w:pPr>
        <w:pStyle w:val="16"/>
        <w:bidi w:val="0"/>
        <w:ind w:firstLine="63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000000"/>
          <w:kern w:val="0"/>
          <w:sz w:val="32"/>
          <w:szCs w:val="32"/>
          <w:shd w:val="clear" w:fill="FFFFFF"/>
        </w:rPr>
        <w:t>在今后的工作中，我局要继续合理计划利用财政资金，</w:t>
      </w:r>
      <w:r>
        <w:rPr>
          <w:rFonts w:hint="eastAsia" w:ascii="仿宋_GB2312" w:hAnsi="仿宋_GB2312" w:eastAsia="仿宋_GB2312" w:cs="仿宋_GB2312"/>
          <w:color w:val="auto"/>
          <w:sz w:val="32"/>
          <w:szCs w:val="32"/>
        </w:rPr>
        <w:t>根据资金管理办法进行管理，做好经费保障等工作，明确分工，落实责任。</w:t>
      </w:r>
      <w:r>
        <w:rPr>
          <w:rFonts w:hint="eastAsia" w:ascii="仿宋_GB2312" w:hAnsi="仿宋_GB2312" w:eastAsia="仿宋_GB2312" w:cs="仿宋_GB2312"/>
          <w:color w:val="333333"/>
          <w:sz w:val="32"/>
          <w:szCs w:val="32"/>
        </w:rPr>
        <w:t>建立健全严格的经费开支审批制度和严格的经费开支报销程序，加强经费开支的监督，控制经费支出，保证财政资金发挥应起的作用。</w:t>
      </w:r>
    </w:p>
    <w:p>
      <w:pPr>
        <w:spacing w:line="580" w:lineRule="exact"/>
        <w:ind w:firstLine="640" w:firstLineChars="200"/>
        <w:rPr>
          <w:rFonts w:ascii="仿宋_GB2312" w:eastAsia="仿宋_GB2312" w:cs="仿宋_GB2312"/>
          <w:color w:val="000000" w:themeColor="text1"/>
          <w:sz w:val="32"/>
          <w:szCs w:val="32"/>
          <w14:textFill>
            <w14:solidFill>
              <w14:schemeClr w14:val="tx1"/>
            </w14:solidFill>
          </w14:textFill>
        </w:rPr>
      </w:pP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Style w:val="12"/>
          <w:rFonts w:hint="eastAsia" w:ascii="仿宋" w:hAnsi="仿宋" w:eastAsia="仿宋" w:cs="仿宋"/>
          <w:sz w:val="32"/>
          <w:szCs w:val="32"/>
          <w:shd w:val="clear" w:fill="FFFFFF"/>
        </w:rPr>
        <w:t>（六）当年预算执行及绩效管理中存在问题、原因及改进措施。</w:t>
      </w:r>
    </w:p>
    <w:p>
      <w:pPr>
        <w:pStyle w:val="7"/>
        <w:keepNext w:val="0"/>
        <w:keepLines w:val="0"/>
        <w:widowControl/>
        <w:suppressLineNumbers w:val="0"/>
        <w:spacing w:before="0" w:beforeAutospacing="0"/>
        <w:ind w:left="0" w:firstLine="321" w:firstLineChars="100"/>
        <w:jc w:val="left"/>
        <w:rPr>
          <w:rStyle w:val="12"/>
          <w:rFonts w:hint="eastAsia" w:ascii="仿宋" w:hAnsi="仿宋" w:eastAsia="仿宋" w:cs="仿宋"/>
          <w:sz w:val="32"/>
          <w:szCs w:val="32"/>
          <w:shd w:val="clear" w:fill="FFFFFF"/>
          <w:lang w:eastAsia="zh-CN"/>
        </w:rPr>
      </w:pPr>
      <w:r>
        <w:rPr>
          <w:rStyle w:val="12"/>
          <w:rFonts w:hint="eastAsia" w:ascii="仿宋" w:hAnsi="仿宋" w:eastAsia="仿宋" w:cs="仿宋"/>
          <w:sz w:val="32"/>
          <w:szCs w:val="32"/>
          <w:shd w:val="clear" w:fill="FFFFFF"/>
          <w:lang w:eastAsia="zh-CN"/>
        </w:rPr>
        <w:t>无</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三、本年度部门决算等财务工作开展情况</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（一）本单位财务管理、绩效管理、决算组织、编报、审核情况。</w:t>
      </w:r>
    </w:p>
    <w:p>
      <w:pPr>
        <w:pStyle w:val="7"/>
        <w:keepNext w:val="0"/>
        <w:keepLines w:val="0"/>
        <w:widowControl/>
        <w:suppressLineNumbers w:val="0"/>
        <w:spacing w:before="0" w:beforeAutospacing="0"/>
        <w:ind w:left="0" w:firstLine="640" w:firstLineChars="200"/>
        <w:jc w:val="left"/>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lang w:eastAsia="zh-CN"/>
        </w:rPr>
        <w:t>我单位建立健全了各项财务管理制度，我单位全力以赴，加班加点，认真抓好布置、收集、汇总、核对、审核等一系列工作环节，积极开展部门决算工作。</w:t>
      </w:r>
      <w:r>
        <w:rPr>
          <w:rFonts w:hint="eastAsia" w:ascii="仿宋_GB2312" w:hAnsi="仿宋" w:eastAsia="仿宋_GB2312"/>
          <w:color w:val="auto"/>
          <w:spacing w:val="-20"/>
          <w:sz w:val="32"/>
          <w:szCs w:val="32"/>
          <w:lang w:eastAsia="zh-CN"/>
        </w:rPr>
        <w:t>切实保证了财政部门决算数据真实、准确、完整、及时的完</w:t>
      </w:r>
      <w:r>
        <w:rPr>
          <w:rFonts w:hint="eastAsia" w:ascii="仿宋_GB2312" w:hAnsi="仿宋" w:eastAsia="仿宋_GB2312"/>
          <w:color w:val="auto"/>
          <w:sz w:val="32"/>
          <w:szCs w:val="32"/>
          <w:lang w:eastAsia="zh-CN"/>
        </w:rPr>
        <w:t>成。</w:t>
      </w:r>
    </w:p>
    <w:p>
      <w:pPr>
        <w:pStyle w:val="7"/>
        <w:keepNext w:val="0"/>
        <w:keepLines w:val="0"/>
        <w:widowControl/>
        <w:suppressLineNumbers w:val="0"/>
        <w:spacing w:before="0" w:beforeAutospacing="0"/>
        <w:ind w:left="0"/>
        <w:jc w:val="left"/>
        <w:rPr>
          <w:rFonts w:hint="eastAsia" w:ascii="仿宋" w:hAnsi="仿宋" w:eastAsia="仿宋" w:cs="仿宋"/>
          <w:sz w:val="32"/>
          <w:szCs w:val="32"/>
          <w:shd w:val="clear" w:fill="FFFFFF"/>
        </w:rPr>
      </w:pPr>
      <w:r>
        <w:rPr>
          <w:rFonts w:hint="eastAsia" w:ascii="仿宋" w:hAnsi="仿宋" w:eastAsia="仿宋" w:cs="仿宋"/>
          <w:sz w:val="32"/>
          <w:szCs w:val="32"/>
          <w:shd w:val="clear" w:fill="FFFFFF"/>
        </w:rPr>
        <w:t>（二）本单位决算及绩效信息公开工作开展情况。</w:t>
      </w:r>
    </w:p>
    <w:p>
      <w:pPr>
        <w:pStyle w:val="7"/>
        <w:keepNext w:val="0"/>
        <w:keepLines w:val="0"/>
        <w:widowControl/>
        <w:suppressLineNumbers w:val="0"/>
        <w:spacing w:before="0" w:beforeAutospacing="0"/>
        <w:ind w:left="0"/>
        <w:jc w:val="left"/>
        <w:rPr>
          <w:rFonts w:hint="default" w:ascii="仿宋" w:hAnsi="仿宋" w:eastAsia="仿宋" w:cs="仿宋"/>
          <w:sz w:val="32"/>
          <w:szCs w:val="32"/>
          <w:shd w:val="clear" w:fill="FFFFFF"/>
          <w:lang w:val="en-US" w:eastAsia="zh-CN"/>
        </w:rPr>
      </w:pPr>
      <w:r>
        <w:rPr>
          <w:rFonts w:hint="eastAsia" w:ascii="仿宋" w:hAnsi="仿宋" w:eastAsia="仿宋" w:cs="仿宋"/>
          <w:sz w:val="32"/>
          <w:szCs w:val="32"/>
          <w:shd w:val="clear" w:fill="FFFFFF"/>
          <w:lang w:val="en-US" w:eastAsia="zh-CN"/>
        </w:rPr>
        <w:t xml:space="preserve">    我单位严格按照时间节点编报决算，并按照要求公开。</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（三）对单位决算管理及报表设计的意见建议。</w:t>
      </w:r>
    </w:p>
    <w:p>
      <w:pPr>
        <w:pStyle w:val="7"/>
        <w:keepNext w:val="0"/>
        <w:keepLines w:val="0"/>
        <w:widowControl/>
        <w:suppressLineNumbers w:val="0"/>
        <w:spacing w:before="0" w:beforeAutospacing="0"/>
        <w:ind w:left="0"/>
        <w:jc w:val="left"/>
        <w:rPr>
          <w:rFonts w:hint="default" w:ascii="仿宋" w:hAnsi="仿宋" w:eastAsia="仿宋" w:cs="仿宋"/>
          <w:sz w:val="32"/>
          <w:szCs w:val="32"/>
          <w:shd w:val="clear" w:fill="FFFFFF"/>
          <w:lang w:val="en-US" w:eastAsia="zh-CN"/>
        </w:rPr>
      </w:pPr>
      <w:r>
        <w:rPr>
          <w:rStyle w:val="12"/>
          <w:rFonts w:hint="eastAsia" w:ascii="仿宋" w:hAnsi="仿宋" w:eastAsia="仿宋" w:cs="仿宋"/>
          <w:sz w:val="32"/>
          <w:szCs w:val="32"/>
          <w:shd w:val="clear" w:fill="FFFFFF"/>
          <w:lang w:val="en-US" w:eastAsia="zh-CN"/>
        </w:rPr>
        <w:t xml:space="preserve"> </w:t>
      </w:r>
      <w:r>
        <w:rPr>
          <w:rFonts w:hint="eastAsia" w:ascii="仿宋" w:hAnsi="仿宋" w:eastAsia="仿宋" w:cs="仿宋"/>
          <w:sz w:val="32"/>
          <w:szCs w:val="32"/>
          <w:shd w:val="clear" w:fill="FFFFFF"/>
          <w:lang w:val="en-US" w:eastAsia="zh-CN"/>
        </w:rPr>
        <w:t xml:space="preserve">  无</w:t>
      </w:r>
    </w:p>
    <w:p>
      <w:pPr>
        <w:pStyle w:val="7"/>
        <w:keepNext w:val="0"/>
        <w:keepLines w:val="0"/>
        <w:widowControl/>
        <w:suppressLineNumbers w:val="0"/>
        <w:spacing w:before="0" w:beforeAutospacing="0"/>
        <w:ind w:left="0"/>
        <w:jc w:val="left"/>
        <w:rPr>
          <w:rFonts w:hint="eastAsia" w:ascii="仿宋" w:hAnsi="仿宋" w:eastAsia="仿宋" w:cs="仿宋"/>
          <w:sz w:val="32"/>
          <w:szCs w:val="32"/>
          <w:shd w:val="clear" w:fill="FFFFFF"/>
          <w:lang w:val="en-US" w:eastAsia="zh-CN"/>
        </w:rPr>
      </w:pPr>
      <w:r>
        <w:rPr>
          <w:rFonts w:hint="eastAsia" w:ascii="仿宋" w:hAnsi="仿宋" w:eastAsia="仿宋" w:cs="仿宋"/>
          <w:sz w:val="32"/>
          <w:szCs w:val="32"/>
          <w:shd w:val="clear" w:fill="FFFFFF"/>
          <w:lang w:val="en-US" w:eastAsia="zh-CN"/>
        </w:rPr>
        <w:t>（四）对加强部门决算数据分析利用工作的建议。</w:t>
      </w:r>
    </w:p>
    <w:p>
      <w:pPr>
        <w:pStyle w:val="7"/>
        <w:keepNext w:val="0"/>
        <w:keepLines w:val="0"/>
        <w:widowControl/>
        <w:suppressLineNumbers w:val="0"/>
        <w:spacing w:before="0" w:beforeAutospacing="0"/>
        <w:ind w:left="0"/>
        <w:jc w:val="left"/>
        <w:rPr>
          <w:rFonts w:hint="default" w:ascii="仿宋" w:hAnsi="仿宋" w:eastAsia="仿宋" w:cs="仿宋"/>
          <w:sz w:val="32"/>
          <w:szCs w:val="32"/>
          <w:shd w:val="clear" w:fill="FFFFFF"/>
          <w:lang w:val="en-US" w:eastAsia="zh-CN"/>
        </w:rPr>
      </w:pPr>
      <w:r>
        <w:rPr>
          <w:rFonts w:hint="eastAsia" w:ascii="仿宋" w:hAnsi="仿宋" w:eastAsia="仿宋" w:cs="仿宋"/>
          <w:sz w:val="32"/>
          <w:szCs w:val="32"/>
          <w:shd w:val="clear" w:fill="FFFFFF"/>
          <w:lang w:val="en-US" w:eastAsia="zh-CN"/>
        </w:rPr>
        <w:t xml:space="preserve">   无</w:t>
      </w:r>
    </w:p>
    <w:p>
      <w:pPr>
        <w:pStyle w:val="7"/>
        <w:keepNext w:val="0"/>
        <w:keepLines w:val="0"/>
        <w:widowControl/>
        <w:suppressLineNumbers w:val="0"/>
        <w:spacing w:before="0" w:beforeAutospacing="0"/>
        <w:ind w:left="0"/>
        <w:jc w:val="left"/>
        <w:rPr>
          <w:rFonts w:hint="eastAsia" w:ascii="仿宋" w:hAnsi="仿宋" w:eastAsia="仿宋" w:cs="仿宋"/>
          <w:sz w:val="32"/>
          <w:szCs w:val="32"/>
          <w:shd w:val="clear" w:fill="FFFFFF"/>
        </w:rPr>
      </w:pPr>
      <w:r>
        <w:rPr>
          <w:rFonts w:hint="eastAsia" w:ascii="仿宋" w:hAnsi="仿宋" w:eastAsia="仿宋" w:cs="仿宋"/>
          <w:sz w:val="32"/>
          <w:szCs w:val="32"/>
          <w:shd w:val="clear" w:fill="FFFFFF"/>
        </w:rPr>
        <w:t>注：收入支出预算执行情况分析可参考部门决算分析评价表（见软件查询模板）及行政事业单位财务分析指标（附后）。</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br w:type="textWrapping"/>
      </w:r>
      <w:r>
        <w:rPr>
          <w:rFonts w:hint="eastAsia" w:ascii="仿宋" w:hAnsi="仿宋" w:eastAsia="仿宋" w:cs="仿宋"/>
          <w:sz w:val="32"/>
          <w:szCs w:val="32"/>
          <w:shd w:val="clear" w:fill="FFFFFF"/>
        </w:rPr>
        <w:t>附：</w:t>
      </w:r>
    </w:p>
    <w:p>
      <w:pPr>
        <w:pStyle w:val="7"/>
        <w:keepNext w:val="0"/>
        <w:keepLines w:val="0"/>
        <w:widowControl/>
        <w:suppressLineNumbers w:val="0"/>
        <w:spacing w:before="0" w:beforeAutospacing="0"/>
        <w:ind w:left="0"/>
        <w:jc w:val="center"/>
        <w:rPr>
          <w:rFonts w:hint="eastAsia" w:ascii="仿宋" w:hAnsi="仿宋" w:eastAsia="仿宋" w:cs="仿宋"/>
          <w:sz w:val="32"/>
          <w:szCs w:val="32"/>
        </w:rPr>
      </w:pPr>
      <w:r>
        <w:rPr>
          <w:rFonts w:hint="eastAsia" w:ascii="仿宋" w:hAnsi="仿宋" w:eastAsia="仿宋" w:cs="仿宋"/>
          <w:sz w:val="32"/>
          <w:szCs w:val="32"/>
          <w:shd w:val="clear" w:fill="FFFFFF"/>
        </w:rPr>
        <w:t> </w:t>
      </w:r>
    </w:p>
    <w:p>
      <w:pPr>
        <w:pStyle w:val="7"/>
        <w:keepNext w:val="0"/>
        <w:keepLines w:val="0"/>
        <w:widowControl/>
        <w:suppressLineNumbers w:val="0"/>
        <w:spacing w:before="0" w:beforeAutospacing="0"/>
        <w:ind w:left="0"/>
        <w:jc w:val="center"/>
        <w:rPr>
          <w:rFonts w:hint="eastAsia" w:ascii="仿宋" w:hAnsi="仿宋" w:eastAsia="仿宋" w:cs="仿宋"/>
          <w:sz w:val="32"/>
          <w:szCs w:val="32"/>
        </w:rPr>
      </w:pPr>
      <w:r>
        <w:rPr>
          <w:rFonts w:hint="eastAsia" w:ascii="仿宋" w:hAnsi="仿宋" w:eastAsia="仿宋" w:cs="仿宋"/>
          <w:sz w:val="32"/>
          <w:szCs w:val="32"/>
          <w:shd w:val="clear" w:fill="FFFFFF"/>
        </w:rPr>
        <w:t>行政事业单位财务分析指标</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 </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一、行政单位财务分析指标</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1.支出增长率，衡量行政单位支出的增长水平。计算公式为：</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支出增长率＝(本期支出总额÷上期支出总额-1)×100%=-63.37%</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2.当年预算支出完成率，衡量行政单位当年支出总预算及分项预算完成的程度。计算公式为：</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当年预算支出完成率＝年终执行数÷调整预算数×100%=100.00%</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3.人均开支，衡量行政单位人均年消耗经费水平。计算公式为：</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人均开支＝本期支出数÷本期平均在职人员数=14.75</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4.项目支出占总支出的比率，衡量行政单位的支出结构。计算公式为：</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项目支出比率=本期项目支出数÷本期支出总数×100%=41.73%</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5.人员支出、公用支出占总支出的比率，衡量行政单位的支出结构。计算公式为：</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人员支出比率=本期人员支出数÷本期支出总数×100%=55.56%</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公用支出比率=本期公用支出数÷本期支出总数×100%=2.71%</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6.人均办公使用面积，衡量行政单位办公用房配备情况。计算公式为：</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人均办公使用面积=本期末单位办公用房使用面积÷本期末在职人员数=0.00</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7.人车比例，衡量行政单位公务用车配备情况。计算公式为：</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人车比例=本期末在职人员数÷本期末公务用车实有数=0.00</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 </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二、事业单位财务分析指标</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1.预算收入和支出完成率，衡量事业单位收入和支出总预算及分项预算完成的程度。计算公式为：</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预算收入完成率＝年终执行数÷调整预算数×100%=100.00%</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预算支出完成率＝年终执行数÷调整预算数×100%=100.00%</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2.人员支出、公用支出占事业支出的比率，衡量事业单位事业支出结构。计算公式为：</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人员支出比率＝人员支出÷事业支出×100%=55.56%</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公用支出比率＝公用支出÷事业支出×100%=2.71%</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3.人均基本支出，衡量事业单位按照实际在编人数平均的基本支出水平。计算公式为：</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人均基本支出＝（基本支出-离退休人员支出）÷实际在编人数=140,597.19</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 </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此外，行业事业单位还可根据相关财务制度规定和分析需要增加相关分析指标，如：</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1.财政拨款依存度, 衡量部门（单位）对财政拨款的依赖程度。</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财政拨款依存度＝财政拨款收入÷收入总额×100%=100.00%</w:t>
      </w:r>
    </w:p>
    <w:p>
      <w:pPr>
        <w:pStyle w:val="7"/>
        <w:keepNext w:val="0"/>
        <w:keepLines w:val="0"/>
        <w:widowControl/>
        <w:suppressLineNumbers w:val="0"/>
        <w:spacing w:before="0" w:beforeAutospacing="0"/>
        <w:ind w:left="0"/>
        <w:jc w:val="left"/>
        <w:rPr>
          <w:rFonts w:hint="eastAsia" w:ascii="仿宋" w:hAnsi="仿宋" w:eastAsia="仿宋" w:cs="仿宋"/>
          <w:sz w:val="32"/>
          <w:szCs w:val="32"/>
        </w:rPr>
      </w:pPr>
      <w:r>
        <w:rPr>
          <w:rFonts w:hint="eastAsia" w:ascii="仿宋" w:hAnsi="仿宋" w:eastAsia="仿宋" w:cs="仿宋"/>
          <w:sz w:val="32"/>
          <w:szCs w:val="32"/>
          <w:shd w:val="clear" w:fill="FFFFFF"/>
        </w:rPr>
        <w:t> </w:t>
      </w:r>
    </w:p>
    <w:p>
      <w:bookmarkStart w:id="14" w:name="_GoBack"/>
      <w:bookmarkEnd w:id="14"/>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134"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PAGE   \* MERGEFORMAT </w:instrText>
    </w:r>
    <w:r>
      <w:rPr>
        <w:rFonts w:ascii="Arial" w:hAnsi="Arial" w:cs="Arial"/>
        <w:sz w:val="24"/>
        <w:szCs w:val="24"/>
      </w:rPr>
      <w:fldChar w:fldCharType="separate"/>
    </w:r>
    <w:r>
      <w:rPr>
        <w:rFonts w:ascii="Arial" w:hAnsi="Arial" w:cs="Arial"/>
        <w:sz w:val="24"/>
        <w:szCs w:val="24"/>
        <w:lang w:val="zh-CN"/>
      </w:rPr>
      <w:t>1</w:t>
    </w:r>
    <w:r>
      <w:rPr>
        <w:rFonts w:ascii="Arial" w:hAnsi="Arial" w:cs="Arial"/>
        <w:sz w:val="24"/>
        <w:szCs w:val="24"/>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1">
    <w:nsid w:val="72DB49AB"/>
    <w:multiLevelType w:val="singleLevel"/>
    <w:tmpl w:val="72DB49AB"/>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431DC"/>
    <w:rsid w:val="0171694A"/>
    <w:rsid w:val="02CA4711"/>
    <w:rsid w:val="031E02CE"/>
    <w:rsid w:val="04006A25"/>
    <w:rsid w:val="04AF4569"/>
    <w:rsid w:val="04C24C0B"/>
    <w:rsid w:val="050664AF"/>
    <w:rsid w:val="056C14AF"/>
    <w:rsid w:val="085A4596"/>
    <w:rsid w:val="09DF03C8"/>
    <w:rsid w:val="0BC45DC7"/>
    <w:rsid w:val="10112A8E"/>
    <w:rsid w:val="11C420A1"/>
    <w:rsid w:val="13377D80"/>
    <w:rsid w:val="14EC18ED"/>
    <w:rsid w:val="17342FD4"/>
    <w:rsid w:val="1A0C7FB6"/>
    <w:rsid w:val="1C1674CF"/>
    <w:rsid w:val="21A43CA0"/>
    <w:rsid w:val="2244335A"/>
    <w:rsid w:val="22897776"/>
    <w:rsid w:val="22D076CB"/>
    <w:rsid w:val="230123E7"/>
    <w:rsid w:val="24494A47"/>
    <w:rsid w:val="256F46E6"/>
    <w:rsid w:val="28FD1F37"/>
    <w:rsid w:val="2B6A5D99"/>
    <w:rsid w:val="2CC76057"/>
    <w:rsid w:val="300A3308"/>
    <w:rsid w:val="32846D59"/>
    <w:rsid w:val="36845A03"/>
    <w:rsid w:val="385371D5"/>
    <w:rsid w:val="389D759F"/>
    <w:rsid w:val="39BD14F6"/>
    <w:rsid w:val="3ABD6305"/>
    <w:rsid w:val="3B7002FF"/>
    <w:rsid w:val="3C936382"/>
    <w:rsid w:val="3E8A4B0D"/>
    <w:rsid w:val="426443D9"/>
    <w:rsid w:val="426F7E41"/>
    <w:rsid w:val="427F6979"/>
    <w:rsid w:val="42AD1AD3"/>
    <w:rsid w:val="480C71D8"/>
    <w:rsid w:val="4F1D1D37"/>
    <w:rsid w:val="504538E6"/>
    <w:rsid w:val="563F5487"/>
    <w:rsid w:val="58736C8D"/>
    <w:rsid w:val="5D89771E"/>
    <w:rsid w:val="5DED2009"/>
    <w:rsid w:val="5E662080"/>
    <w:rsid w:val="5ED9538F"/>
    <w:rsid w:val="613005B0"/>
    <w:rsid w:val="63C66251"/>
    <w:rsid w:val="65123CF5"/>
    <w:rsid w:val="65503B5C"/>
    <w:rsid w:val="6619654E"/>
    <w:rsid w:val="685E0801"/>
    <w:rsid w:val="6C0526AC"/>
    <w:rsid w:val="6DC52D56"/>
    <w:rsid w:val="6F683F30"/>
    <w:rsid w:val="708235FC"/>
    <w:rsid w:val="75C95270"/>
    <w:rsid w:val="76C95F5E"/>
    <w:rsid w:val="76E3548B"/>
    <w:rsid w:val="7B5E3281"/>
    <w:rsid w:val="7C6826AA"/>
    <w:rsid w:val="7D847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4"/>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table of figures"/>
    <w:basedOn w:val="1"/>
    <w:next w:val="1"/>
    <w:qFormat/>
    <w:uiPriority w:val="99"/>
    <w:pPr>
      <w:ind w:left="200" w:leftChars="200" w:hanging="200" w:hangingChars="200"/>
    </w:pPr>
    <w:rPr>
      <w:rFonts w:eastAsia="仿宋"/>
      <w:sz w:val="32"/>
    </w:rPr>
  </w:style>
  <w:style w:type="paragraph" w:styleId="3">
    <w:name w:val="Body Text Indent"/>
    <w:basedOn w:val="1"/>
    <w:qFormat/>
    <w:uiPriority w:val="0"/>
    <w:pPr>
      <w:spacing w:line="500" w:lineRule="exact"/>
      <w:ind w:firstLine="720" w:firstLineChars="240"/>
    </w:pPr>
    <w:rPr>
      <w:rFonts w:ascii="仿宋_GB2312"/>
      <w:b/>
      <w:sz w:val="30"/>
      <w:szCs w:val="24"/>
    </w:rPr>
  </w:style>
  <w:style w:type="paragraph" w:styleId="4">
    <w:name w:val="Plain Text"/>
    <w:basedOn w:val="1"/>
    <w:qFormat/>
    <w:uiPriority w:val="0"/>
    <w:rPr>
      <w:rFonts w:ascii="宋体" w:hAnsi="Courier New"/>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2"/>
    <w:basedOn w:val="3"/>
    <w:unhideWhenUsed/>
    <w:qFormat/>
    <w:uiPriority w:val="99"/>
    <w:pPr>
      <w:keepNext w:val="0"/>
      <w:keepLines w:val="0"/>
      <w:widowControl w:val="0"/>
      <w:suppressLineNumbers w:val="0"/>
      <w:spacing w:before="0" w:beforeAutospacing="0" w:after="120" w:afterAutospacing="0"/>
      <w:ind w:left="420" w:leftChars="200" w:right="0" w:firstLine="420" w:firstLineChars="200"/>
      <w:jc w:val="both"/>
    </w:pPr>
    <w:rPr>
      <w:rFonts w:hint="eastAsia" w:ascii="Times New Roman" w:hAnsi="Times New Roman" w:eastAsia="宋体" w:cs="Times New Roman"/>
      <w:kern w:val="2"/>
      <w:sz w:val="21"/>
      <w:szCs w:val="24"/>
      <w:lang w:val="en-US" w:eastAsia="zh-CN" w:bidi="ar-SA"/>
    </w:rPr>
  </w:style>
  <w:style w:type="table" w:styleId="10">
    <w:name w:val="Table Grid"/>
    <w:basedOn w:val="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2">
    <w:name w:val="Strong"/>
    <w:basedOn w:val="11"/>
    <w:qFormat/>
    <w:uiPriority w:val="0"/>
    <w:rPr>
      <w:b/>
    </w:rPr>
  </w:style>
  <w:style w:type="character" w:styleId="13">
    <w:name w:val="Hyperlink"/>
    <w:qFormat/>
    <w:uiPriority w:val="0"/>
    <w:rPr>
      <w:color w:val="0000FF"/>
      <w:u w:val="single"/>
    </w:rPr>
  </w:style>
  <w:style w:type="character" w:customStyle="1" w:styleId="14">
    <w:name w:val="NormalCharacter"/>
    <w:link w:val="1"/>
    <w:semiHidden/>
    <w:qFormat/>
    <w:uiPriority w:val="0"/>
    <w:rPr>
      <w:rFonts w:ascii="Times New Roman" w:hAnsi="Times New Roman" w:eastAsia="宋体" w:cs="Times New Roman"/>
      <w:kern w:val="2"/>
      <w:sz w:val="21"/>
      <w:szCs w:val="24"/>
      <w:lang w:val="en-US" w:eastAsia="zh-CN" w:bidi="ar-SA"/>
    </w:rPr>
  </w:style>
  <w:style w:type="paragraph" w:styleId="15">
    <w:name w:val="List Paragraph"/>
    <w:basedOn w:val="1"/>
    <w:qFormat/>
    <w:uiPriority w:val="0"/>
    <w:pPr>
      <w:ind w:firstLine="200" w:firstLineChars="200"/>
    </w:pPr>
  </w:style>
  <w:style w:type="paragraph" w:customStyle="1" w:styleId="16">
    <w:name w:val="正文1"/>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lenovo\Desktop\2022&#21327;&#31649;&#20154;&#21592;&#24037;&#36164;\2023&#24180;\9&#26376;.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enovo\Desktop\2022&#21327;&#31649;&#20154;&#21592;&#24037;&#36164;\2023&#24180;\9&#26376;.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Desktop\&#26032;&#24314;%20XLSX%20&#24037;&#20316;&#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lenovo\Desktop\2022&#21327;&#31649;&#20154;&#21592;&#24037;&#36164;\2023&#24180;\9&#26376;.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lenovo\Desktop\2022&#21327;&#31649;&#20154;&#21592;&#24037;&#36164;\2023&#24180;\9&#26376;.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2022&#21327;&#31649;&#20154;&#21592;&#24037;&#36164;\2023&#24180;\9&#263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预算收入支出对比</a:t>
            </a:r>
          </a:p>
        </c:rich>
      </c:tx>
      <c:layout/>
      <c:overlay val="0"/>
      <c:spPr>
        <a:noFill/>
        <a:ln>
          <a:noFill/>
        </a:ln>
        <a:effectLst/>
      </c:spPr>
    </c:title>
    <c:autoTitleDeleted val="0"/>
    <c:plotArea>
      <c:layout/>
      <c:barChart>
        <c:barDir val="col"/>
        <c:grouping val="clustered"/>
        <c:varyColors val="0"/>
        <c:ser>
          <c:idx val="0"/>
          <c:order val="0"/>
          <c:tx>
            <c:strRef>
              <c:f>[9月.xlsx]Sheet2!$E$8</c:f>
              <c:strCache>
                <c:ptCount val="1"/>
                <c:pt idx="0">
                  <c:v>收入年初预算数</c:v>
                </c:pt>
              </c:strCache>
            </c:strRef>
          </c:tx>
          <c:spPr>
            <a:solidFill>
              <a:srgbClr val="4F81BD"/>
            </a:solidFill>
            <a:ln>
              <a:noFill/>
            </a:ln>
            <a:effectLst/>
          </c:spPr>
          <c:invertIfNegative val="0"/>
          <c:dLbls>
            <c:delete val="1"/>
          </c:dLbls>
          <c:cat>
            <c:strRef>
              <c:f>[9月.xlsx]Sheet2!$F$7:$G$7</c:f>
              <c:strCache>
                <c:ptCount val="2"/>
                <c:pt idx="0">
                  <c:v>2020年</c:v>
                </c:pt>
                <c:pt idx="1">
                  <c:v>2021年</c:v>
                </c:pt>
              </c:strCache>
            </c:strRef>
          </c:cat>
          <c:val>
            <c:numRef>
              <c:f>[9月.xlsx]Sheet2!$F$8:$G$8</c:f>
              <c:numCache>
                <c:formatCode>General</c:formatCode>
                <c:ptCount val="2"/>
                <c:pt idx="0">
                  <c:v>339.53</c:v>
                </c:pt>
                <c:pt idx="1">
                  <c:v>351.51</c:v>
                </c:pt>
              </c:numCache>
            </c:numRef>
          </c:val>
        </c:ser>
        <c:ser>
          <c:idx val="1"/>
          <c:order val="1"/>
          <c:tx>
            <c:strRef>
              <c:f>[9月.xlsx]Sheet2!$E$9</c:f>
              <c:strCache>
                <c:ptCount val="1"/>
                <c:pt idx="0">
                  <c:v>支出年初预算数</c:v>
                </c:pt>
              </c:strCache>
            </c:strRef>
          </c:tx>
          <c:spPr>
            <a:solidFill>
              <a:srgbClr val="C0504D"/>
            </a:solidFill>
            <a:ln>
              <a:noFill/>
            </a:ln>
            <a:effectLst/>
          </c:spPr>
          <c:invertIfNegative val="0"/>
          <c:dLbls>
            <c:delete val="1"/>
          </c:dLbls>
          <c:cat>
            <c:strRef>
              <c:f>[9月.xlsx]Sheet2!$F$7:$G$7</c:f>
              <c:strCache>
                <c:ptCount val="2"/>
                <c:pt idx="0">
                  <c:v>2020年</c:v>
                </c:pt>
                <c:pt idx="1">
                  <c:v>2021年</c:v>
                </c:pt>
              </c:strCache>
            </c:strRef>
          </c:cat>
          <c:val>
            <c:numRef>
              <c:f>[9月.xlsx]Sheet2!$F$9:$G$9</c:f>
              <c:numCache>
                <c:formatCode>General</c:formatCode>
                <c:ptCount val="2"/>
                <c:pt idx="0">
                  <c:v>339.53</c:v>
                </c:pt>
                <c:pt idx="1">
                  <c:v>351.51</c:v>
                </c:pt>
              </c:numCache>
            </c:numRef>
          </c:val>
        </c:ser>
        <c:dLbls>
          <c:showLegendKey val="0"/>
          <c:showVal val="0"/>
          <c:showCatName val="0"/>
          <c:showSerName val="0"/>
          <c:showPercent val="0"/>
          <c:showBubbleSize val="0"/>
        </c:dLbls>
        <c:gapWidth val="219"/>
        <c:overlap val="-27"/>
        <c:axId val="282799909"/>
        <c:axId val="793807844"/>
      </c:barChart>
      <c:catAx>
        <c:axId val="282799909"/>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793807844"/>
        <c:crosses val="autoZero"/>
        <c:auto val="1"/>
        <c:lblAlgn val="ctr"/>
        <c:lblOffset val="100"/>
        <c:noMultiLvlLbl val="0"/>
      </c:catAx>
      <c:valAx>
        <c:axId val="793807844"/>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8279990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本年收入支出数（万元）</a:t>
            </a:r>
          </a:p>
        </c:rich>
      </c:tx>
      <c:layout/>
      <c:overlay val="0"/>
      <c:spPr>
        <a:noFill/>
        <a:ln>
          <a:noFill/>
        </a:ln>
        <a:effectLst/>
      </c:spPr>
    </c:title>
    <c:autoTitleDeleted val="0"/>
    <c:plotArea>
      <c:layout/>
      <c:barChart>
        <c:barDir val="col"/>
        <c:grouping val="clustered"/>
        <c:varyColors val="0"/>
        <c:ser>
          <c:idx val="0"/>
          <c:order val="0"/>
          <c:spPr>
            <a:solidFill>
              <a:srgbClr val="4F81BD"/>
            </a:solidFill>
            <a:ln>
              <a:noFill/>
            </a:ln>
            <a:effectLst/>
          </c:spPr>
          <c:invertIfNegative val="0"/>
          <c:dLbls>
            <c:delete val="1"/>
          </c:dLbls>
          <c:cat>
            <c:strRef>
              <c:f>[9月.xlsx]Sheet2!$E$14:$E$15</c:f>
              <c:strCache>
                <c:ptCount val="2"/>
                <c:pt idx="0">
                  <c:v>收入</c:v>
                </c:pt>
                <c:pt idx="1">
                  <c:v>支出</c:v>
                </c:pt>
              </c:strCache>
            </c:strRef>
          </c:cat>
          <c:val>
            <c:numRef>
              <c:f>[9月.xlsx]Sheet2!$F$14:$F$15</c:f>
              <c:numCache>
                <c:formatCode>General</c:formatCode>
                <c:ptCount val="2"/>
                <c:pt idx="0">
                  <c:v>708.58</c:v>
                </c:pt>
                <c:pt idx="1">
                  <c:v>708.58</c:v>
                </c:pt>
              </c:numCache>
            </c:numRef>
          </c:val>
        </c:ser>
        <c:dLbls>
          <c:showLegendKey val="0"/>
          <c:showVal val="0"/>
          <c:showCatName val="0"/>
          <c:showSerName val="0"/>
          <c:showPercent val="0"/>
          <c:showBubbleSize val="0"/>
        </c:dLbls>
        <c:gapWidth val="219"/>
        <c:overlap val="-27"/>
        <c:axId val="142944277"/>
        <c:axId val="703682454"/>
      </c:barChart>
      <c:catAx>
        <c:axId val="142944277"/>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703682454"/>
        <c:crosses val="autoZero"/>
        <c:auto val="1"/>
        <c:lblAlgn val="ctr"/>
        <c:lblOffset val="100"/>
        <c:noMultiLvlLbl val="0"/>
      </c:catAx>
      <c:valAx>
        <c:axId val="703682454"/>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42944277"/>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2021年收入支出与预算对比分析图</a:t>
            </a:r>
          </a:p>
        </c:rich>
      </c:tx>
      <c:layout/>
      <c:overlay val="0"/>
      <c:spPr>
        <a:noFill/>
        <a:ln>
          <a:noFill/>
        </a:ln>
        <a:effectLst/>
      </c:spPr>
    </c:title>
    <c:autoTitleDeleted val="0"/>
    <c:plotArea>
      <c:layout/>
      <c:barChart>
        <c:barDir val="col"/>
        <c:grouping val="clustered"/>
        <c:varyColors val="0"/>
        <c:ser>
          <c:idx val="0"/>
          <c:order val="0"/>
          <c:tx>
            <c:strRef>
              <c:f>'[新建 XLSX 工作表.xlsx]Sheet1'!$B$19</c:f>
              <c:strCache>
                <c:ptCount val="1"/>
                <c:pt idx="0">
                  <c:v>预算数</c:v>
                </c:pt>
              </c:strCache>
            </c:strRef>
          </c:tx>
          <c:spPr>
            <a:solidFill>
              <a:srgbClr val="4F81BD"/>
            </a:solidFill>
            <a:ln>
              <a:noFill/>
            </a:ln>
            <a:effectLst/>
          </c:spPr>
          <c:invertIfNegative val="0"/>
          <c:dLbls>
            <c:delete val="1"/>
          </c:dLbls>
          <c:cat>
            <c:strRef>
              <c:f>'[新建 XLSX 工作表.xlsx]Sheet1'!$A$20:$A$24</c:f>
              <c:strCache>
                <c:ptCount val="5"/>
                <c:pt idx="0">
                  <c:v>总收入</c:v>
                </c:pt>
                <c:pt idx="1">
                  <c:v>一般公共预算拨款</c:v>
                </c:pt>
                <c:pt idx="2">
                  <c:v>总支出</c:v>
                </c:pt>
                <c:pt idx="3">
                  <c:v>基本支出</c:v>
                </c:pt>
                <c:pt idx="4">
                  <c:v>项目支出</c:v>
                </c:pt>
              </c:strCache>
            </c:strRef>
          </c:cat>
          <c:val>
            <c:numRef>
              <c:f>'[新建 XLSX 工作表.xlsx]Sheet1'!$B$20:$B$24</c:f>
              <c:numCache>
                <c:formatCode>General</c:formatCode>
                <c:ptCount val="5"/>
                <c:pt idx="0">
                  <c:v>351.51</c:v>
                </c:pt>
                <c:pt idx="1">
                  <c:v>351.51</c:v>
                </c:pt>
                <c:pt idx="2">
                  <c:v>351.51</c:v>
                </c:pt>
                <c:pt idx="3">
                  <c:v>351.51</c:v>
                </c:pt>
                <c:pt idx="4">
                  <c:v>0</c:v>
                </c:pt>
              </c:numCache>
            </c:numRef>
          </c:val>
        </c:ser>
        <c:ser>
          <c:idx val="1"/>
          <c:order val="1"/>
          <c:tx>
            <c:strRef>
              <c:f>'[新建 XLSX 工作表.xlsx]Sheet1'!$C$19</c:f>
              <c:strCache>
                <c:ptCount val="1"/>
                <c:pt idx="0">
                  <c:v>决算数</c:v>
                </c:pt>
              </c:strCache>
            </c:strRef>
          </c:tx>
          <c:spPr>
            <a:solidFill>
              <a:srgbClr val="C0504D"/>
            </a:solidFill>
            <a:ln>
              <a:noFill/>
            </a:ln>
            <a:effectLst/>
          </c:spPr>
          <c:invertIfNegative val="0"/>
          <c:dLbls>
            <c:delete val="1"/>
          </c:dLbls>
          <c:cat>
            <c:strRef>
              <c:f>'[新建 XLSX 工作表.xlsx]Sheet1'!$A$20:$A$24</c:f>
              <c:strCache>
                <c:ptCount val="5"/>
                <c:pt idx="0">
                  <c:v>总收入</c:v>
                </c:pt>
                <c:pt idx="1">
                  <c:v>一般公共预算拨款</c:v>
                </c:pt>
                <c:pt idx="2">
                  <c:v>总支出</c:v>
                </c:pt>
                <c:pt idx="3">
                  <c:v>基本支出</c:v>
                </c:pt>
                <c:pt idx="4">
                  <c:v>项目支出</c:v>
                </c:pt>
              </c:strCache>
            </c:strRef>
          </c:cat>
          <c:val>
            <c:numRef>
              <c:f>'[新建 XLSX 工作表.xlsx]Sheet1'!$C$20:$C$24</c:f>
              <c:numCache>
                <c:formatCode>General</c:formatCode>
                <c:ptCount val="5"/>
                <c:pt idx="0">
                  <c:v>708.58</c:v>
                </c:pt>
                <c:pt idx="1">
                  <c:v>708.58</c:v>
                </c:pt>
                <c:pt idx="2">
                  <c:v>708.58</c:v>
                </c:pt>
                <c:pt idx="3">
                  <c:v>412.87</c:v>
                </c:pt>
                <c:pt idx="4">
                  <c:v>295.7</c:v>
                </c:pt>
              </c:numCache>
            </c:numRef>
          </c:val>
        </c:ser>
        <c:dLbls>
          <c:showLegendKey val="0"/>
          <c:showVal val="0"/>
          <c:showCatName val="0"/>
          <c:showSerName val="0"/>
          <c:showPercent val="0"/>
          <c:showBubbleSize val="0"/>
        </c:dLbls>
        <c:gapWidth val="219"/>
        <c:overlap val="-27"/>
        <c:axId val="326095104"/>
        <c:axId val="617641841"/>
      </c:barChart>
      <c:catAx>
        <c:axId val="326095104"/>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617641841"/>
        <c:crosses val="autoZero"/>
        <c:auto val="1"/>
        <c:lblAlgn val="ctr"/>
        <c:lblOffset val="100"/>
        <c:noMultiLvlLbl val="0"/>
      </c:catAx>
      <c:valAx>
        <c:axId val="617641841"/>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260951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[9月.xlsx]Sheet2!$L$17</c:f>
              <c:strCache>
                <c:ptCount val="1"/>
                <c:pt idx="0">
                  <c:v>收入占比图</c:v>
                </c:pt>
              </c:strCache>
            </c:strRef>
          </c:tx>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Pt>
            <c:idx val="5"/>
            <c:bubble3D val="0"/>
            <c:spPr>
              <a:solidFill>
                <a:srgbClr val="F79646"/>
              </a:solidFill>
              <a:ln w="19050">
                <a:solidFill>
                  <a:srgbClr val="FFFFFF"/>
                </a:solidFill>
              </a:ln>
              <a:effectLst/>
            </c:spPr>
          </c:dPt>
          <c:dPt>
            <c:idx val="6"/>
            <c:bubble3D val="0"/>
            <c:spPr>
              <a:solidFill>
                <a:srgbClr val="2C4D75">
                  <a:lumMod val="60000"/>
                </a:srgbClr>
              </a:solidFill>
              <a:ln w="19050">
                <a:solidFill>
                  <a:srgbClr val="FFFFFF"/>
                </a:solidFill>
              </a:ln>
              <a:effectLst/>
            </c:spPr>
          </c:dPt>
          <c:dPt>
            <c:idx val="7"/>
            <c:bubble3D val="0"/>
            <c:spPr>
              <a:solidFill>
                <a:srgbClr val="772C2A">
                  <a:lumMod val="60000"/>
                </a:srgbClr>
              </a:solidFill>
              <a:ln w="19050">
                <a:solidFill>
                  <a:srgbClr val="FFFFFF"/>
                </a:solidFill>
              </a:ln>
              <a:effectLst/>
            </c:spPr>
          </c:dPt>
          <c:dLbls>
            <c:delete val="1"/>
          </c:dLbls>
          <c:cat>
            <c:strRef>
              <c:f>[9月.xlsx]Sheet2!$K$18:$K$25</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[9月.xlsx]Sheet2!$L$18:$L$25</c:f>
              <c:numCache>
                <c:formatCode>0%</c:formatCode>
                <c:ptCount val="8"/>
                <c:pt idx="0">
                  <c:v>1</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[9月.xlsx]Sheet2!$L$17</c:f>
              <c:strCache>
                <c:ptCount val="1"/>
                <c:pt idx="0">
                  <c:v>支出占比图</c:v>
                </c:pt>
              </c:strCache>
            </c:strRef>
          </c:tx>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Lbls>
            <c:delete val="1"/>
          </c:dLbls>
          <c:cat>
            <c:strRef>
              <c:f>[9月.xlsx]Sheet2!$K$18:$K$21</c:f>
              <c:strCache>
                <c:ptCount val="4"/>
                <c:pt idx="0">
                  <c:v>社会保障和就业支出为</c:v>
                </c:pt>
                <c:pt idx="1">
                  <c:v>卫生健康支出</c:v>
                </c:pt>
                <c:pt idx="2">
                  <c:v>城乡社区支出</c:v>
                </c:pt>
                <c:pt idx="3">
                  <c:v>住房保障支出</c:v>
                </c:pt>
              </c:strCache>
            </c:strRef>
          </c:cat>
          <c:val>
            <c:numRef>
              <c:f>[9月.xlsx]Sheet2!$L$18:$L$21</c:f>
              <c:numCache>
                <c:formatCode>0.00%</c:formatCode>
                <c:ptCount val="4"/>
                <c:pt idx="0">
                  <c:v>0.0721</c:v>
                </c:pt>
                <c:pt idx="1">
                  <c:v>0.0287</c:v>
                </c:pt>
                <c:pt idx="2">
                  <c:v>0.8532</c:v>
                </c:pt>
                <c:pt idx="3">
                  <c:v>0.0461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barChart>
        <c:barDir val="col"/>
        <c:grouping val="clustered"/>
        <c:varyColors val="0"/>
        <c:ser>
          <c:idx val="0"/>
          <c:order val="0"/>
          <c:tx>
            <c:strRef>
              <c:f>[9月.xlsx]Sheet2!$R$27</c:f>
              <c:strCache>
                <c:ptCount val="1"/>
                <c:pt idx="0">
                  <c:v>总收入（万元）</c:v>
                </c:pt>
              </c:strCache>
            </c:strRef>
          </c:tx>
          <c:spPr>
            <a:solidFill>
              <a:srgbClr val="4F81BD"/>
            </a:solidFill>
            <a:ln>
              <a:noFill/>
            </a:ln>
            <a:effectLst/>
          </c:spPr>
          <c:invertIfNegative val="0"/>
          <c:dLbls>
            <c:delete val="1"/>
          </c:dLbls>
          <c:cat>
            <c:numRef>
              <c:f>[9月.xlsx]Sheet2!$S$26:$T$26</c:f>
              <c:numCache>
                <c:formatCode>General</c:formatCode>
                <c:ptCount val="2"/>
                <c:pt idx="0">
                  <c:v>2021</c:v>
                </c:pt>
                <c:pt idx="1">
                  <c:v>2020</c:v>
                </c:pt>
              </c:numCache>
            </c:numRef>
          </c:cat>
          <c:val>
            <c:numRef>
              <c:f>[9月.xlsx]Sheet2!$S$27:$T$27</c:f>
              <c:numCache>
                <c:formatCode>General</c:formatCode>
                <c:ptCount val="2"/>
                <c:pt idx="0">
                  <c:v>708.58</c:v>
                </c:pt>
                <c:pt idx="1">
                  <c:v>729.36</c:v>
                </c:pt>
              </c:numCache>
            </c:numRef>
          </c:val>
        </c:ser>
        <c:dLbls>
          <c:showLegendKey val="0"/>
          <c:showVal val="0"/>
          <c:showCatName val="0"/>
          <c:showSerName val="0"/>
          <c:showPercent val="0"/>
          <c:showBubbleSize val="0"/>
        </c:dLbls>
        <c:gapWidth val="219"/>
        <c:overlap val="-27"/>
        <c:axId val="151275444"/>
        <c:axId val="599955466"/>
      </c:barChart>
      <c:catAx>
        <c:axId val="151275444"/>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99955466"/>
        <c:crosses val="autoZero"/>
        <c:auto val="1"/>
        <c:lblAlgn val="ctr"/>
        <c:lblOffset val="100"/>
        <c:noMultiLvlLbl val="0"/>
      </c:catAx>
      <c:valAx>
        <c:axId val="599955466"/>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51275444"/>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2023-09-22T08:18:35Z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73FF1FE62E9A4067B0B7894CD71C80C2</vt:lpwstr>
  </property>
</Properties>
</file>