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3120" w:firstLineChars="600"/>
        <w:textAlignment w:val="auto"/>
        <w:outlineLvl w:val="9"/>
        <w:rPr>
          <w:rFonts w:hint="default" w:ascii="Times New Roman" w:hAnsi="Times New Roman" w:eastAsia="黑体" w:cs="Times New Roman"/>
          <w:sz w:val="52"/>
          <w:szCs w:val="52"/>
        </w:rPr>
      </w:pPr>
      <w:r>
        <w:rPr>
          <w:rFonts w:hint="default" w:ascii="Times New Roman" w:hAnsi="Times New Roman" w:eastAsia="黑体" w:cs="Times New Roman"/>
          <w:sz w:val="52"/>
          <w:szCs w:val="52"/>
        </w:rPr>
        <w:t>目 录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3080" w:firstLineChars="700"/>
        <w:textAlignment w:val="auto"/>
        <w:outlineLvl w:val="9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基本职能及主要工作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（一）部门职能简介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年重点工作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二、部门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概况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三、收支预算情况说明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一）收入预算情况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（二）支出预算情况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四、财政拨款收支预算情况说明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五、一般公共预算当年拨款情况说明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（一）一般公共预算当年拨款规模变化情况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（二）一般公共预算当年拨款结构情况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（三）一般公共预算当年拨款具体使用情况</w:t>
      </w:r>
      <w:r>
        <w:rPr>
          <w:rFonts w:hint="default" w:ascii="Times New Roman" w:hAnsi="Times New Roman" w:cs="Times New Roman"/>
          <w:color w:val="auto"/>
          <w:kern w:val="0"/>
          <w:sz w:val="16"/>
          <w:szCs w:val="16"/>
        </w:rPr>
        <w:br w:type="textWrapping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六、一般公共预算基本支出情况说明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七、“三公”经费财政拨款预算安排情况说明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1.因公出国（境）经费</w:t>
      </w:r>
    </w:p>
    <w:p>
      <w:pPr>
        <w:pStyle w:val="2"/>
        <w:ind w:left="0" w:leftChars="0" w:firstLine="320" w:firstLineChars="100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2.公务用车购置及运行维护费</w:t>
      </w:r>
    </w:p>
    <w:p>
      <w:pPr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3.公务接待费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八、政府性基金预算支出情况说明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黑体" w:cs="Times New Roman"/>
          <w:sz w:val="32"/>
          <w:szCs w:val="32"/>
        </w:rPr>
        <w:t>九、其他重要事项的情况说明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1.机关运行经费支出情况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2.政府采购支出情况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3.国有资产占有使用情况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320" w:firstLineChars="100"/>
        <w:textAlignment w:val="auto"/>
        <w:outlineLvl w:val="9"/>
        <w:rPr>
          <w:rFonts w:hint="eastAsia" w:ascii="Times New Roman" w:hAnsi="Times New Roman" w:eastAsia="宋体" w:cs="Times New Roman"/>
          <w:kern w:val="0"/>
          <w:sz w:val="12"/>
          <w:szCs w:val="1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4、绩效目标设置情况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default" w:ascii="Times New Roman" w:hAnsi="Times New Roman" w:eastAsia="黑体" w:cs="Times New Roman"/>
          <w:sz w:val="32"/>
          <w:szCs w:val="32"/>
        </w:rPr>
        <w:t>十、名称解释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Tw Cen MT Condensed Extra Bold">
    <w:panose1 w:val="020B0803020202020204"/>
    <w:charset w:val="00"/>
    <w:family w:val="auto"/>
    <w:pitch w:val="default"/>
    <w:sig w:usb0="00000003" w:usb1="00000000" w:usb2="00000000" w:usb3="00000000" w:csb0="20000003" w:csb1="00000000"/>
  </w:font>
  <w:font w:name="Stencil">
    <w:panose1 w:val="040409050D0802020404"/>
    <w:charset w:val="00"/>
    <w:family w:val="auto"/>
    <w:pitch w:val="default"/>
    <w:sig w:usb0="00000003" w:usb1="00000000" w:usb2="00000000" w:usb3="00000000" w:csb0="20000001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Tw Cen MT Condensed">
    <w:panose1 w:val="020B0606020104020203"/>
    <w:charset w:val="00"/>
    <w:family w:val="auto"/>
    <w:pitch w:val="default"/>
    <w:sig w:usb0="00000003" w:usb1="00000000" w:usb2="00000000" w:usb3="00000000" w:csb0="20000003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D5176"/>
    <w:rsid w:val="034D5176"/>
    <w:rsid w:val="4EEF07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Calibri" w:asciiTheme="minorHAnsi" w:hAnsiTheme="minorHAnsi" w:eastAsiaTheme="minorEastAsia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uiPriority w:val="0"/>
    <w:pPr>
      <w:ind w:left="200" w:leftChars="200" w:hanging="200" w:hangingChars="200"/>
    </w:pPr>
    <w:rPr>
      <w:szCs w:val="24"/>
    </w:rPr>
  </w:style>
  <w:style w:type="paragraph" w:customStyle="1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Office_11.1.0.11405_F1E327BC-269C-435d-A152-05C5408002CA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2021-05-24T02:13:00Z</dcterms:created>
  <dc:creator>Administrator</dc:creator>
  <cp:lastModifiedBy>lenovo</cp:lastModifiedBy>
  <dcterms:modified xsi:type="dcterms:W3CDTF">2022-03-04T08:03:45Z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2052-11.1.0.11405</vt:lpwstr>
  </property>
  <property fmtid="{D5CDD505-2E9C-101B-9397-08002B2CF9AE}" pid="3" name="ICV">
    <vt:lpwstr>E960F818E3C044608878A2D651D0208E</vt:lpwstr>
  </property>
</Properties>
</file>