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06267"/>
      <w:bookmarkStart w:id="71" w:name="_GoBack"/>
      <w:bookmarkEnd w:id="71"/>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sz w:val="56"/>
          <w:szCs w:val="56"/>
        </w:rPr>
      </w:pPr>
      <w:bookmarkStart w:id="1" w:name="_Toc15377193"/>
      <w:bookmarkStart w:id="2" w:name="_Toc15396597"/>
      <w:bookmarkStart w:id="3" w:name="_Toc15396475"/>
      <w:bookmarkStart w:id="4" w:name="_Toc15378441"/>
      <w:bookmarkStart w:id="5" w:name="_Toc15377425"/>
      <w:r>
        <w:rPr>
          <w:rFonts w:hint="eastAsia" w:ascii="黑体" w:eastAsia="黑体"/>
          <w:sz w:val="56"/>
          <w:szCs w:val="56"/>
        </w:rPr>
        <w:t>2020</w:t>
      </w:r>
      <w:r>
        <w:rPr>
          <w:rFonts w:hint="eastAsia" w:ascii="方正小标宋简体" w:eastAsia="方正小标宋简体"/>
          <w:sz w:val="56"/>
          <w:szCs w:val="56"/>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sz w:val="56"/>
          <w:szCs w:val="56"/>
        </w:rPr>
      </w:pPr>
      <w:bookmarkStart w:id="6" w:name="_Toc15377426"/>
      <w:bookmarkStart w:id="7" w:name="_Toc15377194"/>
      <w:bookmarkStart w:id="8" w:name="_Toc15396476"/>
      <w:bookmarkStart w:id="9" w:name="_Toc15378442"/>
      <w:bookmarkStart w:id="10" w:name="_Toc15396598"/>
      <w:r>
        <w:rPr>
          <w:rFonts w:hint="eastAsia" w:ascii="方正小标宋简体" w:eastAsia="方正小标宋简体"/>
          <w:sz w:val="56"/>
          <w:szCs w:val="56"/>
        </w:rPr>
        <w:t>四川省阿坝州</w:t>
      </w:r>
      <w:bookmarkEnd w:id="0"/>
      <w:bookmarkStart w:id="11" w:name="_Toc15306268"/>
      <w:r>
        <w:rPr>
          <w:rFonts w:hint="eastAsia" w:ascii="方正小标宋简体" w:eastAsia="方正小标宋简体"/>
          <w:sz w:val="56"/>
          <w:szCs w:val="56"/>
        </w:rPr>
        <w:t>金川县市政公用事业服务中心部门决算</w:t>
      </w:r>
      <w:bookmarkEnd w:id="6"/>
      <w:bookmarkEnd w:id="7"/>
      <w:bookmarkEnd w:id="8"/>
      <w:bookmarkEnd w:id="9"/>
      <w:bookmarkEnd w:id="10"/>
      <w:bookmarkEnd w:id="11"/>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黑体" w:eastAsia="黑体"/>
          <w:sz w:val="48"/>
          <w:szCs w:val="48"/>
        </w:rPr>
      </w:pP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r>
        <w:rPr>
          <w:rFonts w:ascii="黑体" w:eastAsia="黑体"/>
          <w:sz w:val="48"/>
          <w:szCs w:val="48"/>
        </w:rPr>
        <w:fldChar w:fldCharType="begin"/>
      </w:r>
      <w:r>
        <w:rPr>
          <w:rFonts w:ascii="黑体" w:eastAsia="黑体"/>
          <w:sz w:val="48"/>
          <w:szCs w:val="48"/>
        </w:rPr>
        <w:instrText xml:space="preserve"> TOC \o "1-2" \h \z \u </w:instrText>
      </w:r>
      <w:r>
        <w:rPr>
          <w:rFonts w:ascii="黑体" w:eastAsia="黑体"/>
          <w:sz w:val="48"/>
          <w:szCs w:val="48"/>
        </w:rPr>
        <w:fldChar w:fldCharType="separate"/>
      </w:r>
    </w:p>
    <w:p>
      <w:pPr>
        <w:pStyle w:val="12"/>
      </w:pPr>
      <w:r>
        <w:rPr>
          <w:rFonts w:hint="eastAsia"/>
        </w:rPr>
        <w:t>公开时间：2020年8月3日</w:t>
      </w:r>
    </w:p>
    <w:p/>
    <w:p>
      <w:pPr>
        <w:pStyle w:val="12"/>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3"/>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2"/>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3"/>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3"/>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3"/>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3"/>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3"/>
        <w:ind w:left="420"/>
        <w:rPr>
          <w:rFonts w:ascii="仿宋" w:eastAsia="仿宋"/>
          <w:sz w:val="28"/>
          <w:szCs w:val="28"/>
        </w:rPr>
      </w:pPr>
      <w:r>
        <w:rPr>
          <w:rStyle w:val="19"/>
          <w:rFonts w:hint="eastAsia" w:ascii="仿宋" w:eastAsia="仿宋"/>
          <w:bCs/>
          <w:color w:val="auto"/>
          <w:sz w:val="28"/>
          <w:szCs w:val="28"/>
          <w:u w:val="none"/>
        </w:rPr>
        <w:t>十、预算绩效情况说明..................................11</w:t>
      </w:r>
    </w:p>
    <w:p>
      <w:pPr>
        <w:pStyle w:val="13"/>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2"/>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w:t>
      </w:r>
      <w:r>
        <w:rPr>
          <w:rFonts w:hint="eastAsia"/>
        </w:rPr>
        <w:fldChar w:fldCharType="end"/>
      </w:r>
      <w:r>
        <w:rPr>
          <w:rFonts w:hint="eastAsia"/>
        </w:rPr>
        <w:t>3</w:t>
      </w:r>
    </w:p>
    <w:p>
      <w:pPr>
        <w:pStyle w:val="12"/>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1</w:t>
      </w:r>
      <w:r>
        <w:rPr>
          <w:rFonts w:hint="eastAsia"/>
        </w:rPr>
        <w:fldChar w:fldCharType="end"/>
      </w:r>
      <w:r>
        <w:rPr>
          <w:rFonts w:hint="eastAsia"/>
        </w:rPr>
        <w:t>5</w:t>
      </w:r>
    </w:p>
    <w:p>
      <w:pPr>
        <w:pStyle w:val="13"/>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rPr>
          <w:rFonts w:hint="eastAsia" w:eastAsia="仿宋" w:cs="Arial"/>
          <w:lang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rPr>
          <w:rFonts w:hint="eastAsia"/>
        </w:rPr>
        <w:fldChar w:fldCharType="end"/>
      </w:r>
      <w:r>
        <w:rPr>
          <w:rFonts w:hint="eastAsia"/>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sz w:val="28"/>
          <w:szCs w:val="28"/>
          <w:lang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3"/>
        <w:ind w:left="420"/>
        <w:rPr>
          <w:rFonts w:hint="eastAsia" w:ascii="仿宋" w:eastAsia="仿宋" w:cs="Arial"/>
          <w:sz w:val="28"/>
          <w:szCs w:val="28"/>
          <w:lang w:eastAsia="zh-CN"/>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1</w:t>
      </w:r>
    </w:p>
    <w:p>
      <w:pPr>
        <w:widowControl/>
        <w:jc w:val="left"/>
        <w:rPr>
          <w:rFonts w:ascii="仿宋" w:eastAsia="仿宋"/>
          <w:sz w:val="24"/>
        </w:rPr>
      </w:pPr>
      <w:r>
        <w:rPr>
          <w:rFonts w:ascii="仿宋" w:eastAsia="仿宋"/>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3"/>
        <w:jc w:val="center"/>
        <w:rPr>
          <w:rFonts w:ascii="黑体" w:eastAsia="黑体"/>
          <w:sz w:val="32"/>
          <w:szCs w:val="32"/>
        </w:rPr>
      </w:pPr>
      <w:r>
        <w:rPr>
          <w:rFonts w:hint="eastAsia" w:ascii="黑体" w:eastAsia="黑体"/>
          <w:b w:val="0"/>
        </w:rPr>
        <w:t xml:space="preserve">第一部分 </w:t>
      </w:r>
      <w:r>
        <w:rPr>
          <w:rStyle w:val="20"/>
          <w:rFonts w:hint="eastAsia" w:ascii="黑体" w:eastAsia="黑体"/>
          <w:b w:val="0"/>
          <w:bCs w:val="0"/>
        </w:rPr>
        <w:t>部门概况</w:t>
      </w:r>
      <w:bookmarkEnd w:id="12"/>
      <w:bookmarkEnd w:id="13"/>
    </w:p>
    <w:p>
      <w:pPr>
        <w:pStyle w:val="4"/>
        <w:spacing w:before="0" w:after="0" w:line="240" w:lineRule="auto"/>
        <w:ind w:left="640" w:hanging="640" w:hangingChars="200"/>
        <w:rPr>
          <w:rStyle w:val="21"/>
          <w:rFonts w:ascii="黑体" w:eastAsia="黑体"/>
          <w:b w:val="0"/>
          <w:bCs w:val="0"/>
        </w:rPr>
      </w:pPr>
      <w:bookmarkStart w:id="14" w:name="_Toc15377197"/>
      <w:bookmarkStart w:id="15" w:name="_Toc15396600"/>
      <w:r>
        <w:rPr>
          <w:rFonts w:hint="eastAsia" w:ascii="黑体" w:eastAsia="黑体"/>
          <w:b w:val="0"/>
        </w:rPr>
        <w:t>一、基</w:t>
      </w:r>
      <w:r>
        <w:rPr>
          <w:rStyle w:val="21"/>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pPr>
      <w:r>
        <w:rPr>
          <w:rFonts w:hint="eastAsia" w:ascii="楷体" w:eastAsia="楷体" w:cs="楷体"/>
        </w:rPr>
        <w:t>（一）主要职能</w:t>
      </w:r>
    </w:p>
    <w:bookmarkEnd w:id="16"/>
    <w:bookmarkEnd w:id="17"/>
    <w:p>
      <w:pPr>
        <w:spacing w:line="600" w:lineRule="exact"/>
        <w:ind w:firstLine="640" w:firstLineChars="200"/>
        <w:rPr>
          <w:rFonts w:ascii="仿宋_GB2312" w:hAnsi="宋体" w:eastAsia="仿宋_GB2312"/>
          <w:sz w:val="32"/>
          <w:szCs w:val="32"/>
        </w:rPr>
      </w:pPr>
      <w:bookmarkStart w:id="18" w:name="_Toc15378446"/>
      <w:bookmarkStart w:id="19" w:name="_Toc15377199"/>
      <w:r>
        <w:rPr>
          <w:rFonts w:hint="eastAsia" w:ascii="仿宋_GB2312" w:hAnsi="宋体" w:eastAsia="仿宋_GB2312"/>
          <w:sz w:val="32"/>
          <w:szCs w:val="32"/>
        </w:rPr>
        <w:t>贯彻执行国家、省、州有关城市管理及城市管理行政执法的法律、法规 和政策；组织草拟全县环境卫生、市容环境管理的地方规章草案，制定有关政策措施；主管城市环境卫生工作,负责管理城市道路的冲洗洒水和生活垃圾、</w:t>
      </w:r>
      <w:r>
        <w:fldChar w:fldCharType="begin"/>
      </w:r>
      <w:r>
        <w:instrText xml:space="preserve"> HYPERLINK "http://baike.haosou.com/doc/4203246.html" \t "_blank" </w:instrText>
      </w:r>
      <w:r>
        <w:fldChar w:fldCharType="separate"/>
      </w:r>
      <w:r>
        <w:rPr>
          <w:rStyle w:val="19"/>
          <w:rFonts w:hint="eastAsia" w:ascii="仿宋_GB2312" w:hAnsi="宋体" w:eastAsia="仿宋_GB2312"/>
          <w:color w:val="auto"/>
          <w:sz w:val="32"/>
          <w:szCs w:val="32"/>
          <w:u w:val="none"/>
        </w:rPr>
        <w:t>特种垃圾</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w:t>
      </w:r>
      <w:r>
        <w:fldChar w:fldCharType="begin"/>
      </w:r>
      <w:r>
        <w:instrText xml:space="preserve"> HYPERLINK "http://baike.haosou.com/doc/5421032.html" \t "_blank" </w:instrText>
      </w:r>
      <w:r>
        <w:fldChar w:fldCharType="separate"/>
      </w:r>
      <w:r>
        <w:rPr>
          <w:rStyle w:val="19"/>
          <w:rFonts w:hint="eastAsia" w:ascii="仿宋_GB2312" w:hAnsi="宋体" w:eastAsia="仿宋_GB2312"/>
          <w:color w:val="auto"/>
          <w:sz w:val="32"/>
          <w:szCs w:val="32"/>
          <w:u w:val="none"/>
        </w:rPr>
        <w:t>建筑垃圾</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的收集、清运、处置；负责机动车清洗、环境卫生企业的</w:t>
      </w:r>
      <w:r>
        <w:fldChar w:fldCharType="begin"/>
      </w:r>
      <w:r>
        <w:instrText xml:space="preserve"> HYPERLINK "http://baike.haosou.com/doc/6303934.html" \t "_blank" </w:instrText>
      </w:r>
      <w:r>
        <w:fldChar w:fldCharType="separate"/>
      </w:r>
      <w:r>
        <w:rPr>
          <w:rStyle w:val="19"/>
          <w:rFonts w:hint="eastAsia" w:ascii="仿宋_GB2312" w:hAnsi="宋体" w:eastAsia="仿宋_GB2312"/>
          <w:color w:val="auto"/>
          <w:sz w:val="32"/>
          <w:szCs w:val="32"/>
          <w:u w:val="none"/>
        </w:rPr>
        <w:t>行业管理</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;负责对临时占用城市道路停车督管,对临时占用城市道路（含人行道）,利用城市道路设置</w:t>
      </w:r>
      <w:r>
        <w:fldChar w:fldCharType="begin"/>
      </w:r>
      <w:r>
        <w:instrText xml:space="preserve"> HYPERLINK "http://baike.haosou.com/doc/3860835.html" \t "_blank" </w:instrText>
      </w:r>
      <w:r>
        <w:fldChar w:fldCharType="separate"/>
      </w:r>
      <w:r>
        <w:rPr>
          <w:rStyle w:val="19"/>
          <w:rFonts w:hint="eastAsia" w:ascii="仿宋_GB2312" w:hAnsi="宋体" w:eastAsia="仿宋_GB2312"/>
          <w:color w:val="auto"/>
          <w:sz w:val="32"/>
          <w:szCs w:val="32"/>
          <w:u w:val="none"/>
        </w:rPr>
        <w:t>建筑物</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、构筑物的行为进行监督管理;负责城区菜市场的组织实施；负责临时占道机动车、非机动车停车场（点）的定点工作；负责城镇户外广告定点的监督管理；对利用园林绿化设施、</w:t>
      </w:r>
      <w:r>
        <w:fldChar w:fldCharType="begin"/>
      </w:r>
      <w:r>
        <w:instrText xml:space="preserve"> HYPERLINK "http://baike.haosou.com/doc/5564871.html" \t "_blank" </w:instrText>
      </w:r>
      <w:r>
        <w:fldChar w:fldCharType="separate"/>
      </w:r>
      <w:r>
        <w:rPr>
          <w:rStyle w:val="19"/>
          <w:rFonts w:hint="eastAsia" w:ascii="仿宋_GB2312" w:hAnsi="宋体" w:eastAsia="仿宋_GB2312"/>
          <w:color w:val="auto"/>
          <w:sz w:val="32"/>
          <w:szCs w:val="32"/>
          <w:u w:val="none"/>
        </w:rPr>
        <w:t>市政府</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附属设施和利用建筑物等占用城市空间影响市容市貌的行为进行监督管理。负责城区路灯饰城市管理监督，负责城区路灯和城市夜景灯饰的设置及维护管理；组织、协调、管理城市。参与城市管理工作目标的制定，受理市民有关城市市容环境管理的来信来访和群众投诉。指导、监督各乡镇城镇管理及</w:t>
      </w:r>
      <w:r>
        <w:fldChar w:fldCharType="begin"/>
      </w:r>
      <w:r>
        <w:instrText xml:space="preserve"> HYPERLINK "http://baike.haosou.com/doc/359522.html" \t "_blank" </w:instrText>
      </w:r>
      <w:r>
        <w:fldChar w:fldCharType="separate"/>
      </w:r>
      <w:r>
        <w:rPr>
          <w:rStyle w:val="19"/>
          <w:rFonts w:hint="eastAsia" w:ascii="仿宋_GB2312" w:hAnsi="宋体" w:eastAsia="仿宋_GB2312"/>
          <w:color w:val="auto"/>
          <w:sz w:val="32"/>
          <w:szCs w:val="32"/>
          <w:u w:val="none"/>
        </w:rPr>
        <w:t>行政执法</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工作。行使</w:t>
      </w:r>
      <w:r>
        <w:fldChar w:fldCharType="begin"/>
      </w:r>
      <w:r>
        <w:instrText xml:space="preserve"> HYPERLINK "http://baike.haosou.com/doc/1005500.html" \t "_blank" </w:instrText>
      </w:r>
      <w:r>
        <w:fldChar w:fldCharType="separate"/>
      </w:r>
      <w:r>
        <w:rPr>
          <w:rStyle w:val="19"/>
          <w:rFonts w:hint="eastAsia" w:ascii="仿宋_GB2312" w:hAnsi="宋体" w:eastAsia="仿宋_GB2312"/>
          <w:color w:val="auto"/>
          <w:sz w:val="32"/>
          <w:szCs w:val="32"/>
          <w:u w:val="none"/>
        </w:rPr>
        <w:t>市容环境卫生管理</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w:t>
      </w:r>
      <w:r>
        <w:fldChar w:fldCharType="begin"/>
      </w:r>
      <w:r>
        <w:instrText xml:space="preserve"> HYPERLINK "http://baike.haosou.com/doc/6288296.html" \t "_blank" </w:instrText>
      </w:r>
      <w:r>
        <w:fldChar w:fldCharType="separate"/>
      </w:r>
      <w:r>
        <w:rPr>
          <w:rStyle w:val="19"/>
          <w:rFonts w:hint="eastAsia" w:ascii="仿宋_GB2312" w:hAnsi="宋体" w:eastAsia="仿宋_GB2312"/>
          <w:color w:val="auto"/>
          <w:sz w:val="32"/>
          <w:szCs w:val="32"/>
          <w:u w:val="none"/>
        </w:rPr>
        <w:t>城市绿化</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管理、</w:t>
      </w:r>
      <w:r>
        <w:fldChar w:fldCharType="begin"/>
      </w:r>
      <w:r>
        <w:instrText xml:space="preserve"> HYPERLINK "http://baike.haosou.com/doc/977829.html" \t "_blank" </w:instrText>
      </w:r>
      <w:r>
        <w:fldChar w:fldCharType="separate"/>
      </w:r>
      <w:r>
        <w:rPr>
          <w:rStyle w:val="19"/>
          <w:rFonts w:hint="eastAsia" w:ascii="仿宋_GB2312" w:hAnsi="宋体" w:eastAsia="仿宋_GB2312"/>
          <w:color w:val="auto"/>
          <w:sz w:val="32"/>
          <w:szCs w:val="32"/>
          <w:u w:val="none"/>
        </w:rPr>
        <w:t>市政管理</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方面法律、法规、规章规定的</w:t>
      </w:r>
      <w:r>
        <w:fldChar w:fldCharType="begin"/>
      </w:r>
      <w:r>
        <w:instrText xml:space="preserve"> HYPERLINK "http://baike.haosou.com/doc/3772821.html" \t "_blank" </w:instrText>
      </w:r>
      <w:r>
        <w:fldChar w:fldCharType="separate"/>
      </w:r>
      <w:r>
        <w:rPr>
          <w:rStyle w:val="19"/>
          <w:rFonts w:hint="eastAsia" w:ascii="仿宋_GB2312" w:hAnsi="宋体" w:eastAsia="仿宋_GB2312"/>
          <w:color w:val="auto"/>
          <w:sz w:val="32"/>
          <w:szCs w:val="32"/>
          <w:u w:val="none"/>
        </w:rPr>
        <w:t>行政处罚</w:t>
      </w:r>
      <w:r>
        <w:rPr>
          <w:rStyle w:val="19"/>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权。集中行使对乱建乱搭、环境污染、非机动车和机动车乱停乱放、临时占用城市道路和城区河堤通道、无照商贩、无证饮食品店摊点等行政执法的组织、指挥、协调和行政处罚。</w:t>
      </w:r>
    </w:p>
    <w:p>
      <w:pPr>
        <w:pStyle w:val="4"/>
        <w:spacing w:before="0" w:after="0" w:line="600" w:lineRule="exact"/>
        <w:ind w:firstLine="321" w:firstLineChars="100"/>
        <w:rPr>
          <w:rFonts w:ascii="楷体" w:eastAsia="楷体" w:cs="楷体"/>
        </w:rPr>
      </w:pPr>
      <w:r>
        <w:rPr>
          <w:rFonts w:hint="eastAsia" w:ascii="楷体" w:eastAsia="楷体" w:cs="楷体"/>
        </w:rPr>
        <w:t>（二）2020年重点工作完成情况</w:t>
      </w:r>
    </w:p>
    <w:p>
      <w:pPr>
        <w:spacing w:line="600" w:lineRule="exact"/>
        <w:ind w:firstLine="640" w:firstLineChars="200"/>
        <w:rPr>
          <w:rFonts w:eastAsia="仿宋_GB2312"/>
          <w:sz w:val="32"/>
          <w:szCs w:val="32"/>
        </w:rPr>
      </w:pPr>
      <w:r>
        <w:rPr>
          <w:rFonts w:hint="eastAsia" w:ascii="黑体" w:eastAsia="黑体"/>
          <w:sz w:val="32"/>
          <w:szCs w:val="32"/>
        </w:rPr>
        <w:t>1.城区保洁常态</w:t>
      </w:r>
      <w:r>
        <w:rPr>
          <w:rFonts w:hint="eastAsia" w:ascii="黑体" w:hAnsi="黑体" w:eastAsia="黑体" w:cs="宋体"/>
          <w:bCs/>
          <w:kern w:val="0"/>
          <w:sz w:val="32"/>
          <w:szCs w:val="32"/>
        </w:rPr>
        <w:t>化。</w:t>
      </w:r>
      <w:r>
        <w:rPr>
          <w:rFonts w:hint="eastAsia" w:ascii="仿宋_GB2312" w:hAnsi="宋体" w:eastAsia="仿宋_GB2312" w:cs="宋体"/>
          <w:kern w:val="0"/>
          <w:sz w:val="32"/>
          <w:szCs w:val="32"/>
        </w:rPr>
        <w:t>不断加强城区保洁工作，及时对生活垃圾、卫生死角、路面泥沙、下水道、雨水井、排洪道、牛皮癣等进行清理，对垃圾箱体、果屑箱进行清洗。对县城86个垃圾收集点的生活垃圾“日产日清”，清理卫生死角1074处；日常加强对路面的普扫和冲洗，每周冲洗主干道路面</w:t>
      </w:r>
      <w:r>
        <w:rPr>
          <w:rFonts w:ascii="仿宋_GB2312" w:hAnsi="宋体" w:eastAsia="仿宋_GB2312" w:cs="宋体"/>
          <w:kern w:val="0"/>
          <w:sz w:val="32"/>
          <w:szCs w:val="32"/>
        </w:rPr>
        <w:t>2</w:t>
      </w:r>
      <w:r>
        <w:rPr>
          <w:rFonts w:hint="eastAsia" w:ascii="仿宋_GB2312" w:hAnsi="宋体" w:eastAsia="仿宋_GB2312" w:cs="宋体"/>
          <w:kern w:val="0"/>
          <w:sz w:val="32"/>
          <w:szCs w:val="32"/>
        </w:rPr>
        <w:t>次，除雨雪天气外每天4次对城市道路洒水降尘，并要求运输建渣等易抛洒的作业车辆全封闭运输；对八步里排洪道、蔡家沟排洪道内的杂草和垃圾进行彻底的清理，全面喷洒无害无毒除草剂1次，清理保洁面积1.25万平方米；清除各类乱贴乱画、小广告等1263处；每周清洗垃圾收集箱体2次、果屑箱4次。</w:t>
      </w:r>
    </w:p>
    <w:p>
      <w:pPr>
        <w:spacing w:line="600" w:lineRule="exact"/>
        <w:ind w:firstLine="640" w:firstLineChars="200"/>
        <w:rPr>
          <w:rFonts w:ascii="仿宋_GB2312" w:hAnsi="宋体" w:eastAsia="仿宋_GB2312" w:cs="宋体"/>
          <w:kern w:val="0"/>
          <w:sz w:val="32"/>
          <w:szCs w:val="32"/>
        </w:rPr>
      </w:pPr>
      <w:r>
        <w:rPr>
          <w:rFonts w:hint="eastAsia" w:ascii="黑体" w:hAnsi="黑体" w:eastAsia="黑体" w:cs="宋体"/>
          <w:bCs/>
          <w:kern w:val="0"/>
          <w:sz w:val="32"/>
          <w:szCs w:val="32"/>
        </w:rPr>
        <w:t>2.垃圾清运常态化。</w:t>
      </w:r>
      <w:r>
        <w:rPr>
          <w:rFonts w:hint="eastAsia" w:ascii="仿宋_GB2312" w:hAnsi="宋体" w:eastAsia="仿宋_GB2312" w:cs="宋体"/>
          <w:kern w:val="0"/>
          <w:sz w:val="32"/>
          <w:szCs w:val="32"/>
        </w:rPr>
        <w:t>按照“重点部位二次清运，积存垃圾突击清运”的原则，合理调配清运车辆，增加清运频率，做到定点定时清运，保证安全不撒漏，杜绝二次污染；对填埋场垃圾做到每日覆盖，按时灭蝇灭蚊，路边箱体安放点确保日产日清。累计共清理城区生活垃圾近8326吨（平均每天23吨）。</w:t>
      </w:r>
    </w:p>
    <w:p>
      <w:pPr>
        <w:spacing w:line="600" w:lineRule="exact"/>
        <w:ind w:firstLine="640" w:firstLineChars="200"/>
        <w:rPr>
          <w:rFonts w:eastAsia="仿宋_GB2312"/>
          <w:sz w:val="32"/>
          <w:szCs w:val="32"/>
        </w:rPr>
      </w:pPr>
      <w:r>
        <w:rPr>
          <w:rFonts w:hint="eastAsia" w:ascii="黑体" w:hAnsi="黑体" w:eastAsia="黑体" w:cs="宋体"/>
          <w:bCs/>
          <w:kern w:val="0"/>
          <w:sz w:val="32"/>
          <w:szCs w:val="32"/>
        </w:rPr>
        <w:t>3.绿化养护常态化。</w:t>
      </w:r>
      <w:r>
        <w:rPr>
          <w:rFonts w:hint="eastAsia" w:ascii="仿宋_GB2312" w:hAnsi="楷体" w:eastAsia="仿宋_GB2312"/>
          <w:sz w:val="32"/>
          <w:szCs w:val="32"/>
        </w:rPr>
        <w:t>组织120余人，对县城内开展集中绿化养护，共除草20次，修剪茂盛绿植4次，完成城区3370平方米的绿化养护，春季翻种踩踏损坏绿地；</w:t>
      </w:r>
      <w:r>
        <w:rPr>
          <w:rFonts w:hint="eastAsia" w:eastAsia="仿宋_GB2312"/>
          <w:sz w:val="32"/>
          <w:szCs w:val="32"/>
        </w:rPr>
        <w:t>每周清理绿化带垃圾、浇水各2次，更换县城349个花箱内各类鲜花28000余株；清理行道</w:t>
      </w:r>
      <w:r>
        <w:rPr>
          <w:rFonts w:hint="eastAsia" w:eastAsia="仿宋_GB2312"/>
          <w:sz w:val="32"/>
          <w:szCs w:val="32"/>
          <w:lang w:eastAsia="zh-CN"/>
        </w:rPr>
        <w:t>树</w:t>
      </w:r>
      <w:r>
        <w:rPr>
          <w:rFonts w:hint="eastAsia" w:eastAsia="仿宋_GB2312"/>
          <w:sz w:val="32"/>
          <w:szCs w:val="32"/>
        </w:rPr>
        <w:t>盘内垃圾41次，清理垃圾4.4吨；新增绿化管护200余平方米。</w:t>
      </w:r>
    </w:p>
    <w:p>
      <w:pPr>
        <w:spacing w:line="600" w:lineRule="exact"/>
        <w:ind w:firstLine="627" w:firstLineChars="196"/>
      </w:pPr>
      <w:r>
        <w:rPr>
          <w:rFonts w:hint="eastAsia" w:ascii="黑体" w:hAnsi="黑体" w:eastAsia="黑体" w:cs="宋体"/>
          <w:bCs/>
          <w:kern w:val="0"/>
          <w:sz w:val="32"/>
          <w:szCs w:val="32"/>
        </w:rPr>
        <w:t>4.监督管理常态化。</w:t>
      </w:r>
      <w:r>
        <w:rPr>
          <w:rFonts w:hint="eastAsia" w:eastAsia="仿宋_GB2312"/>
          <w:sz w:val="32"/>
          <w:szCs w:val="32"/>
        </w:rPr>
        <w:t>严格按照合同要求对顺美公司进行“日检查、周通报、月考评”，使政府对环卫工作的具体实施，转变到对环境卫生作业市场的监管和间接调控上，开展环卫巡查工作共计1100余件，通过考评共扣减110分，罚款5500元，实现环境卫生管理与作业分离，全面提升辖区环境卫生水平。</w:t>
      </w:r>
    </w:p>
    <w:p>
      <w:pPr>
        <w:spacing w:line="600" w:lineRule="exact"/>
        <w:ind w:firstLine="640" w:firstLineChars="200"/>
        <w:rPr>
          <w:rFonts w:ascii="仿宋_GB2312" w:hAnsi="宋体" w:eastAsia="仿宋_GB2312"/>
          <w:sz w:val="32"/>
          <w:szCs w:val="32"/>
        </w:rPr>
      </w:pPr>
      <w:r>
        <w:rPr>
          <w:rFonts w:hint="eastAsia" w:ascii="黑体" w:hAnsi="黑体" w:eastAsia="黑体" w:cs="宋体"/>
          <w:bCs/>
          <w:kern w:val="0"/>
          <w:sz w:val="32"/>
          <w:szCs w:val="32"/>
        </w:rPr>
        <w:t>5.设施维护常态化。</w:t>
      </w:r>
      <w:r>
        <w:rPr>
          <w:rFonts w:hint="eastAsia" w:ascii="仿宋_GB2312" w:hAnsi="宋体" w:eastAsia="仿宋_GB2312" w:cs="宋体"/>
          <w:kern w:val="0"/>
          <w:sz w:val="32"/>
          <w:szCs w:val="32"/>
        </w:rPr>
        <w:t>每周巡查</w:t>
      </w:r>
      <w:r>
        <w:rPr>
          <w:rFonts w:ascii="仿宋_GB2312" w:hAnsi="宋体" w:eastAsia="仿宋_GB2312" w:cs="宋体"/>
          <w:kern w:val="0"/>
          <w:sz w:val="32"/>
          <w:szCs w:val="32"/>
        </w:rPr>
        <w:t>2</w:t>
      </w:r>
      <w:r>
        <w:rPr>
          <w:rFonts w:hint="eastAsia" w:ascii="仿宋_GB2312" w:hAnsi="宋体" w:eastAsia="仿宋_GB2312" w:cs="宋体"/>
          <w:kern w:val="0"/>
          <w:sz w:val="32"/>
          <w:szCs w:val="32"/>
        </w:rPr>
        <w:t>次市政设施运行情况，开展</w:t>
      </w:r>
      <w:r>
        <w:rPr>
          <w:rFonts w:ascii="仿宋_GB2312" w:hAnsi="宋体" w:eastAsia="仿宋_GB2312" w:cs="宋体"/>
          <w:kern w:val="0"/>
          <w:sz w:val="32"/>
          <w:szCs w:val="32"/>
        </w:rPr>
        <w:t>3</w:t>
      </w:r>
      <w:r>
        <w:rPr>
          <w:rFonts w:hint="eastAsia" w:ascii="仿宋_GB2312" w:hAnsi="宋体" w:eastAsia="仿宋_GB2312" w:cs="宋体"/>
          <w:kern w:val="0"/>
          <w:sz w:val="32"/>
          <w:szCs w:val="32"/>
        </w:rPr>
        <w:t>次以上隐患排查，更换破损井盖91个、破损石栏杆及配件300米，雨水篦子113个；修复垃圾收集箱体8个；维修污水管网渗漏51米、路灯和景观灯300余盏，更换破损灯泡3000余个；修补破损市政道路8处、200余平方米。国庆前夕</w:t>
      </w:r>
      <w:r>
        <w:rPr>
          <w:rFonts w:hint="eastAsia" w:ascii="仿宋_GB2312" w:eastAsia="仿宋_GB2312"/>
          <w:sz w:val="32"/>
          <w:szCs w:val="32"/>
        </w:rPr>
        <w:t>悬挂国旗910面营造了浓厚的节日氛围。</w:t>
      </w:r>
    </w:p>
    <w:bookmarkEnd w:id="18"/>
    <w:bookmarkEnd w:id="19"/>
    <w:p>
      <w:pPr>
        <w:spacing w:line="600" w:lineRule="exact"/>
        <w:rPr>
          <w:rStyle w:val="21"/>
          <w:b w:val="0"/>
          <w:bCs w:val="0"/>
        </w:rPr>
      </w:pPr>
      <w:bookmarkStart w:id="20" w:name="_Toc15396601"/>
      <w:bookmarkStart w:id="21" w:name="_Toc15377200"/>
      <w:r>
        <w:rPr>
          <w:rStyle w:val="21"/>
          <w:rFonts w:hint="eastAsia" w:ascii="黑体" w:eastAsia="黑体"/>
          <w:b w:val="0"/>
          <w:bCs w:val="0"/>
        </w:rPr>
        <w:t>二、机构设置</w:t>
      </w:r>
      <w:bookmarkEnd w:id="20"/>
      <w:bookmarkEnd w:id="21"/>
    </w:p>
    <w:p>
      <w:pPr>
        <w:snapToGrid w:val="0"/>
        <w:spacing w:line="600" w:lineRule="exact"/>
        <w:ind w:firstLine="600" w:firstLineChars="200"/>
        <w:rPr>
          <w:rFonts w:ascii="仿宋_GB2312" w:eastAsia="仿宋_GB2312"/>
          <w:sz w:val="30"/>
          <w:szCs w:val="30"/>
        </w:rPr>
      </w:pPr>
      <w:bookmarkStart w:id="22" w:name="_Toc15396602"/>
      <w:bookmarkStart w:id="23" w:name="_Toc15377204"/>
      <w:r>
        <w:rPr>
          <w:rFonts w:hint="eastAsia" w:ascii="仿宋_GB2312" w:eastAsia="仿宋_GB2312"/>
          <w:sz w:val="30"/>
          <w:szCs w:val="30"/>
        </w:rPr>
        <w:t>1、机构情况：我单位2020年只有1个行政核算机构，无增减变动。</w:t>
      </w:r>
    </w:p>
    <w:p>
      <w:pPr>
        <w:tabs>
          <w:tab w:val="left" w:pos="0"/>
        </w:tabs>
        <w:snapToGrid w:val="0"/>
        <w:spacing w:line="600" w:lineRule="exact"/>
        <w:ind w:firstLine="600" w:firstLineChars="200"/>
        <w:rPr>
          <w:rFonts w:ascii="楷体" w:hAnsi="楷体" w:eastAsia="楷体" w:cs="楷体"/>
          <w:b/>
          <w:bCs/>
          <w:sz w:val="30"/>
          <w:szCs w:val="30"/>
        </w:rPr>
      </w:pPr>
      <w:r>
        <w:rPr>
          <w:rFonts w:hint="eastAsia" w:ascii="仿宋_GB2312" w:eastAsia="仿宋_GB2312"/>
          <w:sz w:val="30"/>
          <w:szCs w:val="30"/>
        </w:rPr>
        <w:t>2.人员情况：</w:t>
      </w:r>
      <w:r>
        <w:rPr>
          <w:rFonts w:hint="eastAsia" w:ascii="仿宋_GB2312" w:hAnsi="宋体" w:eastAsia="仿宋_GB2312"/>
          <w:sz w:val="32"/>
        </w:rPr>
        <w:t>2019年年末在职26人（参公人员14人，事业专技2人，事业管理10人），2020年年末在职22人（参公13人，事业专技1人，事业管理8人）原因为2020年事业管理调出2人，参公调出2人。</w:t>
      </w:r>
    </w:p>
    <w:p>
      <w:pPr>
        <w:pStyle w:val="3"/>
        <w:spacing w:line="600" w:lineRule="exact"/>
        <w:ind w:right="440"/>
        <w:jc w:val="center"/>
      </w:pPr>
      <w:r>
        <w:rPr>
          <w:rFonts w:hint="eastAsia" w:ascii="黑体" w:eastAsia="黑体"/>
          <w:b w:val="0"/>
        </w:rPr>
        <w:t xml:space="preserve">  第二部分</w:t>
      </w:r>
      <w:r>
        <w:rPr>
          <w:rFonts w:hint="eastAsia" w:ascii="黑体" w:eastAsia="黑体"/>
        </w:rPr>
        <w:t xml:space="preserve"> </w:t>
      </w:r>
      <w:r>
        <w:rPr>
          <w:rStyle w:val="20"/>
          <w:rFonts w:hint="eastAsia" w:ascii="黑体" w:eastAsia="黑体"/>
          <w:b w:val="0"/>
          <w:bCs w:val="0"/>
        </w:rPr>
        <w:t>2020年度部门决算情况说明</w:t>
      </w:r>
      <w:bookmarkEnd w:id="22"/>
      <w:bookmarkEnd w:id="23"/>
    </w:p>
    <w:p>
      <w:pPr>
        <w:pStyle w:val="26"/>
        <w:numPr>
          <w:ilvl w:val="0"/>
          <w:numId w:val="1"/>
        </w:numPr>
        <w:spacing w:line="600" w:lineRule="exact"/>
        <w:ind w:left="0" w:firstLine="0" w:firstLineChars="0"/>
        <w:outlineLvl w:val="1"/>
        <w:rPr>
          <w:rStyle w:val="21"/>
          <w:rFonts w:ascii="黑体" w:eastAsia="黑体"/>
          <w:b w:val="0"/>
        </w:rPr>
      </w:pPr>
      <w:bookmarkStart w:id="24" w:name="_Toc15396603"/>
      <w:bookmarkStart w:id="25" w:name="_Toc15377205"/>
      <w:r>
        <w:rPr>
          <w:rFonts w:hint="eastAsia" w:ascii="黑体" w:eastAsia="黑体"/>
          <w:sz w:val="32"/>
          <w:szCs w:val="32"/>
        </w:rPr>
        <w:t>收</w:t>
      </w:r>
      <w:r>
        <w:rPr>
          <w:rStyle w:val="21"/>
          <w:rFonts w:hint="eastAsia" w:ascii="黑体" w:eastAsia="黑体"/>
          <w:b w:val="0"/>
        </w:rPr>
        <w:t>入支出决算总体情况说明</w:t>
      </w:r>
      <w:bookmarkEnd w:id="24"/>
      <w:bookmarkEnd w:id="25"/>
    </w:p>
    <w:p>
      <w:pPr>
        <w:snapToGrid w:val="0"/>
        <w:spacing w:line="600" w:lineRule="exact"/>
        <w:ind w:firstLine="420" w:firstLineChars="200"/>
        <w:rPr>
          <w:rFonts w:ascii="仿宋_GB2312" w:hAnsi="宋体" w:eastAsia="仿宋_GB2312"/>
          <w:sz w:val="32"/>
        </w:rPr>
      </w:pPr>
      <w:r>
        <w:drawing>
          <wp:anchor distT="0" distB="0" distL="114300" distR="114300" simplePos="0" relativeHeight="251663360" behindDoc="1" locked="0" layoutInCell="1" allowOverlap="1">
            <wp:simplePos x="0" y="0"/>
            <wp:positionH relativeFrom="column">
              <wp:posOffset>50800</wp:posOffset>
            </wp:positionH>
            <wp:positionV relativeFrom="paragraph">
              <wp:posOffset>4775200</wp:posOffset>
            </wp:positionV>
            <wp:extent cx="5159375" cy="2873375"/>
            <wp:effectExtent l="0" t="0" r="22225" b="22225"/>
            <wp:wrapTight wrapText="bothSides">
              <wp:wrapPolygon>
                <wp:start x="0" y="0"/>
                <wp:lineTo x="0" y="21624"/>
                <wp:lineTo x="21613" y="21624"/>
                <wp:lineTo x="21613" y="0"/>
                <wp:lineTo x="0" y="0"/>
              </wp:wrapPolygon>
            </wp:wrapTight>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宋体" w:eastAsia="仿宋_GB2312"/>
          <w:sz w:val="32"/>
        </w:rPr>
        <w:t>2020年本年度收入729.36万元，上年度收入3266.76万元，较上年减少77.67%，主要原因是财政收回财返剩余资金；本年度支出1934.36万元，上年度支出1704.01万元，本年比上年增加13.52%。主要原因是：上年度城市工作成效明显，城市环境卫生，其他污染防治支出，城乡人居环境经费、垃圾无害化处理建设项目、垃圾收转运体系项目支出增加。</w:t>
      </w:r>
    </w:p>
    <w:tbl>
      <w:tblPr>
        <w:tblStyle w:val="15"/>
        <w:tblpPr w:leftFromText="180" w:rightFromText="180" w:vertAnchor="text" w:tblpX="93" w:tblpY="1"/>
        <w:tblOverlap w:val="never"/>
        <w:tblW w:w="8330" w:type="dxa"/>
        <w:tblInd w:w="0" w:type="dxa"/>
        <w:tblLayout w:type="autofit"/>
        <w:tblCellMar>
          <w:top w:w="0" w:type="dxa"/>
          <w:left w:w="108" w:type="dxa"/>
          <w:bottom w:w="0" w:type="dxa"/>
          <w:right w:w="108" w:type="dxa"/>
        </w:tblCellMar>
      </w:tblPr>
      <w:tblGrid>
        <w:gridCol w:w="4298"/>
        <w:gridCol w:w="2213"/>
        <w:gridCol w:w="1819"/>
      </w:tblGrid>
      <w:tr>
        <w:trPr>
          <w:trHeight w:val="886" w:hRule="atLeast"/>
        </w:trPr>
        <w:tc>
          <w:tcPr>
            <w:tcW w:w="8330" w:type="dxa"/>
            <w:gridSpan w:val="3"/>
            <w:tcBorders>
              <w:top w:val="nil"/>
              <w:left w:val="nil"/>
              <w:bottom w:val="nil"/>
              <w:right w:val="nil"/>
            </w:tcBorders>
            <w:shd w:val="clear" w:color="auto" w:fill="auto"/>
            <w:noWrap/>
            <w:vAlign w:val="center"/>
          </w:tcPr>
          <w:p>
            <w:pPr>
              <w:widowControl/>
              <w:spacing w:line="600" w:lineRule="exact"/>
              <w:jc w:val="center"/>
              <w:textAlignment w:val="center"/>
              <w:rPr>
                <w:rFonts w:ascii="仿宋_GB2312" w:hAnsi="宋体" w:eastAsia="仿宋_GB2312" w:cs="仿宋_GB2312"/>
                <w:sz w:val="32"/>
                <w:szCs w:val="32"/>
              </w:rPr>
            </w:pPr>
            <w:r>
              <w:rPr>
                <w:rFonts w:ascii="仿宋_GB2312" w:hAnsi="宋体" w:eastAsia="仿宋_GB2312" w:cs="仿宋_GB2312"/>
                <w:b/>
                <w:bCs/>
                <w:kern w:val="0"/>
                <w:sz w:val="36"/>
                <w:szCs w:val="36"/>
              </w:rPr>
              <w:t>上下年度收入支出对比分析（单位：万元）</w:t>
            </w:r>
          </w:p>
        </w:tc>
      </w:tr>
      <w:tr>
        <w:tblPrEx>
          <w:tblCellMar>
            <w:top w:w="0" w:type="dxa"/>
            <w:left w:w="108" w:type="dxa"/>
            <w:bottom w:w="0" w:type="dxa"/>
            <w:right w:w="108" w:type="dxa"/>
          </w:tblCellMar>
        </w:tblPrEx>
        <w:trPr>
          <w:trHeight w:val="717" w:hRule="atLeast"/>
        </w:trPr>
        <w:tc>
          <w:tcPr>
            <w:tcW w:w="4298" w:type="dxa"/>
            <w:tcBorders>
              <w:top w:val="single" w:color="000000" w:sz="8" w:space="0"/>
              <w:left w:val="single" w:color="000000" w:sz="8" w:space="0"/>
              <w:bottom w:val="single" w:color="000000" w:sz="8" w:space="0"/>
              <w:right w:val="single" w:color="000000" w:sz="8" w:space="0"/>
            </w:tcBorders>
            <w:shd w:val="clear" w:color="auto" w:fill="auto"/>
          </w:tcPr>
          <w:p>
            <w:pPr>
              <w:widowControl/>
              <w:spacing w:line="600" w:lineRule="exact"/>
              <w:textAlignment w:val="top"/>
              <w:rPr>
                <w:rFonts w:ascii="仿宋_GB2312" w:hAnsi="宋体" w:eastAsia="仿宋_GB2312" w:cs="仿宋_GB2312"/>
                <w:sz w:val="28"/>
                <w:szCs w:val="28"/>
              </w:rPr>
            </w:pPr>
            <w:r>
              <w:rPr>
                <w:rFonts w:ascii="仿宋_GB2312" w:hAnsi="宋体" w:eastAsia="仿宋_GB2312" w:cs="仿宋_GB2312"/>
                <w:kern w:val="0"/>
                <w:sz w:val="28"/>
                <w:szCs w:val="28"/>
              </w:rPr>
              <w:t>名称</w:t>
            </w:r>
          </w:p>
        </w:tc>
        <w:tc>
          <w:tcPr>
            <w:tcW w:w="2213" w:type="dxa"/>
            <w:tcBorders>
              <w:top w:val="single" w:color="000000" w:sz="8" w:space="0"/>
              <w:left w:val="single" w:color="000000" w:sz="8" w:space="0"/>
              <w:bottom w:val="single" w:color="000000" w:sz="8" w:space="0"/>
              <w:right w:val="single" w:color="000000" w:sz="8" w:space="0"/>
            </w:tcBorders>
            <w:shd w:val="clear" w:color="auto" w:fill="auto"/>
          </w:tcPr>
          <w:p>
            <w:pPr>
              <w:widowControl/>
              <w:spacing w:line="600" w:lineRule="exact"/>
              <w:jc w:val="center"/>
              <w:textAlignment w:val="top"/>
              <w:rPr>
                <w:rFonts w:ascii="仿宋_GB2312" w:hAnsi="宋体" w:eastAsia="仿宋_GB2312" w:cs="仿宋_GB2312"/>
                <w:sz w:val="28"/>
                <w:szCs w:val="28"/>
              </w:rPr>
            </w:pPr>
            <w:r>
              <w:rPr>
                <w:rFonts w:ascii="仿宋_GB2312" w:hAnsi="宋体" w:eastAsia="仿宋_GB2312" w:cs="仿宋_GB2312"/>
                <w:kern w:val="0"/>
                <w:sz w:val="28"/>
                <w:szCs w:val="28"/>
              </w:rPr>
              <w:t>2019年</w:t>
            </w:r>
          </w:p>
        </w:tc>
        <w:tc>
          <w:tcPr>
            <w:tcW w:w="1819" w:type="dxa"/>
            <w:tcBorders>
              <w:top w:val="single" w:color="000000" w:sz="8" w:space="0"/>
              <w:left w:val="single" w:color="000000" w:sz="8" w:space="0"/>
              <w:bottom w:val="single" w:color="000000" w:sz="8" w:space="0"/>
              <w:right w:val="single" w:color="000000" w:sz="8" w:space="0"/>
            </w:tcBorders>
            <w:shd w:val="clear" w:color="auto" w:fill="auto"/>
          </w:tcPr>
          <w:p>
            <w:pPr>
              <w:widowControl/>
              <w:spacing w:line="600" w:lineRule="exact"/>
              <w:jc w:val="center"/>
              <w:textAlignment w:val="top"/>
              <w:rPr>
                <w:rFonts w:ascii="仿宋_GB2312" w:hAnsi="宋体" w:eastAsia="仿宋_GB2312" w:cs="仿宋_GB2312"/>
                <w:sz w:val="28"/>
                <w:szCs w:val="28"/>
              </w:rPr>
            </w:pPr>
            <w:r>
              <w:rPr>
                <w:rFonts w:ascii="仿宋_GB2312" w:hAnsi="宋体" w:eastAsia="仿宋_GB2312" w:cs="仿宋_GB2312"/>
                <w:kern w:val="0"/>
                <w:sz w:val="28"/>
                <w:szCs w:val="28"/>
              </w:rPr>
              <w:t>2020年</w:t>
            </w:r>
          </w:p>
        </w:tc>
      </w:tr>
      <w:tr>
        <w:tblPrEx>
          <w:tblCellMar>
            <w:top w:w="0" w:type="dxa"/>
            <w:left w:w="108" w:type="dxa"/>
            <w:bottom w:w="0" w:type="dxa"/>
            <w:right w:w="108" w:type="dxa"/>
          </w:tblCellMar>
        </w:tblPrEx>
        <w:trPr>
          <w:trHeight w:val="717" w:hRule="atLeast"/>
        </w:trPr>
        <w:tc>
          <w:tcPr>
            <w:tcW w:w="4298" w:type="dxa"/>
            <w:tcBorders>
              <w:top w:val="nil"/>
              <w:left w:val="single" w:color="000000" w:sz="8" w:space="0"/>
              <w:bottom w:val="single" w:color="000000" w:sz="8" w:space="0"/>
              <w:right w:val="single" w:color="000000" w:sz="8" w:space="0"/>
            </w:tcBorders>
            <w:shd w:val="clear" w:color="auto" w:fill="auto"/>
          </w:tcPr>
          <w:p>
            <w:pPr>
              <w:widowControl/>
              <w:spacing w:line="600" w:lineRule="exact"/>
              <w:textAlignment w:val="top"/>
              <w:rPr>
                <w:rFonts w:ascii="仿宋_GB2312" w:hAnsi="宋体" w:eastAsia="仿宋_GB2312" w:cs="仿宋_GB2312"/>
                <w:sz w:val="28"/>
                <w:szCs w:val="28"/>
              </w:rPr>
            </w:pPr>
            <w:r>
              <w:rPr>
                <w:rFonts w:ascii="仿宋_GB2312" w:hAnsi="宋体" w:eastAsia="仿宋_GB2312" w:cs="仿宋_GB2312"/>
                <w:kern w:val="0"/>
                <w:sz w:val="28"/>
                <w:szCs w:val="28"/>
              </w:rPr>
              <w:t>总收入</w:t>
            </w:r>
          </w:p>
        </w:tc>
        <w:tc>
          <w:tcPr>
            <w:tcW w:w="2213" w:type="dxa"/>
            <w:tcBorders>
              <w:top w:val="nil"/>
              <w:left w:val="single" w:color="000000" w:sz="8" w:space="0"/>
              <w:bottom w:val="single" w:color="000000" w:sz="8" w:space="0"/>
              <w:right w:val="single" w:color="000000" w:sz="8" w:space="0"/>
            </w:tcBorders>
            <w:shd w:val="clear" w:color="auto" w:fill="auto"/>
          </w:tcPr>
          <w:p>
            <w:pPr>
              <w:widowControl/>
              <w:spacing w:line="600" w:lineRule="exact"/>
              <w:jc w:val="center"/>
              <w:textAlignment w:val="top"/>
              <w:rPr>
                <w:rFonts w:ascii="仿宋_GB2312" w:hAnsi="宋体" w:eastAsia="仿宋_GB2312" w:cs="仿宋_GB2312"/>
                <w:sz w:val="28"/>
                <w:szCs w:val="28"/>
              </w:rPr>
            </w:pPr>
            <w:r>
              <w:rPr>
                <w:rFonts w:ascii="仿宋_GB2312" w:hAnsi="宋体" w:eastAsia="仿宋_GB2312" w:cs="仿宋_GB2312"/>
                <w:kern w:val="0"/>
                <w:sz w:val="28"/>
                <w:szCs w:val="28"/>
              </w:rPr>
              <w:t>3266.76</w:t>
            </w:r>
          </w:p>
        </w:tc>
        <w:tc>
          <w:tcPr>
            <w:tcW w:w="1819" w:type="dxa"/>
            <w:tcBorders>
              <w:top w:val="nil"/>
              <w:left w:val="single" w:color="000000" w:sz="8" w:space="0"/>
              <w:bottom w:val="single" w:color="000000" w:sz="8" w:space="0"/>
              <w:right w:val="single" w:color="000000" w:sz="8" w:space="0"/>
            </w:tcBorders>
            <w:shd w:val="clear" w:color="auto" w:fill="auto"/>
          </w:tcPr>
          <w:p>
            <w:pPr>
              <w:widowControl/>
              <w:spacing w:line="600" w:lineRule="exact"/>
              <w:jc w:val="center"/>
              <w:textAlignment w:val="top"/>
              <w:rPr>
                <w:rFonts w:ascii="仿宋_GB2312" w:hAnsi="宋体" w:eastAsia="仿宋_GB2312" w:cs="仿宋_GB2312"/>
                <w:sz w:val="28"/>
                <w:szCs w:val="28"/>
              </w:rPr>
            </w:pPr>
            <w:r>
              <w:rPr>
                <w:rFonts w:ascii="仿宋_GB2312" w:hAnsi="宋体" w:eastAsia="仿宋_GB2312" w:cs="仿宋_GB2312"/>
                <w:kern w:val="0"/>
                <w:sz w:val="28"/>
                <w:szCs w:val="28"/>
              </w:rPr>
              <w:t>729.36</w:t>
            </w:r>
          </w:p>
        </w:tc>
      </w:tr>
      <w:tr>
        <w:tblPrEx>
          <w:tblCellMar>
            <w:top w:w="0" w:type="dxa"/>
            <w:left w:w="108" w:type="dxa"/>
            <w:bottom w:w="0" w:type="dxa"/>
            <w:right w:w="108" w:type="dxa"/>
          </w:tblCellMar>
        </w:tblPrEx>
        <w:trPr>
          <w:trHeight w:val="483" w:hRule="atLeast"/>
        </w:trPr>
        <w:tc>
          <w:tcPr>
            <w:tcW w:w="4298" w:type="dxa"/>
            <w:tcBorders>
              <w:top w:val="nil"/>
              <w:left w:val="single" w:color="000000" w:sz="8" w:space="0"/>
              <w:bottom w:val="single" w:color="000000" w:sz="8" w:space="0"/>
              <w:right w:val="single" w:color="000000" w:sz="8" w:space="0"/>
            </w:tcBorders>
            <w:shd w:val="clear" w:color="auto" w:fill="auto"/>
          </w:tcPr>
          <w:p>
            <w:pPr>
              <w:widowControl/>
              <w:spacing w:line="600" w:lineRule="exact"/>
              <w:textAlignment w:val="top"/>
              <w:rPr>
                <w:rFonts w:ascii="仿宋_GB2312" w:hAnsi="宋体" w:eastAsia="仿宋_GB2312" w:cs="仿宋_GB2312"/>
                <w:sz w:val="28"/>
                <w:szCs w:val="28"/>
              </w:rPr>
            </w:pPr>
            <w:r>
              <w:rPr>
                <w:rFonts w:ascii="仿宋_GB2312" w:hAnsi="宋体" w:eastAsia="仿宋_GB2312" w:cs="仿宋_GB2312"/>
                <w:kern w:val="0"/>
                <w:sz w:val="28"/>
                <w:szCs w:val="28"/>
              </w:rPr>
              <w:t>总支出</w:t>
            </w:r>
            <w:r>
              <w:rPr>
                <w:rFonts w:hint="eastAsia" w:ascii="仿宋_GB2312" w:hAnsi="宋体" w:eastAsia="仿宋_GB2312" w:cs="仿宋_GB2312"/>
                <w:kern w:val="0"/>
                <w:sz w:val="28"/>
                <w:szCs w:val="28"/>
              </w:rPr>
              <w:t xml:space="preserve">      </w:t>
            </w:r>
          </w:p>
        </w:tc>
        <w:tc>
          <w:tcPr>
            <w:tcW w:w="2213" w:type="dxa"/>
            <w:tcBorders>
              <w:top w:val="nil"/>
              <w:left w:val="single" w:color="000000" w:sz="8" w:space="0"/>
              <w:bottom w:val="single" w:color="000000" w:sz="8" w:space="0"/>
              <w:right w:val="single" w:color="000000" w:sz="8" w:space="0"/>
            </w:tcBorders>
            <w:shd w:val="clear" w:color="auto" w:fill="auto"/>
          </w:tcPr>
          <w:p>
            <w:pPr>
              <w:widowControl/>
              <w:spacing w:line="600" w:lineRule="exact"/>
              <w:jc w:val="center"/>
              <w:textAlignment w:val="top"/>
              <w:rPr>
                <w:rFonts w:ascii="仿宋_GB2312" w:hAnsi="宋体" w:eastAsia="仿宋_GB2312" w:cs="仿宋_GB2312"/>
                <w:sz w:val="28"/>
                <w:szCs w:val="28"/>
              </w:rPr>
            </w:pPr>
            <w:r>
              <w:rPr>
                <w:rFonts w:ascii="仿宋_GB2312" w:hAnsi="宋体" w:eastAsia="仿宋_GB2312" w:cs="仿宋_GB2312"/>
                <w:kern w:val="0"/>
                <w:sz w:val="28"/>
                <w:szCs w:val="28"/>
              </w:rPr>
              <w:t>1704.01</w:t>
            </w:r>
          </w:p>
        </w:tc>
        <w:tc>
          <w:tcPr>
            <w:tcW w:w="1819" w:type="dxa"/>
            <w:tcBorders>
              <w:top w:val="nil"/>
              <w:left w:val="single" w:color="000000" w:sz="8" w:space="0"/>
              <w:bottom w:val="single" w:color="000000" w:sz="8" w:space="0"/>
              <w:right w:val="single" w:color="000000" w:sz="8" w:space="0"/>
            </w:tcBorders>
            <w:shd w:val="clear" w:color="auto" w:fill="auto"/>
          </w:tcPr>
          <w:p>
            <w:pPr>
              <w:widowControl/>
              <w:spacing w:line="600" w:lineRule="exact"/>
              <w:jc w:val="center"/>
              <w:textAlignment w:val="top"/>
              <w:rPr>
                <w:rFonts w:ascii="仿宋_GB2312" w:hAnsi="宋体" w:eastAsia="仿宋_GB2312" w:cs="仿宋_GB2312"/>
                <w:sz w:val="28"/>
                <w:szCs w:val="28"/>
              </w:rPr>
            </w:pPr>
            <w:r>
              <w:rPr>
                <w:rFonts w:ascii="仿宋_GB2312" w:hAnsi="宋体" w:eastAsia="仿宋_GB2312" w:cs="仿宋_GB2312"/>
                <w:kern w:val="0"/>
                <w:sz w:val="28"/>
                <w:szCs w:val="28"/>
              </w:rPr>
              <w:t>1934.36</w:t>
            </w:r>
          </w:p>
        </w:tc>
      </w:tr>
    </w:tbl>
    <w:p>
      <w:pPr>
        <w:pStyle w:val="26"/>
        <w:spacing w:line="600" w:lineRule="exact"/>
        <w:ind w:firstLine="0" w:firstLineChars="0"/>
        <w:outlineLvl w:val="1"/>
        <w:rPr>
          <w:rStyle w:val="21"/>
          <w:rFonts w:ascii="黑体" w:eastAsia="黑体"/>
          <w:b w:val="0"/>
        </w:rPr>
      </w:pPr>
    </w:p>
    <w:p>
      <w:pPr>
        <w:numPr>
          <w:ilvl w:val="0"/>
          <w:numId w:val="1"/>
        </w:numPr>
        <w:snapToGrid w:val="0"/>
        <w:spacing w:line="600" w:lineRule="exact"/>
        <w:ind w:left="0" w:firstLine="0"/>
        <w:rPr>
          <w:rFonts w:ascii="仿宋" w:eastAsia="仿宋"/>
          <w:sz w:val="32"/>
          <w:szCs w:val="32"/>
        </w:rPr>
      </w:pPr>
      <w:bookmarkStart w:id="26" w:name="_Toc15377206"/>
      <w:bookmarkStart w:id="27" w:name="_Toc15396604"/>
      <w:r>
        <w:rPr>
          <w:rFonts w:hint="eastAsia" w:ascii="黑体" w:eastAsia="黑体"/>
          <w:sz w:val="32"/>
          <w:szCs w:val="32"/>
        </w:rPr>
        <w:t>收入决</w:t>
      </w:r>
      <w:r>
        <w:rPr>
          <w:rStyle w:val="21"/>
          <w:rFonts w:hint="eastAsia" w:ascii="黑体" w:eastAsia="黑体"/>
          <w:b w:val="0"/>
        </w:rPr>
        <w:t>算情况说明</w:t>
      </w:r>
      <w:bookmarkEnd w:id="26"/>
      <w:bookmarkEnd w:id="27"/>
    </w:p>
    <w:p>
      <w:pPr>
        <w:snapToGrid w:val="0"/>
        <w:spacing w:line="600" w:lineRule="exact"/>
        <w:ind w:firstLine="640" w:firstLineChars="200"/>
        <w:rPr>
          <w:rFonts w:ascii="仿宋_GB2312" w:hAnsi="宋体" w:eastAsia="仿宋_GB2312"/>
          <w:sz w:val="32"/>
        </w:rPr>
      </w:pPr>
      <w:r>
        <w:rPr>
          <w:rFonts w:hint="eastAsia" w:ascii="仿宋_GB2312" w:hAnsi="宋体" w:eastAsia="仿宋_GB2312"/>
          <w:sz w:val="32"/>
        </w:rPr>
        <w:t>2020年总收入729.36万元，其中：一般公共预算财政拨款收入729.36万元，占100</w:t>
      </w:r>
      <w:r>
        <w:rPr>
          <w:rFonts w:ascii="仿宋_GB2312" w:hAnsi="宋体" w:eastAsia="仿宋_GB2312"/>
          <w:sz w:val="32"/>
        </w:rPr>
        <w:t>%</w:t>
      </w:r>
      <w:r>
        <w:rPr>
          <w:rFonts w:hint="eastAsia" w:ascii="仿宋_GB2312" w:hAnsi="宋体" w:eastAsia="仿宋_GB2312"/>
          <w:sz w:val="32"/>
        </w:rPr>
        <w:t>；政府性基金预算财政拨款收入0万元，占0</w:t>
      </w:r>
      <w:r>
        <w:rPr>
          <w:rFonts w:ascii="仿宋_GB2312" w:hAnsi="宋体" w:eastAsia="仿宋_GB2312"/>
          <w:sz w:val="32"/>
        </w:rPr>
        <w:t>%</w:t>
      </w:r>
      <w:r>
        <w:rPr>
          <w:rFonts w:hint="eastAsia" w:ascii="仿宋_GB2312" w:hAnsi="宋体" w:eastAsia="仿宋_GB2312"/>
          <w:sz w:val="32"/>
        </w:rPr>
        <w:t>；国有资本经营预算财政拨款收入0万元，占0</w:t>
      </w:r>
      <w:r>
        <w:rPr>
          <w:rFonts w:ascii="仿宋_GB2312" w:hAnsi="宋体" w:eastAsia="仿宋_GB2312"/>
          <w:sz w:val="32"/>
        </w:rPr>
        <w:t>%</w:t>
      </w:r>
      <w:r>
        <w:rPr>
          <w:rFonts w:hint="eastAsia" w:ascii="仿宋_GB2312" w:hAnsi="宋体" w:eastAsia="仿宋_GB2312"/>
          <w:sz w:val="32"/>
        </w:rPr>
        <w:t>；事业收入0万元，占0</w:t>
      </w:r>
      <w:r>
        <w:rPr>
          <w:rFonts w:ascii="仿宋_GB2312" w:hAnsi="宋体" w:eastAsia="仿宋_GB2312"/>
          <w:sz w:val="32"/>
        </w:rPr>
        <w:t>%</w:t>
      </w:r>
      <w:r>
        <w:rPr>
          <w:rFonts w:hint="eastAsia" w:ascii="仿宋_GB2312" w:hAnsi="宋体" w:eastAsia="仿宋_GB2312"/>
          <w:sz w:val="32"/>
        </w:rPr>
        <w:t>；经营收入0万元，占0</w:t>
      </w:r>
      <w:r>
        <w:rPr>
          <w:rFonts w:ascii="仿宋_GB2312" w:hAnsi="宋体" w:eastAsia="仿宋_GB2312"/>
          <w:sz w:val="32"/>
        </w:rPr>
        <w:t>%</w:t>
      </w:r>
      <w:r>
        <w:rPr>
          <w:rFonts w:hint="eastAsia" w:ascii="仿宋_GB2312" w:hAnsi="宋体" w:eastAsia="仿宋_GB2312"/>
          <w:sz w:val="32"/>
        </w:rPr>
        <w:t>；附属单位上缴收入0万元，占0</w:t>
      </w:r>
      <w:r>
        <w:rPr>
          <w:rFonts w:ascii="仿宋_GB2312" w:hAnsi="宋体" w:eastAsia="仿宋_GB2312"/>
          <w:sz w:val="32"/>
        </w:rPr>
        <w:t>%</w:t>
      </w:r>
      <w:r>
        <w:rPr>
          <w:rFonts w:hint="eastAsia" w:ascii="仿宋_GB2312" w:hAnsi="宋体" w:eastAsia="仿宋_GB2312"/>
          <w:sz w:val="32"/>
        </w:rPr>
        <w:t>；其他收入0万元，占0%</w:t>
      </w:r>
    </w:p>
    <w:p>
      <w:pPr>
        <w:snapToGrid w:val="0"/>
        <w:spacing w:line="600" w:lineRule="exact"/>
        <w:ind w:firstLine="640" w:firstLineChars="200"/>
        <w:rPr>
          <w:rFonts w:ascii="仿宋_GB2312" w:hAnsi="宋体" w:eastAsia="仿宋_GB2312"/>
          <w:sz w:val="32"/>
        </w:rPr>
      </w:pPr>
    </w:p>
    <w:p>
      <w:pPr>
        <w:snapToGrid w:val="0"/>
        <w:spacing w:line="600" w:lineRule="exact"/>
        <w:ind w:firstLine="420" w:firstLineChars="200"/>
        <w:rPr>
          <w:rFonts w:ascii="仿宋_GB2312" w:hAnsi="宋体" w:eastAsia="仿宋_GB2312"/>
          <w:sz w:val="32"/>
        </w:rPr>
      </w:pPr>
      <w:r>
        <w:drawing>
          <wp:anchor distT="0" distB="0" distL="114300" distR="114300" simplePos="0" relativeHeight="251661312" behindDoc="1" locked="0" layoutInCell="1" allowOverlap="1">
            <wp:simplePos x="0" y="0"/>
            <wp:positionH relativeFrom="column">
              <wp:posOffset>-47625</wp:posOffset>
            </wp:positionH>
            <wp:positionV relativeFrom="paragraph">
              <wp:posOffset>9525</wp:posOffset>
            </wp:positionV>
            <wp:extent cx="5343525" cy="3209925"/>
            <wp:effectExtent l="0" t="0" r="9525" b="9525"/>
            <wp:wrapNone/>
            <wp:docPr id="1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napToGrid w:val="0"/>
        <w:spacing w:line="600" w:lineRule="exact"/>
        <w:ind w:firstLine="640" w:firstLineChars="200"/>
        <w:rPr>
          <w:rFonts w:ascii="仿宋_GB2312" w:hAnsi="宋体" w:eastAsia="仿宋_GB2312"/>
          <w:sz w:val="32"/>
        </w:rPr>
      </w:pPr>
    </w:p>
    <w:p>
      <w:pPr>
        <w:snapToGrid w:val="0"/>
        <w:spacing w:line="600" w:lineRule="exact"/>
        <w:ind w:firstLine="640" w:firstLineChars="200"/>
        <w:rPr>
          <w:rFonts w:ascii="仿宋_GB2312" w:hAnsi="宋体" w:eastAsia="仿宋_GB2312"/>
          <w:sz w:val="32"/>
        </w:rPr>
      </w:pPr>
    </w:p>
    <w:p>
      <w:pPr>
        <w:snapToGrid w:val="0"/>
        <w:spacing w:line="600" w:lineRule="exact"/>
        <w:ind w:firstLine="640" w:firstLineChars="200"/>
        <w:rPr>
          <w:rFonts w:ascii="仿宋_GB2312" w:hAnsi="宋体" w:eastAsia="仿宋_GB2312"/>
          <w:sz w:val="32"/>
        </w:rPr>
      </w:pPr>
    </w:p>
    <w:p>
      <w:pPr>
        <w:snapToGrid w:val="0"/>
        <w:spacing w:line="600" w:lineRule="exact"/>
        <w:ind w:firstLine="640" w:firstLineChars="200"/>
        <w:rPr>
          <w:rFonts w:ascii="仿宋_GB2312" w:hAnsi="宋体" w:eastAsia="仿宋_GB2312"/>
          <w:sz w:val="32"/>
        </w:rPr>
      </w:pPr>
    </w:p>
    <w:p>
      <w:pPr>
        <w:snapToGrid w:val="0"/>
        <w:spacing w:line="600" w:lineRule="exact"/>
        <w:ind w:firstLine="640" w:firstLineChars="200"/>
        <w:rPr>
          <w:rFonts w:ascii="仿宋_GB2312" w:hAnsi="宋体" w:eastAsia="仿宋_GB2312"/>
          <w:sz w:val="32"/>
        </w:rPr>
      </w:pPr>
    </w:p>
    <w:p>
      <w:pPr>
        <w:snapToGrid w:val="0"/>
        <w:spacing w:line="600" w:lineRule="exact"/>
        <w:ind w:firstLine="640" w:firstLineChars="200"/>
        <w:rPr>
          <w:rFonts w:ascii="仿宋_GB2312" w:hAnsi="宋体" w:eastAsia="仿宋_GB2312"/>
          <w:sz w:val="32"/>
        </w:rPr>
      </w:pPr>
    </w:p>
    <w:p>
      <w:pPr>
        <w:snapToGrid w:val="0"/>
        <w:spacing w:line="600" w:lineRule="exact"/>
        <w:rPr>
          <w:rFonts w:ascii="仿宋_GB2312" w:hAnsi="宋体" w:eastAsia="仿宋_GB2312"/>
          <w:sz w:val="32"/>
        </w:rPr>
      </w:pPr>
    </w:p>
    <w:p>
      <w:pPr>
        <w:pStyle w:val="14"/>
        <w:ind w:firstLine="422"/>
        <w:rPr>
          <w:rFonts w:hint="default"/>
        </w:rPr>
      </w:pPr>
    </w:p>
    <w:p>
      <w:pPr>
        <w:numPr>
          <w:ilvl w:val="0"/>
          <w:numId w:val="1"/>
        </w:numPr>
        <w:spacing w:line="600" w:lineRule="exact"/>
        <w:ind w:left="0" w:firstLine="0"/>
        <w:outlineLvl w:val="1"/>
        <w:rPr>
          <w:rStyle w:val="21"/>
          <w:rFonts w:ascii="黑体" w:eastAsia="黑体"/>
          <w:b w:val="0"/>
        </w:rPr>
      </w:pPr>
      <w:bookmarkStart w:id="28" w:name="_Toc15377207"/>
      <w:bookmarkStart w:id="29" w:name="_Toc15396605"/>
      <w:r>
        <w:rPr>
          <w:rFonts w:hint="eastAsia" w:ascii="黑体" w:eastAsia="黑体"/>
          <w:sz w:val="32"/>
          <w:szCs w:val="32"/>
        </w:rPr>
        <w:t>支出决</w:t>
      </w:r>
      <w:r>
        <w:rPr>
          <w:rStyle w:val="21"/>
          <w:rFonts w:hint="eastAsia" w:ascii="黑体" w:eastAsia="黑体"/>
          <w:b w:val="0"/>
        </w:rPr>
        <w:t>算情况说明</w:t>
      </w:r>
      <w:bookmarkEnd w:id="28"/>
      <w:bookmarkEnd w:id="29"/>
    </w:p>
    <w:p>
      <w:pPr>
        <w:snapToGrid w:val="0"/>
        <w:spacing w:line="600" w:lineRule="exact"/>
        <w:ind w:firstLine="640" w:firstLineChars="200"/>
        <w:rPr>
          <w:rFonts w:ascii="仿宋_GB2312" w:hAnsi="宋体" w:eastAsia="仿宋_GB2312"/>
          <w:sz w:val="32"/>
        </w:rPr>
      </w:pPr>
      <w:r>
        <w:rPr>
          <w:rFonts w:hint="eastAsia" w:ascii="仿宋_GB2312" w:hAnsi="宋体" w:eastAsia="仿宋_GB2312"/>
          <w:sz w:val="32"/>
        </w:rPr>
        <w:t>2020年本年总支出1934.36万元，其中：其中基本支出376.10万元，占19.44%；项目支出1558.26万元。占80.56%；上缴上级支出0万元，占0%；经营支出0万元，占0</w:t>
      </w:r>
      <w:r>
        <w:rPr>
          <w:rFonts w:ascii="仿宋_GB2312" w:hAnsi="宋体" w:eastAsia="仿宋_GB2312"/>
          <w:sz w:val="32"/>
        </w:rPr>
        <w:t>%</w:t>
      </w:r>
      <w:r>
        <w:rPr>
          <w:rFonts w:hint="eastAsia" w:ascii="仿宋_GB2312" w:hAnsi="宋体" w:eastAsia="仿宋_GB2312"/>
          <w:sz w:val="32"/>
        </w:rPr>
        <w:t>；对附属单位补助支出0万元，占0</w:t>
      </w:r>
      <w:r>
        <w:rPr>
          <w:rFonts w:ascii="仿宋_GB2312" w:hAnsi="宋体" w:eastAsia="仿宋_GB2312"/>
          <w:sz w:val="32"/>
        </w:rPr>
        <w:t>%</w:t>
      </w:r>
      <w:r>
        <w:rPr>
          <w:rFonts w:hint="eastAsia" w:ascii="仿宋_GB2312" w:hAnsi="宋体" w:eastAsia="仿宋_GB2312"/>
          <w:sz w:val="32"/>
        </w:rPr>
        <w:t>。</w:t>
      </w:r>
    </w:p>
    <w:p>
      <w:pPr>
        <w:numPr>
          <w:ilvl w:val="0"/>
          <w:numId w:val="1"/>
        </w:numPr>
        <w:spacing w:line="600" w:lineRule="exact"/>
        <w:ind w:left="0" w:firstLine="0"/>
        <w:outlineLvl w:val="1"/>
        <w:rPr>
          <w:rStyle w:val="21"/>
          <w:rFonts w:ascii="黑体" w:eastAsia="黑体"/>
          <w:b w:val="0"/>
        </w:rPr>
      </w:pPr>
      <w:bookmarkStart w:id="30" w:name="_Toc15396606"/>
      <w:bookmarkStart w:id="31" w:name="_Toc15377208"/>
      <w:r>
        <w:rPr>
          <w:rFonts w:eastAsia="仿宋"/>
        </w:rPr>
        <w:drawing>
          <wp:anchor distT="0" distB="0" distL="114300" distR="114300" simplePos="0" relativeHeight="251659264" behindDoc="0" locked="0" layoutInCell="1" allowOverlap="1">
            <wp:simplePos x="0" y="0"/>
            <wp:positionH relativeFrom="column">
              <wp:posOffset>-9525</wp:posOffset>
            </wp:positionH>
            <wp:positionV relativeFrom="paragraph">
              <wp:posOffset>7620</wp:posOffset>
            </wp:positionV>
            <wp:extent cx="5286375" cy="2979420"/>
            <wp:effectExtent l="0" t="0" r="9525" b="0"/>
            <wp:wrapTopAndBottom/>
            <wp:docPr id="18" name="图片 1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6375" cy="2979420"/>
                    </a:xfrm>
                    <a:prstGeom prst="rect">
                      <a:avLst/>
                    </a:prstGeom>
                  </pic:spPr>
                </pic:pic>
              </a:graphicData>
            </a:graphic>
          </wp:anchor>
        </w:drawing>
      </w:r>
      <w:r>
        <w:rPr>
          <w:rFonts w:hint="eastAsia" w:ascii="黑体" w:eastAsia="黑体"/>
          <w:sz w:val="32"/>
          <w:szCs w:val="32"/>
        </w:rPr>
        <w:t>财</w:t>
      </w:r>
      <w:r>
        <w:rPr>
          <w:rStyle w:val="21"/>
          <w:rFonts w:hint="eastAsia" w:ascii="黑体" w:eastAsia="黑体"/>
          <w:b w:val="0"/>
        </w:rPr>
        <w:t>政拨款收入支出决算总体情况说明</w:t>
      </w:r>
      <w:bookmarkEnd w:id="30"/>
      <w:bookmarkEnd w:id="31"/>
    </w:p>
    <w:p>
      <w:pPr>
        <w:snapToGrid w:val="0"/>
        <w:spacing w:line="600" w:lineRule="exact"/>
        <w:ind w:firstLine="640" w:firstLineChars="200"/>
        <w:rPr>
          <w:rFonts w:ascii="仿宋" w:eastAsia="仿宋"/>
          <w:bCs/>
          <w:sz w:val="32"/>
          <w:szCs w:val="32"/>
        </w:rPr>
      </w:pPr>
      <w:r>
        <w:rPr>
          <w:rFonts w:hint="eastAsia" w:ascii="仿宋_GB2312" w:hAnsi="宋体" w:eastAsia="仿宋_GB2312"/>
          <w:sz w:val="32"/>
        </w:rPr>
        <w:t>2020年财政拨款收入729.36万元。与2019年相比一般公共预算财政拨款收入较上年减少2537.4万元，减少77.67%。主要原因是财政收回财返剩余资金。</w:t>
      </w:r>
    </w:p>
    <w:p>
      <w:pPr>
        <w:spacing w:line="600" w:lineRule="exact"/>
        <w:rPr>
          <w:rStyle w:val="21"/>
          <w:rFonts w:ascii="黑体" w:eastAsia="黑体"/>
          <w:b w:val="0"/>
        </w:rPr>
      </w:pPr>
      <w:bookmarkStart w:id="32" w:name="_Toc15377209"/>
      <w:bookmarkStart w:id="33" w:name="_Toc15396607"/>
      <w:r>
        <w:rPr>
          <w:rFonts w:hint="eastAsia" w:ascii="黑体" w:eastAsia="黑体"/>
          <w:sz w:val="32"/>
          <w:szCs w:val="32"/>
        </w:rPr>
        <w:t>五、</w:t>
      </w:r>
      <w:r>
        <w:rPr>
          <w:rFonts w:hint="eastAsia" w:ascii="黑体" w:eastAsia="黑体"/>
          <w:b/>
          <w:sz w:val="32"/>
          <w:szCs w:val="32"/>
        </w:rPr>
        <w:t>一</w:t>
      </w:r>
      <w:r>
        <w:rPr>
          <w:rStyle w:val="21"/>
          <w:rFonts w:hint="eastAsia" w:ascii="黑体" w:eastAsia="黑体"/>
          <w:b w:val="0"/>
        </w:rPr>
        <w:t>般公共预算财政拨款支出决算情况说明</w:t>
      </w:r>
      <w:bookmarkEnd w:id="32"/>
      <w:bookmarkEnd w:id="33"/>
    </w:p>
    <w:p>
      <w:pPr>
        <w:spacing w:line="600" w:lineRule="exact"/>
        <w:ind w:firstLine="482" w:firstLineChars="150"/>
        <w:outlineLvl w:val="2"/>
        <w:rPr>
          <w:rFonts w:ascii="仿宋" w:eastAsia="仿宋"/>
          <w:b/>
          <w:sz w:val="32"/>
          <w:szCs w:val="32"/>
        </w:rPr>
      </w:pPr>
      <w:bookmarkStart w:id="34" w:name="_Toc15377210"/>
      <w:r>
        <w:rPr>
          <w:rFonts w:hint="eastAsia" w:ascii="仿宋" w:eastAsia="仿宋"/>
          <w:b/>
          <w:sz w:val="32"/>
          <w:szCs w:val="32"/>
        </w:rPr>
        <w:t>（一）一般公共预算财政拨款支出决算总体情况</w:t>
      </w:r>
      <w:bookmarkEnd w:id="34"/>
    </w:p>
    <w:p>
      <w:pPr>
        <w:snapToGrid w:val="0"/>
        <w:spacing w:line="600" w:lineRule="exact"/>
        <w:ind w:firstLine="640" w:firstLineChars="200"/>
        <w:rPr>
          <w:rFonts w:ascii="仿宋_GB2312" w:hAnsi="宋体" w:eastAsia="仿宋_GB2312"/>
          <w:sz w:val="32"/>
        </w:rPr>
      </w:pPr>
      <w:r>
        <w:rPr>
          <w:rFonts w:hint="eastAsia" w:ascii="仿宋_GB2312" w:hAnsi="宋体" w:eastAsia="仿宋_GB2312"/>
          <w:sz w:val="32"/>
        </w:rPr>
        <w:t>2020年一般公共预算财政拨款支出1934.36万元，占本年总支出的100</w:t>
      </w:r>
      <w:r>
        <w:rPr>
          <w:rFonts w:ascii="仿宋_GB2312" w:hAnsi="宋体" w:eastAsia="仿宋_GB2312"/>
          <w:sz w:val="32"/>
        </w:rPr>
        <w:t>%</w:t>
      </w:r>
      <w:r>
        <w:rPr>
          <w:rFonts w:hint="eastAsia" w:ascii="仿宋_GB2312" w:hAnsi="宋体" w:eastAsia="仿宋_GB2312"/>
          <w:sz w:val="32"/>
        </w:rPr>
        <w:t>。与</w:t>
      </w:r>
      <w:r>
        <w:rPr>
          <w:rFonts w:ascii="仿宋_GB2312" w:hAnsi="宋体" w:eastAsia="仿宋_GB2312"/>
          <w:sz w:val="32"/>
        </w:rPr>
        <w:t>20</w:t>
      </w:r>
      <w:r>
        <w:rPr>
          <w:rFonts w:hint="eastAsia" w:ascii="仿宋_GB2312" w:hAnsi="宋体" w:eastAsia="仿宋_GB2312"/>
          <w:sz w:val="32"/>
        </w:rPr>
        <w:t>19年相比，一般公共预算财政拨款支出增加230.35万元，本年比上年增加13.52%。主要原因是：上年度城市工作成效明显，城市环境卫生，其他污染防治支出，城乡人居环境经费、垃圾无害化处理建设项目、垃圾收转运体系项目支出增加。</w:t>
      </w:r>
      <w:bookmarkStart w:id="35" w:name="_Toc15377211"/>
    </w:p>
    <w:p>
      <w:pPr>
        <w:snapToGrid w:val="0"/>
        <w:spacing w:line="600" w:lineRule="exact"/>
        <w:ind w:firstLine="482" w:firstLineChars="150"/>
        <w:rPr>
          <w:rFonts w:ascii="仿宋" w:eastAsia="仿宋"/>
          <w:b/>
          <w:sz w:val="32"/>
          <w:szCs w:val="32"/>
        </w:rPr>
      </w:pPr>
      <w:r>
        <w:rPr>
          <w:rFonts w:hint="eastAsia" w:ascii="仿宋" w:eastAsia="仿宋"/>
          <w:b/>
          <w:sz w:val="32"/>
          <w:szCs w:val="32"/>
        </w:rPr>
        <w:t>（二）一般公共预算财政拨款支出决算结构情况</w:t>
      </w:r>
      <w:bookmarkEnd w:id="35"/>
    </w:p>
    <w:p>
      <w:pPr>
        <w:spacing w:line="600" w:lineRule="exact"/>
        <w:ind w:firstLine="640" w:firstLineChars="200"/>
        <w:rPr>
          <w:rFonts w:ascii="仿宋" w:eastAsia="仿宋"/>
          <w:sz w:val="32"/>
          <w:szCs w:val="32"/>
        </w:rPr>
      </w:pPr>
      <w:r>
        <w:rPr>
          <w:rFonts w:hint="eastAsia" w:ascii="仿宋" w:eastAsia="仿宋"/>
          <w:sz w:val="32"/>
          <w:szCs w:val="32"/>
        </w:rPr>
        <w:t>2020年</w:t>
      </w:r>
      <w:r>
        <w:rPr>
          <w:rFonts w:hint="eastAsia" w:ascii="仿宋_GB2312" w:eastAsia="仿宋_GB2312"/>
          <w:spacing w:val="-2"/>
          <w:sz w:val="32"/>
          <w:szCs w:val="32"/>
        </w:rPr>
        <w:t>一般公共预算财政拨款支出</w:t>
      </w:r>
      <w:r>
        <w:rPr>
          <w:rFonts w:hint="eastAsia" w:ascii="仿宋_GB2312" w:eastAsia="仿宋_GB2312"/>
          <w:sz w:val="32"/>
        </w:rPr>
        <w:t>1934.36</w:t>
      </w:r>
      <w:r>
        <w:rPr>
          <w:rFonts w:hint="eastAsia" w:ascii="仿宋_GB2312" w:eastAsia="仿宋_GB2312"/>
          <w:spacing w:val="-2"/>
          <w:sz w:val="32"/>
          <w:szCs w:val="32"/>
        </w:rPr>
        <w:t>万元，</w:t>
      </w:r>
      <w:r>
        <w:rPr>
          <w:rFonts w:hint="eastAsia" w:ascii="仿宋" w:eastAsia="仿宋"/>
          <w:sz w:val="32"/>
          <w:szCs w:val="32"/>
        </w:rPr>
        <w:t>主要用于以下方面</w:t>
      </w:r>
      <w:r>
        <w:rPr>
          <w:rFonts w:ascii="仿宋" w:eastAsia="仿宋"/>
          <w:sz w:val="32"/>
          <w:szCs w:val="32"/>
        </w:rPr>
        <w:t>:</w:t>
      </w:r>
      <w:r>
        <w:rPr>
          <w:rFonts w:hint="eastAsia" w:ascii="仿宋" w:eastAsia="仿宋"/>
          <w:b/>
          <w:bCs/>
          <w:sz w:val="32"/>
          <w:szCs w:val="32"/>
        </w:rPr>
        <w:t>城乡社区支出</w:t>
      </w:r>
      <w:r>
        <w:rPr>
          <w:rFonts w:ascii="仿宋_GB2312" w:hAnsi="宋体" w:eastAsia="仿宋_GB2312" w:cs="仿宋_GB2312"/>
          <w:kern w:val="0"/>
          <w:sz w:val="28"/>
          <w:szCs w:val="28"/>
        </w:rPr>
        <w:t xml:space="preserve">1603.29 </w:t>
      </w:r>
      <w:r>
        <w:rPr>
          <w:rFonts w:hint="eastAsia" w:ascii="仿宋" w:eastAsia="仿宋"/>
          <w:sz w:val="32"/>
          <w:szCs w:val="32"/>
        </w:rPr>
        <w:t>万元，占82.88</w:t>
      </w:r>
      <w:r>
        <w:rPr>
          <w:rFonts w:ascii="仿宋" w:eastAsia="仿宋"/>
          <w:sz w:val="32"/>
          <w:szCs w:val="32"/>
        </w:rPr>
        <w:t>%</w:t>
      </w:r>
      <w:r>
        <w:rPr>
          <w:rFonts w:hint="eastAsia" w:ascii="仿宋" w:eastAsia="仿宋"/>
          <w:b/>
          <w:bCs/>
          <w:sz w:val="32"/>
          <w:szCs w:val="32"/>
        </w:rPr>
        <w:t>；节能环保支出</w:t>
      </w:r>
      <w:r>
        <w:rPr>
          <w:rFonts w:ascii="仿宋" w:eastAsia="仿宋"/>
          <w:b/>
          <w:bCs/>
          <w:sz w:val="32"/>
          <w:szCs w:val="32"/>
        </w:rPr>
        <w:t xml:space="preserve">236.22 </w:t>
      </w:r>
      <w:r>
        <w:rPr>
          <w:rFonts w:hint="eastAsia" w:ascii="仿宋" w:eastAsia="仿宋"/>
          <w:b/>
          <w:bCs/>
          <w:sz w:val="32"/>
          <w:szCs w:val="32"/>
        </w:rPr>
        <w:t>万元，</w:t>
      </w:r>
      <w:r>
        <w:rPr>
          <w:rFonts w:hint="eastAsia" w:ascii="仿宋" w:eastAsia="仿宋"/>
          <w:sz w:val="32"/>
          <w:szCs w:val="32"/>
        </w:rPr>
        <w:t>占12.21</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支出44.80万元，占2.32</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rPr>
        <w:t>19.97万元，占1.03</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住房保障支出</w:t>
      </w:r>
      <w:r>
        <w:rPr>
          <w:rFonts w:hint="eastAsia" w:ascii="仿宋" w:eastAsia="仿宋"/>
          <w:sz w:val="32"/>
          <w:szCs w:val="32"/>
        </w:rPr>
        <w:t>30.08万元，占1.56</w:t>
      </w:r>
      <w:r>
        <w:rPr>
          <w:rFonts w:ascii="仿宋" w:eastAsia="仿宋"/>
          <w:sz w:val="32"/>
          <w:szCs w:val="32"/>
        </w:rPr>
        <w:t>%</w:t>
      </w:r>
      <w:r>
        <w:rPr>
          <w:rFonts w:hint="eastAsia" w:ascii="仿宋" w:eastAsia="仿宋"/>
          <w:sz w:val="32"/>
          <w:szCs w:val="32"/>
        </w:rPr>
        <w:t>。</w:t>
      </w:r>
    </w:p>
    <w:tbl>
      <w:tblPr>
        <w:tblStyle w:val="15"/>
        <w:tblW w:w="9036" w:type="dxa"/>
        <w:tblInd w:w="-351" w:type="dxa"/>
        <w:tblLayout w:type="fixed"/>
        <w:tblCellMar>
          <w:top w:w="0" w:type="dxa"/>
          <w:left w:w="108" w:type="dxa"/>
          <w:bottom w:w="0" w:type="dxa"/>
          <w:right w:w="108" w:type="dxa"/>
        </w:tblCellMar>
      </w:tblPr>
      <w:tblGrid>
        <w:gridCol w:w="2933"/>
        <w:gridCol w:w="3079"/>
        <w:gridCol w:w="10"/>
        <w:gridCol w:w="3014"/>
      </w:tblGrid>
      <w:tr>
        <w:tblPrEx>
          <w:tblCellMar>
            <w:top w:w="0" w:type="dxa"/>
            <w:left w:w="108" w:type="dxa"/>
            <w:bottom w:w="0" w:type="dxa"/>
            <w:right w:w="108" w:type="dxa"/>
          </w:tblCellMar>
        </w:tblPrEx>
        <w:trPr>
          <w:trHeight w:val="115" w:hRule="atLeast"/>
        </w:trPr>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名称</w:t>
            </w:r>
          </w:p>
        </w:tc>
        <w:tc>
          <w:tcPr>
            <w:tcW w:w="3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单位（万元）</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百分比</w:t>
            </w:r>
          </w:p>
        </w:tc>
      </w:tr>
      <w:tr>
        <w:tblPrEx>
          <w:tblCellMar>
            <w:top w:w="0" w:type="dxa"/>
            <w:left w:w="108" w:type="dxa"/>
            <w:bottom w:w="0" w:type="dxa"/>
            <w:right w:w="108" w:type="dxa"/>
          </w:tblCellMar>
        </w:tblPrEx>
        <w:trPr>
          <w:trHeight w:val="16" w:hRule="atLeast"/>
        </w:trPr>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城乡社区支出</w:t>
            </w:r>
          </w:p>
        </w:tc>
        <w:tc>
          <w:tcPr>
            <w:tcW w:w="3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 xml:space="preserve">1603.29 </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82.88%</w:t>
            </w:r>
          </w:p>
        </w:tc>
      </w:tr>
      <w:tr>
        <w:tblPrEx>
          <w:tblCellMar>
            <w:top w:w="0" w:type="dxa"/>
            <w:left w:w="108" w:type="dxa"/>
            <w:bottom w:w="0" w:type="dxa"/>
            <w:right w:w="108" w:type="dxa"/>
          </w:tblCellMar>
        </w:tblPrEx>
        <w:trPr>
          <w:trHeight w:val="17" w:hRule="atLeast"/>
        </w:trPr>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社会保障和就业类</w:t>
            </w:r>
          </w:p>
        </w:tc>
        <w:tc>
          <w:tcPr>
            <w:tcW w:w="3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 xml:space="preserve">44.80 </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2.32%</w:t>
            </w:r>
          </w:p>
        </w:tc>
      </w:tr>
      <w:tr>
        <w:tblPrEx>
          <w:tblCellMar>
            <w:top w:w="0" w:type="dxa"/>
            <w:left w:w="108" w:type="dxa"/>
            <w:bottom w:w="0" w:type="dxa"/>
            <w:right w:w="108" w:type="dxa"/>
          </w:tblCellMar>
        </w:tblPrEx>
        <w:trPr>
          <w:trHeight w:val="17" w:hRule="atLeast"/>
        </w:trPr>
        <w:tc>
          <w:tcPr>
            <w:tcW w:w="2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卫生健康支出</w:t>
            </w:r>
          </w:p>
        </w:tc>
        <w:tc>
          <w:tcPr>
            <w:tcW w:w="30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 xml:space="preserve">19.97 </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1.03%</w:t>
            </w:r>
          </w:p>
        </w:tc>
      </w:tr>
      <w:tr>
        <w:tblPrEx>
          <w:tblCellMar>
            <w:top w:w="0" w:type="dxa"/>
            <w:left w:w="108" w:type="dxa"/>
            <w:bottom w:w="0" w:type="dxa"/>
            <w:right w:w="108" w:type="dxa"/>
          </w:tblCellMar>
        </w:tblPrEx>
        <w:trPr>
          <w:trHeight w:val="16" w:hRule="atLeast"/>
        </w:trPr>
        <w:tc>
          <w:tcPr>
            <w:tcW w:w="2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住房保障支出</w:t>
            </w:r>
          </w:p>
        </w:tc>
        <w:tc>
          <w:tcPr>
            <w:tcW w:w="30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 xml:space="preserve">30.08 </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1.56%</w:t>
            </w:r>
          </w:p>
        </w:tc>
      </w:tr>
      <w:tr>
        <w:tblPrEx>
          <w:tblCellMar>
            <w:top w:w="0" w:type="dxa"/>
            <w:left w:w="108" w:type="dxa"/>
            <w:bottom w:w="0" w:type="dxa"/>
            <w:right w:w="108" w:type="dxa"/>
          </w:tblCellMar>
        </w:tblPrEx>
        <w:trPr>
          <w:trHeight w:val="59" w:hRule="atLeast"/>
        </w:trPr>
        <w:tc>
          <w:tcPr>
            <w:tcW w:w="2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节能环保支出</w:t>
            </w:r>
          </w:p>
        </w:tc>
        <w:tc>
          <w:tcPr>
            <w:tcW w:w="30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ascii="仿宋_GB2312" w:hAnsi="宋体" w:eastAsia="仿宋_GB2312" w:cs="仿宋_GB2312"/>
                <w:sz w:val="28"/>
                <w:szCs w:val="28"/>
              </w:rPr>
            </w:pPr>
            <w:r>
              <w:rPr>
                <w:rFonts w:ascii="仿宋_GB2312" w:hAnsi="宋体" w:eastAsia="仿宋_GB2312" w:cs="仿宋_GB2312"/>
                <w:kern w:val="0"/>
                <w:sz w:val="28"/>
                <w:szCs w:val="28"/>
              </w:rPr>
              <w:t xml:space="preserve">236.22 </w:t>
            </w:r>
          </w:p>
        </w:tc>
        <w:tc>
          <w:tcPr>
            <w:tcW w:w="30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600" w:lineRule="exact"/>
              <w:jc w:val="center"/>
              <w:textAlignment w:val="center"/>
              <w:rPr>
                <w:rFonts w:ascii="宋体" w:hAnsi="宋体" w:cs="宋体"/>
                <w:sz w:val="22"/>
                <w:szCs w:val="22"/>
              </w:rPr>
            </w:pPr>
            <w:r>
              <w:rPr>
                <w:rFonts w:hint="eastAsia" w:ascii="宋体" w:hAnsi="宋体" w:cs="宋体"/>
                <w:kern w:val="0"/>
                <w:sz w:val="22"/>
                <w:szCs w:val="22"/>
              </w:rPr>
              <w:t>12.21%</w:t>
            </w:r>
          </w:p>
        </w:tc>
      </w:tr>
    </w:tbl>
    <w:p>
      <w:pPr>
        <w:spacing w:line="600" w:lineRule="exact"/>
        <w:rPr>
          <w:rStyle w:val="21"/>
          <w:rFonts w:ascii="仿宋" w:hAnsi="Times New Roman" w:eastAsia="仿宋"/>
          <w:b w:val="0"/>
          <w:bCs w:val="0"/>
        </w:rPr>
      </w:pPr>
      <w:bookmarkStart w:id="36" w:name="_Toc15377213"/>
      <w:bookmarkStart w:id="37" w:name="_Toc15378460"/>
      <w:bookmarkStart w:id="38" w:name="_Toc15377444"/>
      <w:r>
        <w:rPr>
          <w:rFonts w:hint="eastAsia" w:ascii="仿宋" w:eastAsia="仿宋"/>
          <w:b/>
          <w:sz w:val="32"/>
          <w:szCs w:val="32"/>
        </w:rPr>
        <w:drawing>
          <wp:anchor distT="0" distB="0" distL="114300" distR="114300" simplePos="0" relativeHeight="251662336" behindDoc="0" locked="0" layoutInCell="1" allowOverlap="1">
            <wp:simplePos x="0" y="0"/>
            <wp:positionH relativeFrom="column">
              <wp:posOffset>494030</wp:posOffset>
            </wp:positionH>
            <wp:positionV relativeFrom="paragraph">
              <wp:posOffset>377825</wp:posOffset>
            </wp:positionV>
            <wp:extent cx="4664710" cy="2805430"/>
            <wp:effectExtent l="0" t="0" r="2540" b="0"/>
            <wp:wrapTopAndBottom/>
            <wp:docPr id="20" name="图片 20"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4710" cy="2805430"/>
                    </a:xfrm>
                    <a:prstGeom prst="rect">
                      <a:avLst/>
                    </a:prstGeom>
                  </pic:spPr>
                </pic:pic>
              </a:graphicData>
            </a:graphic>
          </wp:anchor>
        </w:drawing>
      </w:r>
      <w:bookmarkEnd w:id="36"/>
      <w:bookmarkEnd w:id="37"/>
      <w:bookmarkEnd w:id="38"/>
      <w:bookmarkStart w:id="39" w:name="_Toc15377214"/>
      <w:bookmarkStart w:id="40" w:name="_Toc15396608"/>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bookmarkEnd w:id="39"/>
      <w:bookmarkEnd w:id="40"/>
    </w:p>
    <w:p>
      <w:pPr>
        <w:spacing w:line="600" w:lineRule="exact"/>
        <w:ind w:firstLine="646"/>
        <w:rPr>
          <w:rFonts w:ascii="仿宋" w:eastAsia="仿宋"/>
          <w:sz w:val="32"/>
          <w:szCs w:val="32"/>
        </w:rPr>
      </w:pPr>
      <w:r>
        <w:rPr>
          <w:rFonts w:ascii="仿宋" w:eastAsia="仿宋"/>
          <w:sz w:val="32"/>
          <w:szCs w:val="32"/>
        </w:rPr>
        <w:t>201</w:t>
      </w:r>
      <w:r>
        <w:rPr>
          <w:rFonts w:hint="eastAsia" w:ascii="仿宋" w:eastAsia="仿宋"/>
          <w:sz w:val="32"/>
          <w:szCs w:val="32"/>
        </w:rPr>
        <w:t>9年一般公共预算财政拨款基本支出</w:t>
      </w:r>
      <w:r>
        <w:rPr>
          <w:rFonts w:hint="eastAsia" w:ascii="仿宋_GB2312" w:eastAsia="仿宋_GB2312"/>
          <w:sz w:val="32"/>
        </w:rPr>
        <w:t>376.1</w:t>
      </w:r>
      <w:r>
        <w:rPr>
          <w:rFonts w:hint="eastAsia" w:ascii="仿宋" w:eastAsia="仿宋"/>
          <w:sz w:val="32"/>
          <w:szCs w:val="32"/>
        </w:rPr>
        <w:t>万元，其中：</w:t>
      </w:r>
    </w:p>
    <w:p>
      <w:pPr>
        <w:spacing w:line="600" w:lineRule="exact"/>
        <w:ind w:firstLine="646"/>
        <w:rPr>
          <w:rFonts w:ascii="仿宋" w:eastAsia="仿宋"/>
          <w:sz w:val="32"/>
          <w:szCs w:val="32"/>
        </w:rPr>
      </w:pPr>
      <w:r>
        <w:rPr>
          <w:rFonts w:hint="eastAsia" w:ascii="仿宋" w:eastAsia="仿宋"/>
          <w:sz w:val="32"/>
          <w:szCs w:val="32"/>
        </w:rPr>
        <w:t>人员经费355.54万元，主要包括：基本工资82.36万元、津贴补贴79.64万元、奖金5.5万元、伙食补助费0万元、绩效工资32.22机关事业单位基本养老保险缴费29.11万元、职业年金缴费15.69万元、职工基本医疗保险缴费13.95万元、公务员医疗补助缴费2.39万元、其他社会保障缴费5.75万元、其他工资福利支出0万元、住房公积金30.08万元、奖励金59.03万元等。</w:t>
      </w:r>
    </w:p>
    <w:p>
      <w:pPr>
        <w:spacing w:line="600" w:lineRule="exact"/>
        <w:ind w:firstLine="646"/>
        <w:rPr>
          <w:rFonts w:ascii="仿宋" w:eastAsia="仿宋"/>
          <w:sz w:val="32"/>
          <w:szCs w:val="32"/>
        </w:rPr>
      </w:pPr>
      <w:r>
        <w:rPr>
          <w:rFonts w:hint="eastAsia" w:ascii="仿宋" w:eastAsia="仿宋"/>
          <w:sz w:val="32"/>
          <w:szCs w:val="32"/>
        </w:rPr>
        <w:t>公用经费20.57万元，主要包括：办公费11.80万元、电费0.05万元、邮电费3.24万元、取暖费0.05万元，差旅费5.43万元等。</w:t>
      </w:r>
    </w:p>
    <w:p>
      <w:pPr>
        <w:spacing w:line="600" w:lineRule="exact"/>
        <w:ind w:firstLine="646"/>
        <w:rPr>
          <w:rFonts w:ascii="仿宋" w:eastAsia="仿宋"/>
          <w:sz w:val="32"/>
          <w:szCs w:val="32"/>
        </w:rPr>
      </w:pPr>
      <w:r>
        <w:rPr>
          <w:rFonts w:hint="eastAsia" w:ascii="仿宋" w:eastAsia="仿宋"/>
          <w:b/>
          <w:sz w:val="32"/>
          <w:szCs w:val="32"/>
        </w:rPr>
        <w:drawing>
          <wp:anchor distT="0" distB="0" distL="114300" distR="114300" simplePos="0" relativeHeight="251660288" behindDoc="0" locked="0" layoutInCell="1" allowOverlap="1">
            <wp:simplePos x="0" y="0"/>
            <wp:positionH relativeFrom="column">
              <wp:posOffset>515620</wp:posOffset>
            </wp:positionH>
            <wp:positionV relativeFrom="paragraph">
              <wp:posOffset>2400935</wp:posOffset>
            </wp:positionV>
            <wp:extent cx="4580890" cy="2525395"/>
            <wp:effectExtent l="0" t="0" r="0" b="8255"/>
            <wp:wrapTopAndBottom/>
            <wp:docPr id="16" name="图片 1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80890" cy="2525395"/>
                    </a:xfrm>
                    <a:prstGeom prst="rect">
                      <a:avLst/>
                    </a:prstGeom>
                  </pic:spPr>
                </pic:pic>
              </a:graphicData>
            </a:graphic>
          </wp:anchor>
        </w:drawing>
      </w:r>
      <w:r>
        <w:rPr>
          <w:rFonts w:hint="eastAsia" w:ascii="仿宋" w:eastAsia="仿宋"/>
          <w:sz w:val="32"/>
          <w:szCs w:val="32"/>
        </w:rPr>
        <w:t>项目支出1558.26万元，主要包括：水费1.48万元、电费28.43万元、维修（护）费36.74万元、租赁费86.85万元、专用材料费80.14万元、专用燃料费26.61万元、劳务费75.76万元、委托业务费0万元，其他交通费用6.58万元、房屋建筑构建0万元，专用设备购置0万元、基础设施建设1070.76万元、生活补助144.91万元。</w:t>
      </w:r>
    </w:p>
    <w:p>
      <w:pPr>
        <w:spacing w:line="600" w:lineRule="exact"/>
        <w:outlineLvl w:val="1"/>
        <w:rPr>
          <w:rStyle w:val="21"/>
          <w:rFonts w:ascii="黑体" w:eastAsia="黑体"/>
          <w:b w:val="0"/>
        </w:rPr>
      </w:pPr>
      <w:bookmarkStart w:id="41" w:name="_Toc15396609"/>
      <w:bookmarkStart w:id="42" w:name="_Toc15377215"/>
      <w:r>
        <w:rPr>
          <w:rFonts w:hint="eastAsia" w:ascii="黑体" w:eastAsia="黑体"/>
          <w:sz w:val="32"/>
          <w:szCs w:val="32"/>
        </w:rPr>
        <w:t>七、</w:t>
      </w:r>
      <w:r>
        <w:rPr>
          <w:rStyle w:val="21"/>
          <w:rFonts w:hint="eastAsia" w:ascii="黑体" w:eastAsia="黑体"/>
        </w:rPr>
        <w:t>“</w:t>
      </w:r>
      <w:r>
        <w:rPr>
          <w:rStyle w:val="21"/>
          <w:rFonts w:hint="eastAsia" w:ascii="黑体" w:eastAsia="黑体"/>
          <w:b w:val="0"/>
        </w:rPr>
        <w:t>三公”经费财政拨款支出决算情况说明</w:t>
      </w:r>
      <w:bookmarkEnd w:id="41"/>
      <w:bookmarkEnd w:id="42"/>
    </w:p>
    <w:p>
      <w:pPr>
        <w:snapToGrid w:val="0"/>
        <w:spacing w:line="600" w:lineRule="exact"/>
        <w:ind w:firstLine="560" w:firstLineChars="200"/>
        <w:jc w:val="distribute"/>
        <w:rPr>
          <w:rFonts w:ascii="仿宋_GB2312" w:hAnsi="仿宋" w:eastAsia="仿宋_GB2312"/>
          <w:spacing w:val="-20"/>
          <w:sz w:val="32"/>
          <w:szCs w:val="32"/>
        </w:rPr>
      </w:pPr>
      <w:bookmarkStart w:id="43" w:name="_Toc15377218"/>
      <w:bookmarkStart w:id="44" w:name="_Toc15396610"/>
      <w:r>
        <w:rPr>
          <w:rFonts w:hint="eastAsia" w:ascii="仿宋_GB2312" w:hAnsi="仿宋" w:eastAsia="仿宋_GB2312"/>
          <w:spacing w:val="-20"/>
          <w:sz w:val="32"/>
          <w:szCs w:val="32"/>
        </w:rPr>
        <w:t>三公</w:t>
      </w:r>
      <w:r>
        <w:rPr>
          <w:rFonts w:hint="eastAsia" w:ascii="仿宋_GB2312" w:hAnsi="仿宋" w:eastAsia="仿宋_GB2312"/>
          <w:b/>
          <w:spacing w:val="-20"/>
          <w:sz w:val="32"/>
          <w:szCs w:val="32"/>
        </w:rPr>
        <w:t>”</w:t>
      </w:r>
      <w:r>
        <w:rPr>
          <w:rFonts w:hint="eastAsia" w:ascii="仿宋_GB2312" w:hAnsi="仿宋" w:eastAsia="仿宋_GB2312"/>
          <w:spacing w:val="-20"/>
          <w:sz w:val="32"/>
          <w:szCs w:val="32"/>
        </w:rPr>
        <w:t>经费本年度支出0万元，上年度支出0万元；</w:t>
      </w:r>
    </w:p>
    <w:p>
      <w:pPr>
        <w:snapToGrid w:val="0"/>
        <w:spacing w:line="600" w:lineRule="exact"/>
        <w:rPr>
          <w:rFonts w:ascii="仿宋_GB2312" w:hAnsi="仿宋" w:eastAsia="仿宋_GB2312"/>
          <w:sz w:val="32"/>
          <w:szCs w:val="32"/>
        </w:rPr>
      </w:pPr>
      <w:r>
        <w:rPr>
          <w:rFonts w:hint="eastAsia" w:ascii="仿宋_GB2312" w:hAnsi="仿宋" w:eastAsia="仿宋_GB2312"/>
          <w:sz w:val="32"/>
          <w:szCs w:val="32"/>
        </w:rPr>
        <w:t>本单位无会议费支出，本单位无培训费支出。无其他对部门影响较大的支出情况。无重点经济分类支出中存在的问题及改进措施。本单位本年度无年末结转结余。</w:t>
      </w:r>
    </w:p>
    <w:p>
      <w:pPr>
        <w:spacing w:line="600" w:lineRule="exact"/>
        <w:outlineLvl w:val="1"/>
        <w:rPr>
          <w:rStyle w:val="21"/>
          <w:rFonts w:ascii="黑体" w:eastAsia="黑体"/>
        </w:rPr>
      </w:pPr>
      <w:r>
        <w:rPr>
          <w:rFonts w:hint="eastAsia" w:ascii="黑体" w:eastAsia="黑体"/>
          <w:sz w:val="32"/>
          <w:szCs w:val="32"/>
        </w:rPr>
        <w:t>八、</w:t>
      </w:r>
      <w:r>
        <w:rPr>
          <w:rStyle w:val="21"/>
          <w:rFonts w:hint="eastAsia" w:ascii="黑体" w:eastAsia="黑体"/>
          <w:b w:val="0"/>
        </w:rPr>
        <w:t>政府性基金预算支出决算情况说明</w:t>
      </w:r>
      <w:bookmarkEnd w:id="43"/>
      <w:bookmarkEnd w:id="44"/>
    </w:p>
    <w:p>
      <w:pPr>
        <w:spacing w:line="600" w:lineRule="exact"/>
        <w:ind w:firstLine="200"/>
        <w:rPr>
          <w:rFonts w:ascii="仿宋_GB2312" w:eastAsia="仿宋_GB2312"/>
          <w:sz w:val="32"/>
          <w:szCs w:val="32"/>
        </w:rPr>
      </w:pPr>
      <w:r>
        <w:rPr>
          <w:rFonts w:hint="eastAsia" w:ascii="仿宋_GB2312" w:eastAsia="仿宋_GB2312"/>
          <w:sz w:val="32"/>
          <w:szCs w:val="32"/>
        </w:rPr>
        <w:t>2020年政府性基金预算拨款支出0万元。</w:t>
      </w:r>
    </w:p>
    <w:p>
      <w:pPr>
        <w:tabs>
          <w:tab w:val="left" w:pos="0"/>
        </w:tabs>
        <w:spacing w:line="600" w:lineRule="exact"/>
        <w:jc w:val="left"/>
        <w:outlineLvl w:val="1"/>
        <w:rPr>
          <w:rStyle w:val="21"/>
          <w:rFonts w:ascii="黑体" w:eastAsia="黑体"/>
          <w:b w:val="0"/>
        </w:rPr>
      </w:pPr>
      <w:bookmarkStart w:id="45" w:name="_Toc15377219"/>
      <w:bookmarkStart w:id="46" w:name="_Toc15396611"/>
      <w:r>
        <w:rPr>
          <w:rFonts w:hint="eastAsia" w:ascii="黑体" w:eastAsia="黑体"/>
          <w:sz w:val="32"/>
          <w:szCs w:val="32"/>
        </w:rPr>
        <w:t>九、</w:t>
      </w:r>
      <w:r>
        <w:rPr>
          <w:rStyle w:val="21"/>
          <w:rFonts w:hint="eastAsia" w:ascii="黑体" w:eastAsia="黑体"/>
          <w:b w:val="0"/>
        </w:rPr>
        <w:t>国有资本经营预算支出决算情况说明</w:t>
      </w:r>
      <w:bookmarkEnd w:id="45"/>
      <w:bookmarkEnd w:id="46"/>
    </w:p>
    <w:p>
      <w:pPr>
        <w:spacing w:line="600" w:lineRule="exact"/>
        <w:ind w:firstLine="200"/>
      </w:pPr>
      <w:r>
        <w:rPr>
          <w:rFonts w:hint="eastAsia" w:ascii="仿宋_GB2312" w:eastAsia="仿宋_GB2312"/>
          <w:sz w:val="32"/>
          <w:szCs w:val="32"/>
        </w:rPr>
        <w:t>2020年国有资本经营预算拨款支出0万元。</w:t>
      </w:r>
    </w:p>
    <w:p>
      <w:pPr>
        <w:spacing w:line="600" w:lineRule="exact"/>
        <w:rPr>
          <w:rStyle w:val="21"/>
          <w:rFonts w:ascii="黑体" w:eastAsia="黑体"/>
          <w:b w:val="0"/>
        </w:rPr>
      </w:pPr>
      <w:r>
        <w:rPr>
          <w:rFonts w:hint="eastAsia" w:ascii="黑体" w:eastAsia="黑体"/>
          <w:sz w:val="32"/>
          <w:szCs w:val="32"/>
        </w:rPr>
        <w:t>十、</w:t>
      </w:r>
      <w:r>
        <w:rPr>
          <w:rStyle w:val="21"/>
          <w:rFonts w:hint="eastAsia" w:ascii="黑体" w:eastAsia="黑体"/>
          <w:b w:val="0"/>
        </w:rPr>
        <w:t>预算绩效情况说明</w:t>
      </w:r>
    </w:p>
    <w:p>
      <w:pPr>
        <w:spacing w:line="600" w:lineRule="exact"/>
        <w:ind w:firstLine="200"/>
      </w:pPr>
      <w:r>
        <w:rPr>
          <w:rFonts w:hint="eastAsia" w:ascii="仿宋_GB2312" w:eastAsia="仿宋_GB2312"/>
          <w:sz w:val="32"/>
          <w:szCs w:val="32"/>
        </w:rPr>
        <w:t>2020年我单位无年初预算项目。</w:t>
      </w:r>
    </w:p>
    <w:p>
      <w:pPr>
        <w:spacing w:line="600" w:lineRule="exact"/>
        <w:outlineLvl w:val="1"/>
        <w:rPr>
          <w:rStyle w:val="21"/>
          <w:rFonts w:ascii="黑体" w:eastAsia="黑体"/>
        </w:rPr>
      </w:pPr>
      <w:bookmarkStart w:id="47" w:name="_Toc15377221"/>
      <w:bookmarkStart w:id="48" w:name="_Toc15396612"/>
      <w:r>
        <w:rPr>
          <w:rFonts w:hint="eastAsia" w:ascii="黑体" w:eastAsia="黑体"/>
          <w:sz w:val="32"/>
          <w:szCs w:val="32"/>
        </w:rPr>
        <w:t>十</w:t>
      </w:r>
      <w:r>
        <w:rPr>
          <w:rStyle w:val="21"/>
          <w:rFonts w:hint="eastAsia" w:ascii="黑体" w:eastAsia="黑体"/>
        </w:rPr>
        <w:t>一、</w:t>
      </w:r>
      <w:r>
        <w:rPr>
          <w:rStyle w:val="21"/>
          <w:rFonts w:hint="eastAsia" w:ascii="黑体" w:eastAsia="黑体"/>
          <w:b w:val="0"/>
        </w:rPr>
        <w:t>其他重要事项的情况说明</w:t>
      </w:r>
      <w:bookmarkEnd w:id="47"/>
      <w:bookmarkEnd w:id="48"/>
    </w:p>
    <w:p>
      <w:pPr>
        <w:spacing w:line="600" w:lineRule="exact"/>
        <w:ind w:firstLine="643" w:firstLineChars="200"/>
        <w:outlineLvl w:val="2"/>
        <w:rPr>
          <w:rFonts w:ascii="仿宋" w:eastAsia="仿宋"/>
          <w:sz w:val="32"/>
          <w:szCs w:val="32"/>
        </w:rPr>
      </w:pPr>
      <w:bookmarkStart w:id="49" w:name="_Toc15377222"/>
      <w:r>
        <w:rPr>
          <w:rFonts w:hint="eastAsia" w:ascii="仿宋" w:eastAsia="仿宋"/>
          <w:b/>
          <w:sz w:val="32"/>
          <w:szCs w:val="32"/>
        </w:rPr>
        <w:t>（一）机关运行经费支出情况</w:t>
      </w:r>
      <w:bookmarkEnd w:id="49"/>
    </w:p>
    <w:p>
      <w:pPr>
        <w:snapToGrid w:val="0"/>
        <w:spacing w:line="600" w:lineRule="exact"/>
        <w:ind w:firstLine="640" w:firstLineChars="200"/>
        <w:rPr>
          <w:rFonts w:ascii="仿宋_GB2312" w:eastAsia="仿宋_GB2312"/>
          <w:sz w:val="32"/>
        </w:rPr>
      </w:pPr>
      <w:r>
        <w:rPr>
          <w:rFonts w:hint="eastAsia" w:ascii="仿宋_GB2312" w:eastAsia="仿宋_GB2312"/>
          <w:sz w:val="32"/>
          <w:szCs w:val="32"/>
        </w:rPr>
        <w:t>2020年，阿坝州金川县市政公用事业服务中心运行经费支出12.07万元，比2019年8.39万元，增加3.68万元，上升43.86</w:t>
      </w:r>
      <w:r>
        <w:rPr>
          <w:rFonts w:ascii="仿宋_GB2312" w:eastAsia="仿宋_GB2312"/>
          <w:sz w:val="32"/>
          <w:szCs w:val="32"/>
        </w:rPr>
        <w:t>%</w:t>
      </w:r>
      <w:r>
        <w:rPr>
          <w:rFonts w:hint="eastAsia" w:ascii="仿宋_GB2312" w:eastAsia="仿宋_GB2312"/>
          <w:sz w:val="32"/>
          <w:szCs w:val="32"/>
        </w:rPr>
        <w:t>。</w:t>
      </w:r>
      <w:r>
        <w:rPr>
          <w:rFonts w:hint="eastAsia" w:ascii="仿宋_GB2312" w:hAnsi="仿宋" w:eastAsia="仿宋_GB2312" w:cs="仿宋"/>
          <w:sz w:val="32"/>
          <w:szCs w:val="32"/>
        </w:rPr>
        <w:t>主要原因是：上年度城市工作成效明显，</w:t>
      </w:r>
      <w:r>
        <w:rPr>
          <w:rFonts w:hint="eastAsia" w:ascii="仿宋_GB2312" w:eastAsia="仿宋_GB2312"/>
          <w:sz w:val="32"/>
        </w:rPr>
        <w:t>城市环境卫生，其他污染防治支出，城乡人居环境经费、垃圾无害化处理建设项目、垃圾收转运体系项目支出增加。</w:t>
      </w:r>
      <w:bookmarkStart w:id="50" w:name="_Toc15377223"/>
    </w:p>
    <w:p>
      <w:pPr>
        <w:snapToGrid w:val="0"/>
        <w:spacing w:line="600" w:lineRule="exact"/>
        <w:ind w:firstLine="643" w:firstLineChars="200"/>
        <w:rPr>
          <w:rFonts w:ascii="仿宋" w:eastAsia="仿宋"/>
          <w:b/>
          <w:sz w:val="32"/>
          <w:szCs w:val="32"/>
        </w:rPr>
      </w:pPr>
      <w:r>
        <w:rPr>
          <w:rFonts w:hint="eastAsia" w:ascii="仿宋" w:eastAsia="仿宋"/>
          <w:b/>
          <w:sz w:val="32"/>
          <w:szCs w:val="32"/>
        </w:rPr>
        <w:t>（二）政府采购支出情况</w:t>
      </w:r>
      <w:bookmarkEnd w:id="50"/>
    </w:p>
    <w:p>
      <w:pPr>
        <w:spacing w:line="600" w:lineRule="exact"/>
        <w:ind w:firstLine="640" w:firstLineChars="200"/>
        <w:rPr>
          <w:rFonts w:ascii="仿宋" w:eastAsia="仿宋"/>
          <w:b/>
          <w:sz w:val="32"/>
          <w:szCs w:val="32"/>
        </w:rPr>
      </w:pPr>
      <w:r>
        <w:rPr>
          <w:rFonts w:hint="eastAsia" w:ascii="仿宋_GB2312" w:eastAsia="仿宋_GB2312"/>
          <w:sz w:val="32"/>
          <w:szCs w:val="32"/>
        </w:rPr>
        <w:t>2020年，政府采购支出总额226.1万元，</w:t>
      </w:r>
      <w:r>
        <w:rPr>
          <w:rFonts w:hint="eastAsia" w:ascii="仿宋_GB2312" w:eastAsia="仿宋_GB2312"/>
          <w:sz w:val="30"/>
          <w:szCs w:val="30"/>
        </w:rPr>
        <w:t>主要采购环卫设备，环卫作业服务、购置垃圾车、花箱、果皮箱、垃圾桶，采购国旗、灯笼。</w:t>
      </w:r>
    </w:p>
    <w:p>
      <w:pPr>
        <w:autoSpaceDE w:val="0"/>
        <w:autoSpaceDN w:val="0"/>
        <w:adjustRightInd w:val="0"/>
        <w:spacing w:line="600" w:lineRule="exact"/>
        <w:ind w:firstLine="643" w:firstLineChars="200"/>
        <w:jc w:val="left"/>
        <w:outlineLvl w:val="2"/>
        <w:rPr>
          <w:rFonts w:ascii="仿宋" w:eastAsia="仿宋"/>
          <w:b/>
          <w:sz w:val="32"/>
          <w:szCs w:val="32"/>
        </w:rPr>
      </w:pPr>
      <w:bookmarkStart w:id="51" w:name="_Toc15377224"/>
      <w:r>
        <w:rPr>
          <w:rFonts w:hint="eastAsia" w:ascii="仿宋" w:eastAsia="仿宋"/>
          <w:b/>
          <w:sz w:val="32"/>
          <w:szCs w:val="32"/>
        </w:rPr>
        <w:t>（三）国有资产占有使用情况</w:t>
      </w:r>
      <w:bookmarkEnd w:id="51"/>
    </w:p>
    <w:p>
      <w:pPr>
        <w:spacing w:line="600" w:lineRule="exact"/>
        <w:ind w:firstLine="640" w:firstLineChars="200"/>
        <w:rPr>
          <w:rFonts w:ascii="宋体" w:hAnsi="宋体"/>
          <w:sz w:val="30"/>
          <w:szCs w:val="30"/>
        </w:rPr>
      </w:pPr>
      <w:r>
        <w:rPr>
          <w:rFonts w:hint="eastAsia" w:ascii="仿宋_GB2312" w:hAnsi="仿宋" w:eastAsia="仿宋_GB2312" w:cs="仿宋"/>
          <w:sz w:val="32"/>
          <w:szCs w:val="32"/>
        </w:rPr>
        <w:t>本单位共计车辆21辆，为其他用车, 原因为三州未进行车改。</w:t>
      </w:r>
    </w:p>
    <w:p>
      <w:pPr>
        <w:numPr>
          <w:ilvl w:val="0"/>
          <w:numId w:val="2"/>
        </w:numPr>
        <w:spacing w:line="600" w:lineRule="exact"/>
        <w:ind w:firstLine="663" w:firstLineChars="150"/>
        <w:jc w:val="center"/>
        <w:outlineLvl w:val="0"/>
        <w:rPr>
          <w:rStyle w:val="20"/>
          <w:rFonts w:ascii="黑体" w:eastAsia="黑体"/>
          <w:b w:val="0"/>
        </w:rPr>
      </w:pPr>
      <w:bookmarkStart w:id="52" w:name="_Toc15377225"/>
      <w:bookmarkStart w:id="53" w:name="_Toc15396613"/>
      <w:r>
        <w:rPr>
          <w:rFonts w:hint="eastAsia" w:ascii="黑体" w:eastAsia="黑体"/>
          <w:b/>
          <w:sz w:val="44"/>
          <w:szCs w:val="44"/>
        </w:rPr>
        <w:t>名</w:t>
      </w:r>
      <w:r>
        <w:rPr>
          <w:rStyle w:val="20"/>
          <w:rFonts w:hint="eastAsia" w:ascii="黑体" w:eastAsia="黑体"/>
          <w:b w:val="0"/>
        </w:rPr>
        <w:t>词解释</w:t>
      </w:r>
      <w:bookmarkEnd w:id="52"/>
      <w:bookmarkEnd w:id="53"/>
    </w:p>
    <w:p>
      <w:pPr>
        <w:snapToGrid w:val="0"/>
        <w:spacing w:line="600" w:lineRule="exact"/>
        <w:ind w:firstLine="640" w:firstLineChars="200"/>
        <w:rPr>
          <w:rFonts w:hint="eastAsia" w:ascii="仿宋_GB2312" w:eastAsia="仿宋_GB2312"/>
          <w:sz w:val="32"/>
          <w:szCs w:val="32"/>
        </w:rPr>
      </w:pPr>
      <w:bookmarkStart w:id="54" w:name="_Toc15396614"/>
      <w:bookmarkStart w:id="55" w:name="_Toc15377226"/>
      <w:r>
        <w:rPr>
          <w:rFonts w:hint="eastAsia" w:ascii="仿宋_GB2312" w:eastAsia="仿宋_GB2312"/>
          <w:sz w:val="32"/>
          <w:szCs w:val="32"/>
        </w:rPr>
        <w:t xml:space="preserve">1.财政拨款收入：指县级财政当年拨付的资金。 </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2.年初结转和结余：指以前年度尚未完成、结转到本年按有关规定继续使用的资金。 </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 一般公共服务201（类）党委办公厅（室）及相关机构事务31（款）行政运行01（项）：指反映行政人员的基本支出。</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4.一般公共服务201（类）其他一般公共服务99（款）其他一般公共服务99（项）：指反映县级领导全州绩效考核后的目标奖。</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5.社会保障和就业208行政事业单位离退休05机关事业单位基本养老保险缴费支出05：指机关事业单位实施养老保险制度由单位缴纳的基本养老保险费支出。</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6.社会保障和就业208行政事业单位离退休05机关事业单位职业年金缴费支出06：指机关事业单位实施养老保险制度由单位缴纳的职业年金支出。</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7.医疗卫生与计划生育支出210医疗保障05行政单位医疗01：指行政单位基本医疗保险缴费。</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8.住房保障支出221住房改革支出02住房公积金01：指反映行政事业单位按人力资源和社会保障部、财政部规定的基本工资和津贴补贴以及规定比例为职工缴纳的住房公积金。</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9.其他支出229其他支出99其他支出01：指其他不能划分到具体功能科目中的支出项目。</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10.年末结转和结余：指本年度或以前年度预算安排、因客观条件发生变化无法按原计划实施，需延迟到以后年度按有关规定继续使用的资金。</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11.基本支出：指为保障机构正常运转、完成日常工作任务而发生的人员支出和公用支出。</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12.项目支出：指在基本支出之外为完成特定行政任务和事业发展目标所发生的支出。 </w:t>
      </w:r>
    </w:p>
    <w:p>
      <w:pPr>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13.“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napToGrid w:val="0"/>
        <w:spacing w:line="600" w:lineRule="exact"/>
        <w:ind w:firstLine="640" w:firstLineChars="200"/>
        <w:rPr>
          <w:rFonts w:ascii="仿宋_GB2312" w:eastAsia="仿宋_GB2312"/>
          <w:color w:val="auto"/>
          <w:sz w:val="30"/>
          <w:szCs w:val="30"/>
        </w:rPr>
      </w:pPr>
      <w:r>
        <w:rPr>
          <w:rFonts w:hint="eastAsia" w:ascii="仿宋_GB2312" w:eastAsia="仿宋_GB2312"/>
          <w:sz w:val="32"/>
          <w:szCs w:val="32"/>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
        <w:spacing w:line="600" w:lineRule="exact"/>
        <w:rPr>
          <w:rStyle w:val="20"/>
          <w:rFonts w:ascii="仿宋" w:eastAsia="仿宋"/>
          <w:b w:val="0"/>
          <w:bCs w:val="0"/>
          <w:sz w:val="32"/>
          <w:szCs w:val="32"/>
        </w:rPr>
      </w:pPr>
      <w:bookmarkStart w:id="56" w:name="_Toc15396615"/>
      <w:r>
        <w:rPr>
          <w:rStyle w:val="20"/>
          <w:rFonts w:hint="eastAsia" w:ascii="仿宋" w:eastAsia="仿宋"/>
          <w:b w:val="0"/>
          <w:bCs w:val="0"/>
          <w:sz w:val="32"/>
          <w:szCs w:val="32"/>
        </w:rPr>
        <w:t>附件1</w:t>
      </w:r>
      <w:bookmarkEnd w:id="56"/>
    </w:p>
    <w:p>
      <w:pPr>
        <w:numPr>
          <w:ilvl w:val="0"/>
          <w:numId w:val="2"/>
        </w:numPr>
        <w:spacing w:line="600" w:lineRule="exact"/>
        <w:ind w:firstLine="660" w:firstLineChars="150"/>
        <w:jc w:val="center"/>
        <w:outlineLvl w:val="0"/>
        <w:rPr>
          <w:rStyle w:val="20"/>
          <w:rFonts w:ascii="黑体" w:eastAsia="黑体"/>
          <w:b w:val="0"/>
        </w:rPr>
      </w:pPr>
      <w:r>
        <w:rPr>
          <w:rStyle w:val="20"/>
          <w:rFonts w:hint="eastAsia" w:ascii="黑体" w:eastAsia="黑体"/>
          <w:b w:val="0"/>
        </w:rPr>
        <w:t>附件</w:t>
      </w:r>
      <w:bookmarkEnd w:id="54"/>
    </w:p>
    <w:p>
      <w:pPr>
        <w:spacing w:line="600" w:lineRule="exact"/>
        <w:outlineLvl w:val="0"/>
        <w:rPr>
          <w:rStyle w:val="20"/>
          <w:rFonts w:ascii="黑体" w:eastAsia="黑体"/>
          <w:b w:val="0"/>
        </w:rPr>
      </w:pPr>
    </w:p>
    <w:bookmarkEnd w:id="55"/>
    <w:p>
      <w:pPr>
        <w:keepNext w:val="0"/>
        <w:keepLines w:val="0"/>
        <w:pageBreakBefore w:val="0"/>
        <w:widowControl/>
        <w:kinsoku/>
        <w:wordWrap/>
        <w:overflowPunct/>
        <w:topLinePunct w:val="0"/>
        <w:autoSpaceDE/>
        <w:autoSpaceDN/>
        <w:bidi w:val="0"/>
        <w:spacing w:line="560" w:lineRule="exact"/>
        <w:jc w:val="center"/>
        <w:textAlignment w:val="auto"/>
        <w:rPr>
          <w:rFonts w:hint="eastAsia" w:ascii="宋体" w:hAnsi="宋体" w:eastAsia="宋体" w:cs="宋体"/>
          <w:b/>
          <w:sz w:val="44"/>
          <w:szCs w:val="44"/>
          <w:lang w:val="en-US" w:eastAsia="zh-CN"/>
        </w:rPr>
      </w:pPr>
      <w:bookmarkStart w:id="57" w:name="_Toc15396618"/>
      <w:bookmarkStart w:id="58" w:name="_Toc15396619"/>
      <w:r>
        <w:rPr>
          <w:rFonts w:hint="eastAsia" w:ascii="宋体" w:hAnsi="宋体" w:cs="宋体"/>
          <w:b/>
          <w:sz w:val="44"/>
          <w:szCs w:val="44"/>
          <w:lang w:val="en-US" w:eastAsia="zh-CN"/>
        </w:rPr>
        <w:t xml:space="preserve">   </w:t>
      </w:r>
      <w:r>
        <w:rPr>
          <w:rFonts w:hint="eastAsia" w:ascii="宋体" w:hAnsi="宋体" w:eastAsia="宋体" w:cs="宋体"/>
          <w:b/>
          <w:sz w:val="44"/>
          <w:szCs w:val="44"/>
        </w:rPr>
        <w:t>金川</w:t>
      </w:r>
      <w:r>
        <w:rPr>
          <w:rFonts w:hint="eastAsia" w:ascii="宋体" w:hAnsi="宋体" w:eastAsia="宋体" w:cs="宋体"/>
          <w:b/>
          <w:sz w:val="44"/>
          <w:szCs w:val="44"/>
          <w:lang w:eastAsia="zh-CN"/>
        </w:rPr>
        <w:t>县</w:t>
      </w:r>
      <w:r>
        <w:rPr>
          <w:rFonts w:hint="eastAsia" w:ascii="宋体" w:hAnsi="宋体" w:cs="宋体"/>
          <w:b/>
          <w:sz w:val="44"/>
          <w:szCs w:val="44"/>
          <w:lang w:val="en-US" w:eastAsia="zh-CN"/>
        </w:rPr>
        <w:t>市政公用事业服务中心</w:t>
      </w:r>
    </w:p>
    <w:p>
      <w:pPr>
        <w:keepNext w:val="0"/>
        <w:keepLines w:val="0"/>
        <w:pageBreakBefore w:val="0"/>
        <w:widowControl/>
        <w:kinsoku/>
        <w:wordWrap/>
        <w:overflowPunct/>
        <w:topLinePunct w:val="0"/>
        <w:autoSpaceDE/>
        <w:autoSpaceDN/>
        <w:bidi w:val="0"/>
        <w:adjustRightInd w:val="0"/>
        <w:snapToGrid w:val="0"/>
        <w:spacing w:line="560" w:lineRule="exact"/>
        <w:ind w:firstLine="720"/>
        <w:jc w:val="center"/>
        <w:textAlignment w:val="auto"/>
        <w:rPr>
          <w:rFonts w:hint="eastAsia" w:ascii="宋体" w:hAnsi="宋体" w:eastAsia="宋体" w:cs="宋体"/>
          <w:b/>
          <w:sz w:val="44"/>
          <w:szCs w:val="44"/>
        </w:rPr>
      </w:pPr>
      <w:r>
        <w:rPr>
          <w:rFonts w:hint="eastAsia" w:ascii="宋体" w:hAnsi="宋体" w:cs="宋体"/>
          <w:b/>
          <w:sz w:val="44"/>
          <w:szCs w:val="44"/>
          <w:lang w:val="en-US" w:eastAsia="zh-CN"/>
        </w:rPr>
        <w:t>2020</w:t>
      </w:r>
      <w:r>
        <w:rPr>
          <w:rFonts w:hint="eastAsia" w:ascii="宋体" w:hAnsi="宋体" w:eastAsia="宋体" w:cs="宋体"/>
          <w:b/>
          <w:sz w:val="44"/>
          <w:szCs w:val="44"/>
        </w:rPr>
        <w:t>部门整体支出绩效评价报告</w:t>
      </w:r>
    </w:p>
    <w:p>
      <w:pPr>
        <w:keepNext w:val="0"/>
        <w:keepLines w:val="0"/>
        <w:pageBreakBefore w:val="0"/>
        <w:kinsoku/>
        <w:wordWrap/>
        <w:overflowPunct/>
        <w:topLinePunct w:val="0"/>
        <w:autoSpaceDE/>
        <w:autoSpaceDN/>
        <w:bidi w:val="0"/>
        <w:spacing w:line="560" w:lineRule="exact"/>
        <w:textAlignment w:val="auto"/>
        <w:rPr>
          <w:rFonts w:hint="eastAsia" w:ascii="宋体" w:hAnsi="宋体" w:eastAsia="宋体" w:cs="宋体"/>
          <w:sz w:val="32"/>
          <w:szCs w:val="32"/>
        </w:rPr>
      </w:pPr>
    </w:p>
    <w:p>
      <w:pPr>
        <w:snapToGrid w:val="0"/>
        <w:spacing w:line="600" w:lineRule="exact"/>
        <w:ind w:firstLine="640" w:firstLineChars="200"/>
        <w:rPr>
          <w:rFonts w:hint="eastAsia" w:ascii="仿宋_GB2312" w:hAnsi="宋体" w:eastAsia="仿宋_GB2312"/>
          <w:sz w:val="32"/>
        </w:rPr>
      </w:pPr>
      <w:r>
        <w:rPr>
          <w:rFonts w:hint="eastAsia" w:ascii="仿宋_GB2312" w:hAnsi="宋体" w:eastAsia="仿宋_GB2312"/>
          <w:sz w:val="32"/>
        </w:rPr>
        <w:t>根据</w:t>
      </w:r>
      <w:r>
        <w:rPr>
          <w:rFonts w:hint="eastAsia" w:ascii="仿宋_GB2312" w:hAnsi="宋体" w:eastAsia="仿宋_GB2312"/>
          <w:sz w:val="32"/>
          <w:lang w:eastAsia="zh-CN"/>
        </w:rPr>
        <w:t>《阿坝州财政局预算绩效管理工作实施方案》（阿州财办</w:t>
      </w:r>
      <w:r>
        <w:rPr>
          <w:rFonts w:hint="eastAsia" w:ascii="仿宋_GB2312" w:hAnsi="宋体" w:eastAsia="仿宋_GB2312"/>
          <w:sz w:val="32"/>
        </w:rPr>
        <w:t>〔20</w:t>
      </w:r>
      <w:r>
        <w:rPr>
          <w:rFonts w:hint="eastAsia" w:ascii="仿宋_GB2312" w:hAnsi="宋体" w:eastAsia="仿宋_GB2312"/>
          <w:sz w:val="32"/>
          <w:lang w:val="en-US" w:eastAsia="zh-CN"/>
        </w:rPr>
        <w:t>20</w:t>
      </w:r>
      <w:r>
        <w:rPr>
          <w:rFonts w:hint="eastAsia" w:ascii="仿宋_GB2312" w:hAnsi="宋体" w:eastAsia="仿宋_GB2312"/>
          <w:sz w:val="32"/>
        </w:rPr>
        <w:t>〕</w:t>
      </w:r>
      <w:r>
        <w:rPr>
          <w:rFonts w:hint="eastAsia" w:ascii="仿宋_GB2312" w:hAnsi="宋体" w:eastAsia="仿宋_GB2312"/>
          <w:sz w:val="32"/>
          <w:lang w:val="en-US" w:eastAsia="zh-CN"/>
        </w:rPr>
        <w:t>12</w:t>
      </w:r>
      <w:r>
        <w:rPr>
          <w:rFonts w:hint="eastAsia" w:ascii="仿宋_GB2312" w:hAnsi="宋体" w:eastAsia="仿宋_GB2312"/>
          <w:sz w:val="32"/>
        </w:rPr>
        <w:t>号</w:t>
      </w:r>
      <w:r>
        <w:rPr>
          <w:rFonts w:hint="eastAsia" w:ascii="仿宋_GB2312" w:hAnsi="宋体" w:eastAsia="仿宋_GB2312"/>
          <w:sz w:val="32"/>
          <w:lang w:eastAsia="zh-CN"/>
        </w:rPr>
        <w:t>）、《阿坝州财政局关于开展</w:t>
      </w:r>
      <w:r>
        <w:rPr>
          <w:rFonts w:hint="eastAsia" w:ascii="仿宋_GB2312" w:hAnsi="宋体" w:eastAsia="仿宋_GB2312"/>
          <w:sz w:val="32"/>
          <w:lang w:val="en-US" w:eastAsia="zh-CN"/>
        </w:rPr>
        <w:t>2020年财政支出绩效评价工作通知</w:t>
      </w:r>
      <w:r>
        <w:rPr>
          <w:rFonts w:hint="eastAsia" w:ascii="仿宋_GB2312" w:hAnsi="宋体" w:eastAsia="仿宋_GB2312"/>
          <w:sz w:val="32"/>
          <w:lang w:eastAsia="zh-CN"/>
        </w:rPr>
        <w:t>》（阿州财监绩效</w:t>
      </w:r>
      <w:r>
        <w:rPr>
          <w:rFonts w:hint="eastAsia" w:ascii="仿宋_GB2312" w:hAnsi="宋体" w:eastAsia="仿宋_GB2312"/>
          <w:sz w:val="32"/>
        </w:rPr>
        <w:t>〔20</w:t>
      </w:r>
      <w:r>
        <w:rPr>
          <w:rFonts w:hint="eastAsia" w:ascii="仿宋_GB2312" w:hAnsi="宋体" w:eastAsia="仿宋_GB2312"/>
          <w:sz w:val="32"/>
          <w:lang w:val="en-US" w:eastAsia="zh-CN"/>
        </w:rPr>
        <w:t>20</w:t>
      </w:r>
      <w:r>
        <w:rPr>
          <w:rFonts w:hint="eastAsia" w:ascii="仿宋_GB2312" w:hAnsi="宋体" w:eastAsia="仿宋_GB2312"/>
          <w:sz w:val="32"/>
        </w:rPr>
        <w:t>〕</w:t>
      </w:r>
      <w:r>
        <w:rPr>
          <w:rFonts w:hint="eastAsia" w:ascii="仿宋_GB2312" w:hAnsi="宋体" w:eastAsia="仿宋_GB2312"/>
          <w:sz w:val="32"/>
          <w:lang w:val="en-US" w:eastAsia="zh-CN"/>
        </w:rPr>
        <w:t>11</w:t>
      </w:r>
      <w:r>
        <w:rPr>
          <w:rFonts w:hint="eastAsia" w:ascii="仿宋_GB2312" w:hAnsi="宋体" w:eastAsia="仿宋_GB2312"/>
          <w:sz w:val="32"/>
        </w:rPr>
        <w:t>号</w:t>
      </w:r>
      <w:r>
        <w:rPr>
          <w:rFonts w:hint="eastAsia" w:ascii="仿宋_GB2312" w:hAnsi="宋体" w:eastAsia="仿宋_GB2312"/>
          <w:sz w:val="32"/>
          <w:lang w:eastAsia="zh-CN"/>
        </w:rPr>
        <w:t>）</w:t>
      </w:r>
      <w:r>
        <w:rPr>
          <w:rFonts w:hint="eastAsia" w:ascii="仿宋_GB2312" w:hAnsi="宋体" w:eastAsia="仿宋_GB2312"/>
          <w:sz w:val="32"/>
        </w:rPr>
        <w:t>《金川县财政局关于开展20</w:t>
      </w:r>
      <w:r>
        <w:rPr>
          <w:rFonts w:hint="eastAsia" w:ascii="仿宋_GB2312" w:hAnsi="宋体" w:eastAsia="仿宋_GB2312"/>
          <w:sz w:val="32"/>
          <w:lang w:val="en-US" w:eastAsia="zh-CN"/>
        </w:rPr>
        <w:t>20</w:t>
      </w:r>
      <w:r>
        <w:rPr>
          <w:rFonts w:hint="eastAsia" w:ascii="仿宋_GB2312" w:hAnsi="宋体" w:eastAsia="仿宋_GB2312"/>
          <w:sz w:val="32"/>
        </w:rPr>
        <w:t>年财政支出绩效评价工作的通知》（金财</w:t>
      </w:r>
      <w:r>
        <w:rPr>
          <w:rFonts w:hint="eastAsia" w:ascii="仿宋_GB2312" w:hAnsi="宋体" w:eastAsia="仿宋_GB2312"/>
          <w:sz w:val="32"/>
          <w:lang w:eastAsia="zh-CN"/>
        </w:rPr>
        <w:t>监绩</w:t>
      </w:r>
      <w:r>
        <w:rPr>
          <w:rFonts w:hint="eastAsia" w:ascii="仿宋_GB2312" w:hAnsi="宋体" w:eastAsia="仿宋_GB2312"/>
          <w:sz w:val="32"/>
        </w:rPr>
        <w:t>〔20</w:t>
      </w:r>
      <w:r>
        <w:rPr>
          <w:rFonts w:hint="eastAsia" w:ascii="仿宋_GB2312" w:hAnsi="宋体" w:eastAsia="仿宋_GB2312"/>
          <w:sz w:val="32"/>
          <w:lang w:val="en-US" w:eastAsia="zh-CN"/>
        </w:rPr>
        <w:t>20</w:t>
      </w:r>
      <w:r>
        <w:rPr>
          <w:rFonts w:hint="eastAsia" w:ascii="仿宋_GB2312" w:hAnsi="宋体" w:eastAsia="仿宋_GB2312"/>
          <w:sz w:val="32"/>
        </w:rPr>
        <w:t>〕</w:t>
      </w:r>
      <w:r>
        <w:rPr>
          <w:rFonts w:hint="eastAsia" w:ascii="仿宋_GB2312" w:hAnsi="宋体" w:eastAsia="仿宋_GB2312"/>
          <w:sz w:val="32"/>
          <w:lang w:val="en-US" w:eastAsia="zh-CN"/>
        </w:rPr>
        <w:t>21</w:t>
      </w:r>
      <w:r>
        <w:rPr>
          <w:rFonts w:hint="eastAsia" w:ascii="仿宋_GB2312" w:hAnsi="宋体" w:eastAsia="仿宋_GB2312"/>
          <w:sz w:val="32"/>
        </w:rPr>
        <w:t>号）</w:t>
      </w:r>
      <w:r>
        <w:rPr>
          <w:rFonts w:hint="eastAsia" w:ascii="仿宋_GB2312" w:hAnsi="宋体" w:eastAsia="仿宋_GB2312"/>
          <w:sz w:val="32"/>
          <w:lang w:eastAsia="zh-CN"/>
        </w:rPr>
        <w:t>等</w:t>
      </w:r>
      <w:r>
        <w:rPr>
          <w:rFonts w:hint="eastAsia" w:ascii="仿宋_GB2312" w:hAnsi="宋体" w:eastAsia="仿宋_GB2312"/>
          <w:sz w:val="32"/>
        </w:rPr>
        <w:t>文件要求，结合本单位的实际，认真开展部门预算支出绩效自评工作，</w:t>
      </w:r>
      <w:r>
        <w:rPr>
          <w:rFonts w:hint="eastAsia" w:ascii="仿宋_GB2312" w:hAnsi="宋体" w:eastAsia="仿宋_GB2312"/>
          <w:sz w:val="32"/>
          <w:lang w:eastAsia="zh-CN"/>
        </w:rPr>
        <w:t>现将</w:t>
      </w:r>
      <w:r>
        <w:rPr>
          <w:rFonts w:hint="eastAsia" w:ascii="仿宋_GB2312" w:hAnsi="宋体" w:eastAsia="仿宋_GB2312"/>
          <w:sz w:val="32"/>
          <w:lang w:val="en-US" w:eastAsia="zh-CN"/>
        </w:rPr>
        <w:t>2020</w:t>
      </w:r>
      <w:r>
        <w:rPr>
          <w:rFonts w:hint="eastAsia" w:ascii="仿宋_GB2312" w:hAnsi="宋体" w:eastAsia="仿宋_GB2312"/>
          <w:sz w:val="32"/>
        </w:rPr>
        <w:t>部门预算支出绩效自评工作报告如下：</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一、部门（单位）概况</w:t>
      </w:r>
    </w:p>
    <w:p>
      <w:pPr>
        <w:keepNext w:val="0"/>
        <w:keepLines w:val="0"/>
        <w:pageBreakBefore w:val="0"/>
        <w:kinsoku/>
        <w:wordWrap/>
        <w:overflowPunct/>
        <w:topLinePunct w:val="0"/>
        <w:autoSpaceDE/>
        <w:autoSpaceDN/>
        <w:bidi w:val="0"/>
        <w:snapToGrid w:val="0"/>
        <w:spacing w:line="560" w:lineRule="exact"/>
        <w:ind w:firstLine="643" w:firstLineChars="200"/>
        <w:textAlignment w:val="auto"/>
        <w:rPr>
          <w:rFonts w:hint="eastAsia" w:ascii="宋体" w:hAnsi="宋体" w:eastAsia="宋体" w:cs="宋体"/>
          <w:b/>
          <w:sz w:val="32"/>
          <w:szCs w:val="32"/>
          <w:shd w:val="clear" w:color="auto" w:fill="FFFFFF"/>
        </w:rPr>
      </w:pPr>
      <w:r>
        <w:rPr>
          <w:rFonts w:hint="eastAsia" w:ascii="宋体" w:hAnsi="宋体" w:eastAsia="宋体" w:cs="宋体"/>
          <w:b/>
          <w:sz w:val="32"/>
          <w:szCs w:val="32"/>
          <w:shd w:val="clear" w:color="auto" w:fill="FFFFFF"/>
        </w:rPr>
        <w:t>（一）机构组成</w:t>
      </w:r>
    </w:p>
    <w:p>
      <w:pPr>
        <w:snapToGrid w:val="0"/>
        <w:spacing w:line="600" w:lineRule="exact"/>
        <w:ind w:firstLine="640" w:firstLineChars="200"/>
        <w:rPr>
          <w:rFonts w:hint="eastAsia" w:ascii="仿宋_GB2312" w:hAnsi="宋体" w:eastAsia="仿宋_GB2312"/>
          <w:sz w:val="32"/>
        </w:rPr>
      </w:pPr>
      <w:r>
        <w:rPr>
          <w:rFonts w:hint="eastAsia" w:ascii="仿宋_GB2312" w:hAnsi="宋体" w:eastAsia="仿宋_GB2312"/>
          <w:sz w:val="32"/>
          <w:lang w:val="en-US" w:eastAsia="zh-CN"/>
        </w:rPr>
        <w:t>金川县城市管理综合行政执法局</w:t>
      </w:r>
      <w:r>
        <w:rPr>
          <w:rFonts w:hint="eastAsia" w:ascii="仿宋_GB2312" w:hAnsi="宋体" w:eastAsia="仿宋_GB2312"/>
          <w:sz w:val="32"/>
        </w:rPr>
        <w:t>为</w:t>
      </w:r>
      <w:r>
        <w:rPr>
          <w:rFonts w:hint="eastAsia" w:ascii="仿宋_GB2312" w:hAnsi="宋体" w:eastAsia="仿宋_GB2312"/>
          <w:sz w:val="32"/>
          <w:lang w:eastAsia="zh-CN"/>
        </w:rPr>
        <w:t>正科级</w:t>
      </w:r>
      <w:r>
        <w:rPr>
          <w:rFonts w:hint="eastAsia" w:ascii="仿宋_GB2312" w:hAnsi="宋体" w:eastAsia="仿宋_GB2312"/>
          <w:sz w:val="32"/>
          <w:lang w:val="en-US" w:eastAsia="zh-CN"/>
        </w:rPr>
        <w:t>事业</w:t>
      </w:r>
      <w:r>
        <w:rPr>
          <w:rFonts w:hint="eastAsia" w:ascii="仿宋_GB2312" w:hAnsi="宋体" w:eastAsia="仿宋_GB2312"/>
          <w:sz w:val="32"/>
        </w:rPr>
        <w:t>单位，共有1个</w:t>
      </w:r>
      <w:r>
        <w:rPr>
          <w:rFonts w:hint="eastAsia" w:ascii="仿宋_GB2312" w:hAnsi="宋体" w:eastAsia="仿宋_GB2312"/>
          <w:sz w:val="32"/>
          <w:lang w:val="en-US" w:eastAsia="zh-CN"/>
        </w:rPr>
        <w:t>独立核算</w:t>
      </w:r>
      <w:r>
        <w:rPr>
          <w:rFonts w:hint="eastAsia" w:ascii="仿宋_GB2312" w:hAnsi="宋体" w:eastAsia="仿宋_GB2312"/>
          <w:sz w:val="32"/>
        </w:rPr>
        <w:t>机构。</w:t>
      </w:r>
    </w:p>
    <w:p>
      <w:pPr>
        <w:keepNext w:val="0"/>
        <w:keepLines w:val="0"/>
        <w:pageBreakBefore w:val="0"/>
        <w:numPr>
          <w:ilvl w:val="0"/>
          <w:numId w:val="3"/>
        </w:numPr>
        <w:kinsoku/>
        <w:wordWrap/>
        <w:overflowPunct/>
        <w:topLinePunct w:val="0"/>
        <w:autoSpaceDE/>
        <w:autoSpaceDN/>
        <w:bidi w:val="0"/>
        <w:snapToGrid w:val="0"/>
        <w:spacing w:line="560" w:lineRule="exact"/>
        <w:ind w:firstLine="643" w:firstLineChars="200"/>
        <w:textAlignment w:val="auto"/>
        <w:rPr>
          <w:rFonts w:hint="eastAsia" w:ascii="宋体" w:hAnsi="宋体" w:eastAsia="宋体" w:cs="宋体"/>
          <w:b/>
          <w:sz w:val="32"/>
          <w:szCs w:val="32"/>
          <w:shd w:val="clear" w:color="auto" w:fill="FFFFFF"/>
        </w:rPr>
      </w:pPr>
      <w:r>
        <w:rPr>
          <w:rFonts w:hint="eastAsia" w:ascii="宋体" w:hAnsi="宋体" w:eastAsia="宋体" w:cs="宋体"/>
          <w:b/>
          <w:sz w:val="32"/>
          <w:szCs w:val="32"/>
          <w:shd w:val="clear" w:color="auto" w:fill="FFFFFF"/>
        </w:rPr>
        <w:t>机构职能</w:t>
      </w:r>
    </w:p>
    <w:p>
      <w:pPr>
        <w:snapToGrid w:val="0"/>
        <w:spacing w:line="600" w:lineRule="exact"/>
        <w:ind w:firstLine="640" w:firstLineChars="200"/>
        <w:rPr>
          <w:rFonts w:hint="eastAsia" w:ascii="仿宋_GB2312" w:hAnsi="宋体" w:eastAsia="仿宋_GB2312"/>
          <w:sz w:val="32"/>
          <w:lang w:val="en-US" w:eastAsia="zh-CN"/>
        </w:rPr>
      </w:pPr>
      <w:r>
        <w:rPr>
          <w:rFonts w:hint="eastAsia" w:ascii="仿宋_GB2312" w:hAnsi="宋体" w:eastAsia="仿宋_GB2312"/>
          <w:sz w:val="32"/>
          <w:lang w:val="en-US" w:eastAsia="zh-CN"/>
        </w:rPr>
        <w:t>金川县城市管理综合行政执法局是参照公务员法管理的事业单位，其主要职责：贯彻执行国家、省、州有关城市管理及城市管理行政执法的法律、法规 和政策；组织草拟全县环境卫生、市容环境管理的地方规章草案，制定有关政策措施；主管城市环境卫生工作,负责管理城市道路的冲洗洒水和生活垃圾、</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"http://baike.haosou.com/doc/4203246.html"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特种垃圾</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"http://baike.haosou.com/doc/5421032.html"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建筑垃圾</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的收集、清运、处置；负责机动车清洗、环境卫生企业的</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"http://baike.haosou.com/doc/6303934.html"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行业管理</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;负责对临时占用城市道路停车督管,对临时占用城市道路（含人行道）,利用城市道路设置</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"http://baike.haosou.com/doc/3860835.html"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建筑物</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、构筑物的行为进行监督管理;负责城区菜市场的组织实施；负责临时占道机动车、非机动车停车场（点）的定点工作；负责城镇户外广告定点的监督管理；对利用园林绿化设施、</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"http://baike.haosou.com/doc/5564871.html"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市政府</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附属设施和利用建筑物等占用城市空间影响市容市貌的行为进行监督管理。负责城区路灯饰城市管理监督，负责城区路灯和城市夜景灯饰的设置及维护管理；组织、协调、管理城市。参与城市管理工作目标的制定，受理市民有关城市市容环境管理的来信来访和群众投诉。指导、监督各乡镇城镇管理及</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"http://baike.haosou.com/doc/359522.html"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行政执法</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工作。行使</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"http://baike.haosou.com/doc/1005500.html"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市容环境卫生管理</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"http://baike.haosou.com/doc/6288296.html"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城市绿化</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管理、</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"http://baike.haosou.com/doc/977829.html"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市政管理</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方面法律、法规、规章规定的</w:t>
      </w:r>
      <w:r>
        <w:rPr>
          <w:rFonts w:hint="eastAsia" w:ascii="仿宋_GB2312" w:hAnsi="宋体" w:eastAsia="仿宋_GB2312"/>
          <w:sz w:val="32"/>
          <w:lang w:val="en-US" w:eastAsia="zh-CN"/>
        </w:rPr>
        <w:fldChar w:fldCharType="begin"/>
      </w:r>
      <w:r>
        <w:rPr>
          <w:rFonts w:hint="eastAsia" w:ascii="仿宋_GB2312" w:hAnsi="宋体" w:eastAsia="仿宋_GB2312"/>
          <w:sz w:val="32"/>
          <w:lang w:val="en-US" w:eastAsia="zh-CN"/>
        </w:rPr>
        <w:instrText xml:space="preserve"> HYPERLINK "http://baike.haosou.com/doc/3772821.html" \t "C:/Users/lenovo/Desktop/政府财务报告/_blank" </w:instrText>
      </w:r>
      <w:r>
        <w:rPr>
          <w:rFonts w:hint="eastAsia" w:ascii="仿宋_GB2312" w:hAnsi="宋体" w:eastAsia="仿宋_GB2312"/>
          <w:sz w:val="32"/>
          <w:lang w:val="en-US" w:eastAsia="zh-CN"/>
        </w:rPr>
        <w:fldChar w:fldCharType="separate"/>
      </w:r>
      <w:r>
        <w:rPr>
          <w:rFonts w:hint="eastAsia" w:ascii="仿宋_GB2312" w:hAnsi="宋体" w:eastAsia="仿宋_GB2312"/>
          <w:sz w:val="32"/>
          <w:lang w:val="en-US" w:eastAsia="zh-CN"/>
        </w:rPr>
        <w:t>行政处罚</w:t>
      </w:r>
      <w:r>
        <w:rPr>
          <w:rFonts w:hint="eastAsia" w:ascii="仿宋_GB2312" w:hAnsi="宋体" w:eastAsia="仿宋_GB2312"/>
          <w:sz w:val="32"/>
          <w:lang w:val="en-US" w:eastAsia="zh-CN"/>
        </w:rPr>
        <w:fldChar w:fldCharType="end"/>
      </w:r>
      <w:r>
        <w:rPr>
          <w:rFonts w:hint="eastAsia" w:ascii="仿宋_GB2312" w:hAnsi="宋体" w:eastAsia="仿宋_GB2312"/>
          <w:sz w:val="32"/>
          <w:lang w:val="en-US" w:eastAsia="zh-CN"/>
        </w:rPr>
        <w:t>权。集中行使对乱建乱搭、环境污染、非机动车和机动车乱停乱放、临时占用城市道路和城区河堤通道、无照商贩、无证饮食品店摊点等行政执法的组织、指挥、协调和行政处罚。</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3" w:firstLineChars="200"/>
        <w:textAlignment w:val="auto"/>
        <w:outlineLvl w:val="9"/>
        <w:rPr>
          <w:rFonts w:hint="eastAsia" w:ascii="宋体" w:hAnsi="宋体" w:eastAsia="宋体" w:cs="宋体"/>
          <w:b/>
          <w:bCs/>
          <w:color w:val="000000"/>
          <w:kern w:val="0"/>
          <w:sz w:val="32"/>
          <w:szCs w:val="32"/>
          <w:lang w:val="zh-CN"/>
        </w:rPr>
      </w:pPr>
      <w:r>
        <w:rPr>
          <w:rFonts w:hint="eastAsia" w:ascii="宋体" w:hAnsi="宋体" w:eastAsia="宋体" w:cs="宋体"/>
          <w:b/>
          <w:bCs/>
          <w:color w:val="000000"/>
          <w:kern w:val="0"/>
          <w:sz w:val="32"/>
          <w:szCs w:val="32"/>
          <w:lang w:val="zh-CN"/>
        </w:rPr>
        <w:t>人员概况</w:t>
      </w:r>
    </w:p>
    <w:p>
      <w:pPr>
        <w:snapToGrid w:val="0"/>
        <w:spacing w:line="600" w:lineRule="exact"/>
        <w:ind w:firstLine="640" w:firstLineChars="200"/>
        <w:rPr>
          <w:rFonts w:hint="eastAsia" w:ascii="仿宋_GB2312" w:hAnsi="宋体" w:eastAsia="仿宋_GB2312"/>
          <w:sz w:val="32"/>
          <w:lang w:val="en-US" w:eastAsia="zh-CN"/>
        </w:rPr>
      </w:pPr>
      <w:r>
        <w:rPr>
          <w:rFonts w:hint="eastAsia" w:ascii="仿宋_GB2312" w:hAnsi="宋体" w:eastAsia="仿宋_GB2312"/>
          <w:sz w:val="32"/>
        </w:rPr>
        <w:t>2020年年末在职22人（参公13人，事业专技1人，事业管理8人）原因为2020年事业管理调出2人，参公调出2人。</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宋体" w:hAnsi="宋体" w:eastAsia="宋体" w:cs="宋体"/>
          <w:b/>
          <w:bCs/>
          <w:color w:val="262626"/>
          <w:kern w:val="0"/>
          <w:sz w:val="32"/>
          <w:szCs w:val="32"/>
        </w:rPr>
      </w:pPr>
      <w:r>
        <w:rPr>
          <w:rFonts w:hint="eastAsia" w:ascii="宋体" w:hAnsi="宋体" w:eastAsia="宋体" w:cs="宋体"/>
          <w:b/>
          <w:bCs/>
          <w:color w:val="000000"/>
          <w:kern w:val="0"/>
          <w:sz w:val="32"/>
          <w:szCs w:val="32"/>
          <w:lang w:val="zh-CN"/>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 xml:space="preserve">（一）部门财政资金收入: </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1、</w:t>
      </w:r>
      <w:r>
        <w:rPr>
          <w:rFonts w:hint="eastAsia" w:ascii="仿宋_GB2312" w:hAnsi="宋体" w:eastAsia="仿宋_GB2312"/>
          <w:sz w:val="32"/>
          <w:lang w:val="en-US" w:eastAsia="zh-CN"/>
        </w:rPr>
        <w:t>2020</w:t>
      </w:r>
      <w:r>
        <w:rPr>
          <w:rFonts w:hint="eastAsia" w:ascii="仿宋_GB2312" w:hAnsi="宋体" w:eastAsia="仿宋_GB2312"/>
          <w:sz w:val="32"/>
          <w:lang w:val="zh-CN" w:eastAsia="zh-CN"/>
        </w:rPr>
        <w:t>年财政拨款收入</w:t>
      </w:r>
      <w:r>
        <w:rPr>
          <w:rFonts w:hint="eastAsia" w:ascii="仿宋_GB2312" w:hAnsi="宋体" w:eastAsia="仿宋_GB2312"/>
          <w:sz w:val="32"/>
          <w:lang w:val="en-US" w:eastAsia="zh-CN"/>
        </w:rPr>
        <w:t>729.36</w:t>
      </w:r>
      <w:r>
        <w:rPr>
          <w:rFonts w:hint="eastAsia" w:ascii="仿宋_GB2312" w:hAnsi="宋体" w:eastAsia="仿宋_GB2312"/>
          <w:sz w:val="32"/>
          <w:lang w:val="zh-CN" w:eastAsia="zh-CN"/>
        </w:rPr>
        <w:t>万元。</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（二）部门财政资金支出情况:</w:t>
      </w:r>
    </w:p>
    <w:p>
      <w:pPr>
        <w:snapToGrid w:val="0"/>
        <w:spacing w:line="600" w:lineRule="exact"/>
        <w:ind w:firstLine="640" w:firstLineChars="200"/>
        <w:rPr>
          <w:rFonts w:ascii="仿宋_GB2312" w:hAnsi="宋体" w:eastAsia="仿宋_GB2312"/>
          <w:sz w:val="32"/>
        </w:rPr>
      </w:pPr>
      <w:r>
        <w:rPr>
          <w:rFonts w:hint="eastAsia" w:ascii="仿宋_GB2312" w:hAnsi="宋体" w:eastAsia="仿宋_GB2312"/>
          <w:sz w:val="32"/>
        </w:rPr>
        <w:t>2020年本年总支出1934.36万元，其中：其中基本支出376.10万元，占19.44%；项目支出1558.26万元。占80.56%；上缴上级支出0万元，占0%；经营支出0万元，占0</w:t>
      </w:r>
      <w:r>
        <w:rPr>
          <w:rFonts w:ascii="仿宋_GB2312" w:hAnsi="宋体" w:eastAsia="仿宋_GB2312"/>
          <w:sz w:val="32"/>
        </w:rPr>
        <w:t>%</w:t>
      </w:r>
      <w:r>
        <w:rPr>
          <w:rFonts w:hint="eastAsia" w:ascii="仿宋_GB2312" w:hAnsi="宋体" w:eastAsia="仿宋_GB2312"/>
          <w:sz w:val="32"/>
        </w:rPr>
        <w:t>；对附属单位补助支出0万元，占0</w:t>
      </w:r>
      <w:r>
        <w:rPr>
          <w:rFonts w:ascii="仿宋_GB2312" w:hAnsi="宋体" w:eastAsia="仿宋_GB2312"/>
          <w:sz w:val="32"/>
        </w:rPr>
        <w:t>%</w:t>
      </w:r>
      <w:r>
        <w:rPr>
          <w:rFonts w:hint="eastAsia" w:ascii="仿宋_GB2312" w:hAnsi="宋体" w:eastAsia="仿宋_GB2312"/>
          <w:sz w:val="32"/>
        </w:rPr>
        <w:t>。</w:t>
      </w:r>
    </w:p>
    <w:p>
      <w:pPr>
        <w:spacing w:line="600" w:lineRule="exact"/>
        <w:ind w:firstLine="646"/>
        <w:rPr>
          <w:rFonts w:hint="eastAsia" w:ascii="仿宋" w:eastAsia="仿宋"/>
          <w:sz w:val="32"/>
          <w:szCs w:val="32"/>
        </w:rPr>
      </w:pPr>
      <w:r>
        <w:rPr>
          <w:rFonts w:hint="eastAsia" w:ascii="仿宋" w:eastAsia="仿宋"/>
          <w:sz w:val="32"/>
          <w:szCs w:val="32"/>
          <w:lang w:val="en-US" w:eastAsia="zh-CN"/>
        </w:rPr>
        <w:t>2020</w:t>
      </w:r>
      <w:r>
        <w:rPr>
          <w:rFonts w:hint="eastAsia" w:ascii="仿宋" w:eastAsia="仿宋"/>
          <w:sz w:val="32"/>
          <w:szCs w:val="32"/>
        </w:rPr>
        <w:t>年一般公共预算财政拨款基本支出</w:t>
      </w:r>
      <w:r>
        <w:rPr>
          <w:rFonts w:hint="eastAsia" w:ascii="仿宋_GB2312" w:eastAsia="仿宋_GB2312"/>
          <w:sz w:val="32"/>
        </w:rPr>
        <w:t>376.1</w:t>
      </w:r>
      <w:r>
        <w:rPr>
          <w:rFonts w:hint="eastAsia" w:ascii="仿宋" w:eastAsia="仿宋"/>
          <w:sz w:val="32"/>
          <w:szCs w:val="32"/>
        </w:rPr>
        <w:t>万元，其中：</w:t>
      </w:r>
    </w:p>
    <w:p>
      <w:pPr>
        <w:spacing w:line="600" w:lineRule="exact"/>
        <w:ind w:firstLine="646"/>
        <w:rPr>
          <w:rFonts w:ascii="仿宋" w:eastAsia="仿宋"/>
          <w:sz w:val="32"/>
          <w:szCs w:val="32"/>
        </w:rPr>
      </w:pPr>
      <w:r>
        <w:rPr>
          <w:rFonts w:hint="eastAsia" w:ascii="仿宋" w:eastAsia="仿宋"/>
          <w:sz w:val="32"/>
          <w:szCs w:val="32"/>
        </w:rPr>
        <w:t>人员经费355.54万元，主要包括：基本工资82.36万元、津贴补贴79.64万元、奖金5.5万元、伙食补助费0万元、绩效工资32.22机关事业单位基本养老保险缴费29.11万元、职业年金缴费15.69万元、职工基本医疗保险缴费13.95万元、公务员医疗补助缴费2.39万元、其他社会保障缴费5.75万元、其他工资福利支出0万元、住房公积金30.08万元、奖励金59.03万元等。</w:t>
      </w:r>
    </w:p>
    <w:p>
      <w:pPr>
        <w:spacing w:line="600" w:lineRule="exact"/>
        <w:ind w:firstLine="646"/>
        <w:rPr>
          <w:rFonts w:ascii="仿宋" w:eastAsia="仿宋"/>
          <w:sz w:val="32"/>
          <w:szCs w:val="32"/>
        </w:rPr>
      </w:pPr>
      <w:r>
        <w:rPr>
          <w:rFonts w:hint="eastAsia" w:ascii="仿宋" w:eastAsia="仿宋"/>
          <w:sz w:val="32"/>
          <w:szCs w:val="32"/>
        </w:rPr>
        <w:t>公用经费20.57万元，主要包括：办公费11.80万元、电费0.05万元、邮电费3.24万元、取暖费0.05万元，差旅费5.43万元等。</w:t>
      </w:r>
    </w:p>
    <w:p>
      <w:pPr>
        <w:snapToGrid w:val="0"/>
        <w:spacing w:line="600" w:lineRule="exact"/>
        <w:ind w:firstLine="640" w:firstLineChars="200"/>
        <w:rPr>
          <w:rFonts w:hint="eastAsia" w:ascii="仿宋_GB2312" w:hAnsi="宋体" w:eastAsia="仿宋"/>
          <w:sz w:val="32"/>
          <w:lang w:val="en-US" w:eastAsia="zh-CN"/>
        </w:rPr>
      </w:pPr>
      <w:r>
        <w:rPr>
          <w:rFonts w:hint="eastAsia" w:ascii="仿宋" w:eastAsia="仿宋"/>
          <w:sz w:val="32"/>
          <w:szCs w:val="32"/>
        </w:rPr>
        <w:t>项目支出1558.26万元，主要包括：水费1.48万元、电费28.43万元、维修（护）费36.74万元、租赁费86.85万元、专用材料费80.14万元、专用燃料费26.61万元、劳务费75.76万元、委托业务费0万元，其他交通费用6.58万元、房屋建筑构建0万元，专用设备购置0万元、基础设施建设1070.76万元、生活补助144.91万元</w:t>
      </w:r>
      <w:r>
        <w:rPr>
          <w:rFonts w:hint="eastAsia" w:ascii="仿宋" w:eastAsia="仿宋"/>
          <w:sz w:val="32"/>
          <w:szCs w:val="32"/>
          <w:lang w:eastAsia="zh-CN"/>
        </w:rPr>
        <w:t>。</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宋体" w:hAnsi="宋体" w:eastAsia="宋体" w:cs="宋体"/>
          <w:b/>
          <w:color w:val="000000"/>
          <w:sz w:val="32"/>
          <w:szCs w:val="32"/>
        </w:rPr>
      </w:pPr>
      <w:r>
        <w:rPr>
          <w:rFonts w:hint="eastAsia" w:ascii="宋体" w:hAnsi="宋体" w:eastAsia="宋体" w:cs="宋体"/>
          <w:b/>
          <w:color w:val="000000"/>
          <w:sz w:val="32"/>
          <w:szCs w:val="32"/>
        </w:rPr>
        <w:t>（三）综合管理情况</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1、政府采购方面：进行政府采购的资产严格按采购程序采购并登记入账，零星采购严格按固定资产管理办法进行登记入账。</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2、固定资产管理方面：本单位固定资产按科学合理、优化资产结构、勤俭节约的原则和专门的资产管理系统进行管理，截止20</w:t>
      </w:r>
      <w:r>
        <w:rPr>
          <w:rFonts w:hint="eastAsia" w:ascii="仿宋_GB2312" w:hAnsi="宋体" w:eastAsia="仿宋_GB2312"/>
          <w:sz w:val="32"/>
          <w:lang w:val="en-US" w:eastAsia="zh-CN"/>
        </w:rPr>
        <w:t>20</w:t>
      </w:r>
      <w:r>
        <w:rPr>
          <w:rFonts w:hint="eastAsia" w:ascii="仿宋_GB2312" w:hAnsi="宋体" w:eastAsia="仿宋_GB2312"/>
          <w:sz w:val="32"/>
          <w:lang w:val="zh-CN" w:eastAsia="zh-CN"/>
        </w:rPr>
        <w:t>年12月30日固定资产账面数据和固定资产管理系统数据一致。</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3、内控制度方面:为进一步做好行政事业单位内部控制基础性工作，贯彻执行县财政局《关于开展行政事业单位内部控制报告编报工作的通知》文件要求，结合我</w:t>
      </w:r>
      <w:r>
        <w:rPr>
          <w:rFonts w:hint="eastAsia" w:ascii="仿宋_GB2312" w:hAnsi="宋体" w:eastAsia="仿宋_GB2312"/>
          <w:sz w:val="32"/>
          <w:lang w:val="en-US" w:eastAsia="zh-CN"/>
        </w:rPr>
        <w:t>局</w:t>
      </w:r>
      <w:r>
        <w:rPr>
          <w:rFonts w:hint="eastAsia" w:ascii="仿宋_GB2312" w:hAnsi="宋体" w:eastAsia="仿宋_GB2312"/>
          <w:sz w:val="32"/>
          <w:lang w:val="zh-CN" w:eastAsia="zh-CN"/>
        </w:rPr>
        <w:t>实际，特制订预算管理、财务收支管理、政府采购及管理、资产管理、基本建设项目管理、合同管理、财务管理、差旅费报销、公务接待和陪餐、工作岗位职责、考勤请销假、下乡和车辆管理、驾驶员管理工作、会务工作、保密工作、办公室首问、公室印章管理使用、学习会议等制度草案。</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4、信息公开方面：预算决算公开按财政局的要求在收到财政批复后20个工作日在金川县政府中心的信息网站进行公开。</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5、绩效评价及财政监督情况:按金财监绩【</w:t>
      </w:r>
      <w:r>
        <w:rPr>
          <w:rFonts w:hint="eastAsia" w:ascii="仿宋_GB2312" w:hAnsi="宋体" w:eastAsia="仿宋_GB2312"/>
          <w:sz w:val="32"/>
          <w:lang w:val="en-US" w:eastAsia="zh-CN"/>
        </w:rPr>
        <w:t>2020</w:t>
      </w:r>
      <w:r>
        <w:rPr>
          <w:rFonts w:hint="eastAsia" w:ascii="仿宋_GB2312" w:hAnsi="宋体" w:eastAsia="仿宋_GB2312"/>
          <w:sz w:val="32"/>
          <w:lang w:val="zh-CN" w:eastAsia="zh-CN"/>
        </w:rPr>
        <w:t>】</w:t>
      </w:r>
      <w:r>
        <w:rPr>
          <w:rFonts w:hint="eastAsia" w:ascii="仿宋_GB2312" w:hAnsi="宋体" w:eastAsia="仿宋_GB2312"/>
          <w:sz w:val="32"/>
          <w:lang w:val="en-US" w:eastAsia="zh-CN"/>
        </w:rPr>
        <w:t>21</w:t>
      </w:r>
      <w:r>
        <w:rPr>
          <w:rFonts w:hint="eastAsia" w:ascii="仿宋_GB2312" w:hAnsi="宋体" w:eastAsia="仿宋_GB2312"/>
          <w:sz w:val="32"/>
          <w:lang w:val="zh-CN" w:eastAsia="zh-CN"/>
        </w:rPr>
        <w:t>号文件的附件4部门支出绩效评价指标体系进行单位自评，按财政要求收支并接受财政的监督管理。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宋体" w:hAnsi="宋体" w:eastAsia="宋体" w:cs="宋体"/>
          <w:b/>
          <w:sz w:val="32"/>
          <w:szCs w:val="32"/>
        </w:rPr>
      </w:pPr>
      <w:r>
        <w:rPr>
          <w:rFonts w:hint="eastAsia" w:ascii="宋体" w:hAnsi="宋体" w:eastAsia="宋体" w:cs="宋体"/>
          <w:sz w:val="32"/>
          <w:szCs w:val="32"/>
        </w:rPr>
        <w:t xml:space="preserve"> </w:t>
      </w:r>
      <w:r>
        <w:rPr>
          <w:rFonts w:hint="eastAsia" w:ascii="宋体" w:hAnsi="宋体" w:eastAsia="宋体" w:cs="宋体"/>
          <w:b/>
          <w:sz w:val="32"/>
          <w:szCs w:val="32"/>
        </w:rPr>
        <w:t>（四）、整体绩效</w:t>
      </w:r>
    </w:p>
    <w:p>
      <w:pPr>
        <w:snapToGrid w:val="0"/>
        <w:spacing w:line="600" w:lineRule="exact"/>
        <w:ind w:firstLine="640" w:firstLineChars="200"/>
        <w:rPr>
          <w:rFonts w:hint="eastAsia" w:ascii="仿宋_GB2312" w:hAnsi="宋体" w:eastAsia="仿宋_GB2312"/>
          <w:sz w:val="32"/>
          <w:lang w:val="en-US" w:eastAsia="zh-CN"/>
        </w:rPr>
      </w:pPr>
      <w:r>
        <w:rPr>
          <w:rFonts w:hint="eastAsia" w:ascii="仿宋_GB2312" w:hAnsi="宋体" w:eastAsia="仿宋_GB2312"/>
          <w:sz w:val="32"/>
          <w:lang w:val="zh-CN" w:eastAsia="zh-CN"/>
        </w:rPr>
        <w:t xml:space="preserve">  根据金财监绩【</w:t>
      </w:r>
      <w:r>
        <w:rPr>
          <w:rFonts w:hint="eastAsia" w:ascii="仿宋_GB2312" w:hAnsi="宋体" w:eastAsia="仿宋_GB2312"/>
          <w:sz w:val="32"/>
          <w:lang w:val="en-US" w:eastAsia="zh-CN"/>
        </w:rPr>
        <w:t>2020</w:t>
      </w:r>
      <w:r>
        <w:rPr>
          <w:rFonts w:hint="eastAsia" w:ascii="仿宋_GB2312" w:hAnsi="宋体" w:eastAsia="仿宋_GB2312"/>
          <w:sz w:val="32"/>
          <w:lang w:val="zh-CN" w:eastAsia="zh-CN"/>
        </w:rPr>
        <w:t>】</w:t>
      </w:r>
      <w:r>
        <w:rPr>
          <w:rFonts w:hint="eastAsia" w:ascii="仿宋_GB2312" w:hAnsi="宋体" w:eastAsia="仿宋_GB2312"/>
          <w:sz w:val="32"/>
          <w:lang w:val="en-US" w:eastAsia="zh-CN"/>
        </w:rPr>
        <w:t>21</w:t>
      </w:r>
      <w:r>
        <w:rPr>
          <w:rFonts w:hint="eastAsia" w:ascii="仿宋_GB2312" w:hAnsi="宋体" w:eastAsia="仿宋_GB2312"/>
          <w:sz w:val="32"/>
          <w:lang w:val="zh-CN" w:eastAsia="zh-CN"/>
        </w:rPr>
        <w:t>号文件的附件4部门支出绩效评价指标体系进行单位自评。</w:t>
      </w:r>
      <w:r>
        <w:rPr>
          <w:rFonts w:hint="eastAsia" w:ascii="仿宋_GB2312" w:hAnsi="宋体" w:eastAsia="仿宋_GB2312"/>
          <w:sz w:val="32"/>
          <w:lang w:val="en-US" w:eastAsia="zh-CN"/>
        </w:rPr>
        <w:t>从整体情况来看，我局严格按照年初预算进行部门整体支出，预算资金覆盖我局工作的各个方面，按照保工资、保运转、保民生的保障序列科学编制、分配办法科学，考虑的因素必须合理，分配的结果合理，保障了人员经费及单位正常运转。在支出过程中，能严格遵守各项规章制度，“三公”经费有所下降。所有项目都制定了详细方案，严格按照方案组织实施，并加强监督，尤其是专项经费支出，做到能专款专用，严格审批程序，按照项目实施进度情况进行资金拨付，无截留、无挪用等现象，保障资金安全。</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宋体" w:hAnsi="宋体" w:eastAsia="宋体" w:cs="宋体"/>
          <w:b/>
          <w:bCs w:val="0"/>
          <w:sz w:val="32"/>
          <w:szCs w:val="32"/>
        </w:rPr>
      </w:pPr>
      <w:r>
        <w:rPr>
          <w:rFonts w:hint="eastAsia" w:ascii="宋体" w:hAnsi="宋体" w:eastAsia="宋体" w:cs="宋体"/>
          <w:b/>
          <w:bCs w:val="0"/>
          <w:sz w:val="32"/>
          <w:szCs w:val="32"/>
        </w:rPr>
        <w:t>四、评价结论及建议</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（一）、评价结论。根据金财监绩【</w:t>
      </w:r>
      <w:r>
        <w:rPr>
          <w:rFonts w:hint="eastAsia" w:ascii="仿宋_GB2312" w:hAnsi="宋体" w:eastAsia="仿宋_GB2312"/>
          <w:sz w:val="32"/>
          <w:lang w:val="en-US" w:eastAsia="zh-CN"/>
        </w:rPr>
        <w:t>2020</w:t>
      </w:r>
      <w:r>
        <w:rPr>
          <w:rFonts w:hint="eastAsia" w:ascii="仿宋_GB2312" w:hAnsi="宋体" w:eastAsia="仿宋_GB2312"/>
          <w:sz w:val="32"/>
          <w:lang w:val="zh-CN" w:eastAsia="zh-CN"/>
        </w:rPr>
        <w:t>】</w:t>
      </w:r>
      <w:r>
        <w:rPr>
          <w:rFonts w:hint="eastAsia" w:ascii="仿宋_GB2312" w:hAnsi="宋体" w:eastAsia="仿宋_GB2312"/>
          <w:sz w:val="32"/>
          <w:lang w:val="en-US" w:eastAsia="zh-CN"/>
        </w:rPr>
        <w:t>21</w:t>
      </w:r>
      <w:r>
        <w:rPr>
          <w:rFonts w:hint="eastAsia" w:ascii="仿宋_GB2312" w:hAnsi="宋体" w:eastAsia="仿宋_GB2312"/>
          <w:sz w:val="32"/>
          <w:lang w:val="zh-CN" w:eastAsia="zh-CN"/>
        </w:rPr>
        <w:t>号文件的附件4部门支出绩效评价指标体系进行单位自评，圆满完成绩效自评工作，圆满完成中央、省、州委和县的重要工作、目标任务。</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本单位总体评价内容内实际得分</w:t>
      </w:r>
      <w:r>
        <w:rPr>
          <w:rFonts w:hint="eastAsia" w:ascii="仿宋_GB2312" w:hAnsi="宋体" w:eastAsia="仿宋_GB2312"/>
          <w:sz w:val="32"/>
          <w:lang w:val="en-US" w:eastAsia="zh-CN"/>
        </w:rPr>
        <w:t>68</w:t>
      </w:r>
      <w:r>
        <w:rPr>
          <w:rFonts w:hint="eastAsia" w:ascii="仿宋_GB2312" w:hAnsi="宋体" w:eastAsia="仿宋_GB2312"/>
          <w:sz w:val="32"/>
          <w:lang w:val="zh-CN" w:eastAsia="zh-CN"/>
        </w:rPr>
        <w:t>分，最后得分</w:t>
      </w:r>
      <w:r>
        <w:rPr>
          <w:rFonts w:hint="eastAsia" w:ascii="仿宋_GB2312" w:hAnsi="宋体" w:eastAsia="仿宋_GB2312"/>
          <w:sz w:val="32"/>
          <w:lang w:val="en-US" w:eastAsia="zh-CN"/>
        </w:rPr>
        <w:t>89</w:t>
      </w:r>
      <w:r>
        <w:rPr>
          <w:rFonts w:hint="eastAsia" w:ascii="仿宋_GB2312" w:hAnsi="宋体" w:eastAsia="仿宋_GB2312"/>
          <w:sz w:val="32"/>
          <w:lang w:val="zh-CN" w:eastAsia="zh-CN"/>
        </w:rPr>
        <w:t>分（注:本单位本次自评总分={6</w:t>
      </w:r>
      <w:r>
        <w:rPr>
          <w:rFonts w:hint="eastAsia" w:ascii="仿宋_GB2312" w:hAnsi="宋体" w:eastAsia="仿宋_GB2312"/>
          <w:sz w:val="32"/>
          <w:lang w:val="en-US" w:eastAsia="zh-CN"/>
        </w:rPr>
        <w:t>8</w:t>
      </w:r>
      <w:r>
        <w:rPr>
          <w:rFonts w:hint="eastAsia" w:ascii="仿宋_GB2312" w:hAnsi="宋体" w:eastAsia="仿宋_GB2312"/>
          <w:sz w:val="32"/>
          <w:lang w:val="zh-CN" w:eastAsia="zh-CN"/>
        </w:rPr>
        <w:t>/（100-</w:t>
      </w:r>
      <w:r>
        <w:rPr>
          <w:rFonts w:hint="eastAsia" w:ascii="仿宋_GB2312" w:hAnsi="宋体" w:eastAsia="仿宋_GB2312"/>
          <w:sz w:val="32"/>
          <w:lang w:val="en-US" w:eastAsia="zh-CN"/>
        </w:rPr>
        <w:t>24</w:t>
      </w:r>
      <w:r>
        <w:rPr>
          <w:rFonts w:hint="eastAsia" w:ascii="仿宋_GB2312" w:hAnsi="宋体" w:eastAsia="仿宋_GB2312"/>
          <w:sz w:val="32"/>
          <w:lang w:val="zh-CN" w:eastAsia="zh-CN"/>
        </w:rPr>
        <w:t>）}100=</w:t>
      </w:r>
      <w:r>
        <w:rPr>
          <w:rFonts w:hint="eastAsia" w:ascii="仿宋_GB2312" w:hAnsi="宋体" w:eastAsia="仿宋_GB2312"/>
          <w:sz w:val="32"/>
          <w:lang w:val="en-US" w:eastAsia="zh-CN"/>
        </w:rPr>
        <w:t>89</w:t>
      </w:r>
      <w:r>
        <w:rPr>
          <w:rFonts w:hint="eastAsia" w:ascii="仿宋_GB2312" w:hAnsi="宋体" w:eastAsia="仿宋_GB2312"/>
          <w:sz w:val="32"/>
          <w:lang w:val="zh-CN" w:eastAsia="zh-CN"/>
        </w:rPr>
        <w:t>分）。</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（二）存在问题。</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我局由于涉及工作面广、工作量大及繁琐、有些无法预计事项的经费产生及转出，导致调整预算、预算不精准。</w:t>
      </w:r>
    </w:p>
    <w:p>
      <w:pPr>
        <w:snapToGrid w:val="0"/>
        <w:spacing w:line="600" w:lineRule="exact"/>
        <w:ind w:firstLine="640" w:firstLineChars="200"/>
        <w:rPr>
          <w:rFonts w:hint="eastAsia" w:ascii="仿宋_GB2312" w:hAnsi="宋体" w:eastAsia="仿宋_GB2312"/>
          <w:sz w:val="32"/>
          <w:lang w:val="zh-CN" w:eastAsia="zh-CN"/>
        </w:rPr>
      </w:pPr>
      <w:r>
        <w:rPr>
          <w:rFonts w:hint="eastAsia" w:ascii="仿宋_GB2312" w:hAnsi="宋体" w:eastAsia="仿宋_GB2312"/>
          <w:sz w:val="32"/>
          <w:lang w:val="zh-CN" w:eastAsia="zh-CN"/>
        </w:rPr>
        <w:t>（三）改进建议。</w:t>
      </w:r>
    </w:p>
    <w:p>
      <w:pPr>
        <w:snapToGrid w:val="0"/>
        <w:spacing w:line="600" w:lineRule="exact"/>
        <w:ind w:firstLine="640" w:firstLineChars="200"/>
        <w:rPr>
          <w:rFonts w:hint="eastAsia" w:ascii="宋体" w:hAnsi="宋体" w:eastAsia="宋体" w:cs="宋体"/>
          <w:kern w:val="0"/>
          <w:sz w:val="32"/>
          <w:szCs w:val="32"/>
          <w:lang w:val="zh-CN"/>
        </w:rPr>
      </w:pPr>
      <w:r>
        <w:rPr>
          <w:rFonts w:hint="eastAsia" w:ascii="仿宋_GB2312" w:hAnsi="宋体" w:eastAsia="仿宋_GB2312"/>
          <w:sz w:val="32"/>
          <w:lang w:val="zh-CN" w:eastAsia="zh-CN"/>
        </w:rPr>
        <w:t>我们将进一步重视预算的编制工作，提高预算编制的精确度，提高财政资金使用效率，尽量减少预算执行调整、结余追减的情形。</w:t>
      </w:r>
    </w:p>
    <w:p>
      <w:pPr>
        <w:rPr>
          <w:rFonts w:hint="eastAsia" w:ascii="黑体" w:eastAsia="黑体"/>
          <w:sz w:val="44"/>
          <w:szCs w:val="44"/>
        </w:rPr>
      </w:pPr>
      <w:r>
        <w:rPr>
          <w:rFonts w:hint="eastAsia" w:ascii="黑体" w:eastAsia="黑体"/>
          <w:sz w:val="44"/>
          <w:szCs w:val="44"/>
        </w:rPr>
        <w:br w:type="page"/>
      </w:r>
    </w:p>
    <w:p>
      <w:pPr>
        <w:spacing w:line="600" w:lineRule="exact"/>
        <w:jc w:val="center"/>
        <w:outlineLvl w:val="0"/>
        <w:rPr>
          <w:rStyle w:val="20"/>
          <w:rFonts w:ascii="黑体" w:eastAsia="黑体"/>
          <w:b w:val="0"/>
        </w:rPr>
      </w:pPr>
      <w:r>
        <w:rPr>
          <w:rFonts w:hint="eastAsia" w:ascii="黑体" w:eastAsia="黑体"/>
          <w:sz w:val="44"/>
          <w:szCs w:val="44"/>
        </w:rPr>
        <w:t>第</w:t>
      </w:r>
      <w:r>
        <w:rPr>
          <w:rStyle w:val="20"/>
          <w:rFonts w:hint="eastAsia" w:ascii="黑体" w:eastAsia="黑体"/>
          <w:b w:val="0"/>
        </w:rPr>
        <w:t>五部分 附表</w:t>
      </w:r>
      <w:bookmarkEnd w:id="57"/>
    </w:p>
    <w:p>
      <w:pPr>
        <w:pStyle w:val="4"/>
        <w:rPr>
          <w:rFonts w:ascii="仿宋" w:eastAsia="仿宋"/>
        </w:rPr>
      </w:pPr>
      <w:r>
        <w:rPr>
          <w:rFonts w:hint="eastAsia" w:ascii="仿宋" w:eastAsia="仿宋"/>
          <w:b w:val="0"/>
        </w:rPr>
        <w:t>一、收</w:t>
      </w:r>
      <w:r>
        <w:rPr>
          <w:rStyle w:val="21"/>
          <w:rFonts w:hint="eastAsia" w:ascii="仿宋" w:eastAsia="仿宋"/>
          <w:b w:val="0"/>
          <w:bCs w:val="0"/>
        </w:rPr>
        <w:t>入支出决算总表</w:t>
      </w:r>
      <w:bookmarkEnd w:id="58"/>
    </w:p>
    <w:p>
      <w:pPr>
        <w:pStyle w:val="4"/>
        <w:rPr>
          <w:rFonts w:ascii="仿宋" w:eastAsia="仿宋"/>
        </w:rPr>
      </w:pPr>
      <w:bookmarkStart w:id="59" w:name="_Toc15396620"/>
      <w:r>
        <w:rPr>
          <w:rFonts w:hint="eastAsia" w:ascii="仿宋" w:eastAsia="仿宋"/>
          <w:b w:val="0"/>
        </w:rPr>
        <w:t>二、收</w:t>
      </w:r>
      <w:r>
        <w:rPr>
          <w:rStyle w:val="21"/>
          <w:rFonts w:hint="eastAsia" w:ascii="仿宋" w:eastAsia="仿宋"/>
          <w:b w:val="0"/>
          <w:bCs w:val="0"/>
        </w:rPr>
        <w:t>入总表</w:t>
      </w:r>
      <w:bookmarkEnd w:id="59"/>
    </w:p>
    <w:p>
      <w:pPr>
        <w:pStyle w:val="4"/>
        <w:rPr>
          <w:rFonts w:ascii="仿宋" w:eastAsia="仿宋"/>
        </w:rPr>
      </w:pPr>
      <w:bookmarkStart w:id="60" w:name="_Toc15396621"/>
      <w:r>
        <w:rPr>
          <w:rStyle w:val="21"/>
          <w:rFonts w:hint="eastAsia" w:ascii="仿宋" w:eastAsia="仿宋"/>
          <w:b w:val="0"/>
          <w:bCs w:val="0"/>
        </w:rPr>
        <w:t>三、</w:t>
      </w:r>
      <w:r>
        <w:rPr>
          <w:rFonts w:hint="eastAsia" w:ascii="仿宋" w:eastAsia="仿宋"/>
          <w:b w:val="0"/>
        </w:rPr>
        <w:t>支</w:t>
      </w:r>
      <w:r>
        <w:rPr>
          <w:rStyle w:val="21"/>
          <w:rFonts w:hint="eastAsia" w:ascii="仿宋" w:eastAsia="仿宋"/>
          <w:b w:val="0"/>
          <w:bCs w:val="0"/>
        </w:rPr>
        <w:t>出总表</w:t>
      </w:r>
      <w:bookmarkEnd w:id="60"/>
    </w:p>
    <w:p>
      <w:pPr>
        <w:pStyle w:val="4"/>
        <w:rPr>
          <w:rFonts w:ascii="仿宋" w:eastAsia="仿宋"/>
          <w:b w:val="0"/>
        </w:rPr>
      </w:pPr>
      <w:bookmarkStart w:id="61" w:name="_Toc15396622"/>
      <w:r>
        <w:rPr>
          <w:rStyle w:val="21"/>
          <w:rFonts w:hint="eastAsia" w:ascii="仿宋" w:eastAsia="仿宋"/>
          <w:b w:val="0"/>
          <w:bCs w:val="0"/>
        </w:rPr>
        <w:t>四、</w:t>
      </w:r>
      <w:r>
        <w:rPr>
          <w:rFonts w:hint="eastAsia" w:ascii="仿宋" w:eastAsia="仿宋"/>
          <w:b w:val="0"/>
        </w:rPr>
        <w:t>财</w:t>
      </w:r>
      <w:r>
        <w:rPr>
          <w:rStyle w:val="21"/>
          <w:rFonts w:hint="eastAsia" w:ascii="仿宋" w:eastAsia="仿宋"/>
          <w:b w:val="0"/>
          <w:bCs w:val="0"/>
        </w:rPr>
        <w:t>政拨款收入支出决算总表</w:t>
      </w:r>
      <w:bookmarkEnd w:id="61"/>
    </w:p>
    <w:p>
      <w:pPr>
        <w:pStyle w:val="4"/>
        <w:rPr>
          <w:rFonts w:ascii="仿宋" w:eastAsia="仿宋"/>
        </w:rPr>
      </w:pPr>
      <w:bookmarkStart w:id="62" w:name="_Toc15396623"/>
      <w:r>
        <w:rPr>
          <w:rStyle w:val="21"/>
          <w:rFonts w:hint="eastAsia" w:ascii="仿宋" w:eastAsia="仿宋"/>
          <w:b w:val="0"/>
          <w:bCs w:val="0"/>
        </w:rPr>
        <w:t>五、</w:t>
      </w:r>
      <w:r>
        <w:rPr>
          <w:rFonts w:hint="eastAsia" w:ascii="仿宋" w:eastAsia="仿宋"/>
          <w:b w:val="0"/>
        </w:rPr>
        <w:t>财</w:t>
      </w:r>
      <w:r>
        <w:rPr>
          <w:rStyle w:val="21"/>
          <w:rFonts w:hint="eastAsia" w:ascii="仿宋" w:eastAsia="仿宋"/>
          <w:b w:val="0"/>
          <w:bCs w:val="0"/>
        </w:rPr>
        <w:t>政拨款支出决算明细表（政府经济分类科目）</w:t>
      </w:r>
      <w:bookmarkEnd w:id="62"/>
    </w:p>
    <w:p>
      <w:pPr>
        <w:pStyle w:val="4"/>
        <w:rPr>
          <w:rFonts w:ascii="仿宋" w:eastAsia="仿宋"/>
        </w:rPr>
      </w:pPr>
      <w:bookmarkStart w:id="63" w:name="_Toc15396624"/>
      <w:r>
        <w:rPr>
          <w:rStyle w:val="21"/>
          <w:rFonts w:hint="eastAsia" w:ascii="仿宋" w:eastAsia="仿宋"/>
          <w:b w:val="0"/>
          <w:bCs w:val="0"/>
        </w:rPr>
        <w:t>六、</w:t>
      </w:r>
      <w:r>
        <w:rPr>
          <w:rFonts w:hint="eastAsia" w:ascii="仿宋" w:eastAsia="仿宋"/>
          <w:b w:val="0"/>
        </w:rPr>
        <w:t>一</w:t>
      </w:r>
      <w:r>
        <w:rPr>
          <w:rStyle w:val="21"/>
          <w:rFonts w:hint="eastAsia" w:ascii="仿宋" w:eastAsia="仿宋"/>
          <w:b w:val="0"/>
          <w:bCs w:val="0"/>
        </w:rPr>
        <w:t>般公共预算财政拨款支出决算表</w:t>
      </w:r>
      <w:bookmarkEnd w:id="63"/>
    </w:p>
    <w:p>
      <w:pPr>
        <w:pStyle w:val="4"/>
        <w:rPr>
          <w:rFonts w:ascii="仿宋" w:eastAsia="仿宋"/>
        </w:rPr>
      </w:pPr>
      <w:bookmarkStart w:id="64" w:name="_Toc15396625"/>
      <w:r>
        <w:rPr>
          <w:rStyle w:val="21"/>
          <w:rFonts w:hint="eastAsia" w:ascii="仿宋" w:eastAsia="仿宋"/>
          <w:b w:val="0"/>
          <w:bCs w:val="0"/>
        </w:rPr>
        <w:t>七、</w:t>
      </w:r>
      <w:r>
        <w:rPr>
          <w:rFonts w:hint="eastAsia" w:ascii="仿宋" w:eastAsia="仿宋"/>
          <w:b w:val="0"/>
        </w:rPr>
        <w:t>一</w:t>
      </w:r>
      <w:r>
        <w:rPr>
          <w:rStyle w:val="21"/>
          <w:rFonts w:hint="eastAsia" w:ascii="仿宋" w:eastAsia="仿宋"/>
          <w:b w:val="0"/>
          <w:bCs w:val="0"/>
        </w:rPr>
        <w:t>般公共预算财政拨款支出决算明细表</w:t>
      </w:r>
      <w:bookmarkEnd w:id="64"/>
    </w:p>
    <w:p>
      <w:pPr>
        <w:pStyle w:val="4"/>
        <w:rPr>
          <w:rFonts w:ascii="仿宋" w:eastAsia="仿宋"/>
        </w:rPr>
      </w:pPr>
      <w:bookmarkStart w:id="65" w:name="_Toc15396626"/>
      <w:r>
        <w:rPr>
          <w:rStyle w:val="21"/>
          <w:rFonts w:hint="eastAsia" w:ascii="仿宋" w:eastAsia="仿宋"/>
          <w:b w:val="0"/>
          <w:bCs w:val="0"/>
        </w:rPr>
        <w:t>八、</w:t>
      </w:r>
      <w:r>
        <w:rPr>
          <w:rFonts w:hint="eastAsia" w:ascii="仿宋" w:eastAsia="仿宋"/>
          <w:b w:val="0"/>
        </w:rPr>
        <w:t>一</w:t>
      </w:r>
      <w:r>
        <w:rPr>
          <w:rStyle w:val="21"/>
          <w:rFonts w:hint="eastAsia" w:ascii="仿宋" w:eastAsia="仿宋"/>
          <w:b w:val="0"/>
          <w:bCs w:val="0"/>
        </w:rPr>
        <w:t>般公共预算财政拨款基本支出决算表</w:t>
      </w:r>
      <w:bookmarkEnd w:id="65"/>
    </w:p>
    <w:p>
      <w:pPr>
        <w:pStyle w:val="4"/>
        <w:rPr>
          <w:rFonts w:ascii="仿宋" w:eastAsia="仿宋"/>
        </w:rPr>
      </w:pPr>
      <w:bookmarkStart w:id="66" w:name="_Toc15396627"/>
      <w:r>
        <w:rPr>
          <w:rStyle w:val="21"/>
          <w:rFonts w:hint="eastAsia" w:ascii="仿宋" w:eastAsia="仿宋"/>
          <w:b w:val="0"/>
          <w:bCs w:val="0"/>
        </w:rPr>
        <w:t>九、</w:t>
      </w:r>
      <w:r>
        <w:rPr>
          <w:rFonts w:hint="eastAsia" w:ascii="仿宋" w:eastAsia="仿宋"/>
          <w:b w:val="0"/>
        </w:rPr>
        <w:t>一</w:t>
      </w:r>
      <w:r>
        <w:rPr>
          <w:rStyle w:val="21"/>
          <w:rFonts w:hint="eastAsia" w:ascii="仿宋" w:eastAsia="仿宋"/>
          <w:b w:val="0"/>
          <w:bCs w:val="0"/>
        </w:rPr>
        <w:t>般公共预算财政拨款项目支出决算表</w:t>
      </w:r>
      <w:bookmarkEnd w:id="66"/>
    </w:p>
    <w:p>
      <w:pPr>
        <w:pStyle w:val="4"/>
        <w:rPr>
          <w:rFonts w:ascii="仿宋" w:eastAsia="仿宋"/>
        </w:rPr>
      </w:pPr>
      <w:bookmarkStart w:id="67" w:name="_Toc15396628"/>
      <w:r>
        <w:rPr>
          <w:rStyle w:val="21"/>
          <w:rFonts w:hint="eastAsia" w:ascii="仿宋" w:eastAsia="仿宋"/>
          <w:b w:val="0"/>
          <w:bCs w:val="0"/>
        </w:rPr>
        <w:t>十、</w:t>
      </w:r>
      <w:r>
        <w:rPr>
          <w:rFonts w:hint="eastAsia" w:ascii="仿宋" w:eastAsia="仿宋"/>
          <w:b w:val="0"/>
        </w:rPr>
        <w:t>一</w:t>
      </w:r>
      <w:r>
        <w:rPr>
          <w:rStyle w:val="21"/>
          <w:rFonts w:hint="eastAsia" w:ascii="仿宋" w:eastAsia="仿宋"/>
          <w:b w:val="0"/>
          <w:bCs w:val="0"/>
        </w:rPr>
        <w:t>般公共预算财政拨款“三公”经费支出决算表</w:t>
      </w:r>
      <w:bookmarkEnd w:id="67"/>
    </w:p>
    <w:p>
      <w:pPr>
        <w:pStyle w:val="4"/>
        <w:rPr>
          <w:rFonts w:ascii="仿宋" w:eastAsia="仿宋"/>
        </w:rPr>
      </w:pPr>
      <w:bookmarkStart w:id="68" w:name="_Toc15396629"/>
      <w:r>
        <w:rPr>
          <w:rStyle w:val="21"/>
          <w:rFonts w:hint="eastAsia" w:ascii="仿宋" w:eastAsia="仿宋"/>
          <w:b w:val="0"/>
          <w:bCs w:val="0"/>
        </w:rPr>
        <w:t>十一、</w:t>
      </w:r>
      <w:r>
        <w:rPr>
          <w:rFonts w:hint="eastAsia" w:ascii="仿宋" w:eastAsia="仿宋"/>
          <w:b w:val="0"/>
        </w:rPr>
        <w:t>政</w:t>
      </w:r>
      <w:r>
        <w:rPr>
          <w:rStyle w:val="21"/>
          <w:rFonts w:hint="eastAsia" w:ascii="仿宋" w:eastAsia="仿宋"/>
          <w:b w:val="0"/>
          <w:bCs w:val="0"/>
        </w:rPr>
        <w:t>府性基金预算财政拨款收入支出决算表</w:t>
      </w:r>
      <w:bookmarkEnd w:id="68"/>
    </w:p>
    <w:p>
      <w:pPr>
        <w:pStyle w:val="4"/>
        <w:rPr>
          <w:rFonts w:ascii="仿宋" w:eastAsia="仿宋"/>
        </w:rPr>
      </w:pPr>
      <w:bookmarkStart w:id="69" w:name="_Toc15396630"/>
      <w:r>
        <w:rPr>
          <w:rStyle w:val="21"/>
          <w:rFonts w:hint="eastAsia" w:ascii="仿宋" w:eastAsia="仿宋"/>
          <w:b w:val="0"/>
          <w:bCs w:val="0"/>
        </w:rPr>
        <w:t>十二、</w:t>
      </w:r>
      <w:r>
        <w:rPr>
          <w:rFonts w:hint="eastAsia" w:ascii="仿宋" w:eastAsia="仿宋"/>
          <w:b w:val="0"/>
        </w:rPr>
        <w:t>政</w:t>
      </w:r>
      <w:r>
        <w:rPr>
          <w:rStyle w:val="21"/>
          <w:rFonts w:hint="eastAsia" w:ascii="仿宋" w:eastAsia="仿宋"/>
          <w:b w:val="0"/>
          <w:bCs w:val="0"/>
        </w:rPr>
        <w:t>府性基金预算财政拨款“三公”经费支出决算表</w:t>
      </w:r>
      <w:bookmarkEnd w:id="69"/>
    </w:p>
    <w:p>
      <w:pPr>
        <w:pStyle w:val="4"/>
        <w:rPr>
          <w:rFonts w:ascii="仿宋" w:eastAsia="仿宋"/>
        </w:rPr>
      </w:pPr>
      <w:bookmarkStart w:id="70" w:name="_Toc15396631"/>
      <w:r>
        <w:rPr>
          <w:rStyle w:val="21"/>
          <w:rFonts w:hint="eastAsia" w:ascii="仿宋" w:eastAsia="仿宋"/>
          <w:b w:val="0"/>
          <w:bCs w:val="0"/>
        </w:rPr>
        <w:t>十三、</w:t>
      </w:r>
      <w:r>
        <w:rPr>
          <w:rFonts w:hint="eastAsia" w:ascii="仿宋" w:eastAsia="仿宋"/>
          <w:b w:val="0"/>
        </w:rPr>
        <w:t>国</w:t>
      </w:r>
      <w:r>
        <w:rPr>
          <w:rStyle w:val="21"/>
          <w:rFonts w:hint="eastAsia" w:ascii="仿宋" w:eastAsia="仿宋"/>
          <w:b w:val="0"/>
          <w:bCs w:val="0"/>
        </w:rPr>
        <w:t>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10"/>
          <w:jc w:val="center"/>
        </w:pPr>
        <w:r>
          <w:fldChar w:fldCharType="begin"/>
        </w:r>
        <w:r>
          <w:instrText xml:space="preserve">PAGE   \* MERGEFORMAT</w:instrText>
        </w:r>
        <w:r>
          <w:fldChar w:fldCharType="separate"/>
        </w:r>
        <w:r>
          <w:rPr>
            <w:lang w:val="zh-CN"/>
          </w:rPr>
          <w:t>18</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1934D3"/>
    <w:multiLevelType w:val="singleLevel"/>
    <w:tmpl w:val="D91934D3"/>
    <w:lvl w:ilvl="0" w:tentative="0">
      <w:start w:val="2"/>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747"/>
    <w:rsid w:val="00026ACC"/>
    <w:rsid w:val="00147D4E"/>
    <w:rsid w:val="0016176D"/>
    <w:rsid w:val="0031164A"/>
    <w:rsid w:val="00416839"/>
    <w:rsid w:val="00526FAE"/>
    <w:rsid w:val="00795978"/>
    <w:rsid w:val="00887747"/>
    <w:rsid w:val="008A4190"/>
    <w:rsid w:val="009C3410"/>
    <w:rsid w:val="00B257DF"/>
    <w:rsid w:val="00BE563B"/>
    <w:rsid w:val="00C80D9C"/>
    <w:rsid w:val="00C83BA0"/>
    <w:rsid w:val="00D66F6D"/>
    <w:rsid w:val="00DE7C5B"/>
    <w:rsid w:val="00E4526B"/>
    <w:rsid w:val="00E85877"/>
    <w:rsid w:val="00FF213A"/>
    <w:rsid w:val="037A2151"/>
    <w:rsid w:val="03B8522D"/>
    <w:rsid w:val="040C58DA"/>
    <w:rsid w:val="04E86262"/>
    <w:rsid w:val="05273A41"/>
    <w:rsid w:val="054F0411"/>
    <w:rsid w:val="05983EF1"/>
    <w:rsid w:val="06280A8E"/>
    <w:rsid w:val="088049B9"/>
    <w:rsid w:val="09810C6C"/>
    <w:rsid w:val="0C190237"/>
    <w:rsid w:val="0C8E437D"/>
    <w:rsid w:val="0D7344EA"/>
    <w:rsid w:val="0D8F3F91"/>
    <w:rsid w:val="104B5A3B"/>
    <w:rsid w:val="114B69D5"/>
    <w:rsid w:val="11760142"/>
    <w:rsid w:val="124079B4"/>
    <w:rsid w:val="125D06A9"/>
    <w:rsid w:val="12D72D6F"/>
    <w:rsid w:val="14257B00"/>
    <w:rsid w:val="17C174DB"/>
    <w:rsid w:val="1D1B6F0B"/>
    <w:rsid w:val="1E127CF2"/>
    <w:rsid w:val="1FE511CA"/>
    <w:rsid w:val="22927F82"/>
    <w:rsid w:val="25FB2796"/>
    <w:rsid w:val="262D4FBA"/>
    <w:rsid w:val="27F145DF"/>
    <w:rsid w:val="28620E62"/>
    <w:rsid w:val="29D56496"/>
    <w:rsid w:val="2A71555B"/>
    <w:rsid w:val="2AA557B0"/>
    <w:rsid w:val="2BA62289"/>
    <w:rsid w:val="2C9A077A"/>
    <w:rsid w:val="2DEC2FF5"/>
    <w:rsid w:val="2E6F12A4"/>
    <w:rsid w:val="2ED96DB1"/>
    <w:rsid w:val="2F2865D8"/>
    <w:rsid w:val="32CF2DC7"/>
    <w:rsid w:val="35612B43"/>
    <w:rsid w:val="35ED0A63"/>
    <w:rsid w:val="389A4058"/>
    <w:rsid w:val="39E43AF5"/>
    <w:rsid w:val="3C474A8D"/>
    <w:rsid w:val="3D6B7712"/>
    <w:rsid w:val="3DD73F02"/>
    <w:rsid w:val="3E9D77A2"/>
    <w:rsid w:val="3ECF2680"/>
    <w:rsid w:val="3F9C6C45"/>
    <w:rsid w:val="3FFD496E"/>
    <w:rsid w:val="411B340D"/>
    <w:rsid w:val="44145879"/>
    <w:rsid w:val="456D29DF"/>
    <w:rsid w:val="462971A4"/>
    <w:rsid w:val="47842131"/>
    <w:rsid w:val="48111C7F"/>
    <w:rsid w:val="492B35DB"/>
    <w:rsid w:val="4A5C615B"/>
    <w:rsid w:val="4B703FE6"/>
    <w:rsid w:val="4BA629BD"/>
    <w:rsid w:val="4BB86056"/>
    <w:rsid w:val="4BFF1990"/>
    <w:rsid w:val="4DD02C95"/>
    <w:rsid w:val="510C7BF7"/>
    <w:rsid w:val="51EA2AD5"/>
    <w:rsid w:val="52AA7226"/>
    <w:rsid w:val="53A952A4"/>
    <w:rsid w:val="54ED32D6"/>
    <w:rsid w:val="580534A9"/>
    <w:rsid w:val="594121A1"/>
    <w:rsid w:val="5BBD50F4"/>
    <w:rsid w:val="5C3964CE"/>
    <w:rsid w:val="5CFE316C"/>
    <w:rsid w:val="5F7A3278"/>
    <w:rsid w:val="6068524C"/>
    <w:rsid w:val="63587ECC"/>
    <w:rsid w:val="63BF5A44"/>
    <w:rsid w:val="64577D1F"/>
    <w:rsid w:val="64823130"/>
    <w:rsid w:val="64CA4541"/>
    <w:rsid w:val="65370BBA"/>
    <w:rsid w:val="65496F4C"/>
    <w:rsid w:val="6589136B"/>
    <w:rsid w:val="65AB3004"/>
    <w:rsid w:val="66871D55"/>
    <w:rsid w:val="673C3A7C"/>
    <w:rsid w:val="67685D19"/>
    <w:rsid w:val="68A130CF"/>
    <w:rsid w:val="69170176"/>
    <w:rsid w:val="69AC4F8A"/>
    <w:rsid w:val="6A3E3788"/>
    <w:rsid w:val="6B1F187D"/>
    <w:rsid w:val="6F136550"/>
    <w:rsid w:val="70966E94"/>
    <w:rsid w:val="78144B8E"/>
    <w:rsid w:val="79F730B8"/>
    <w:rsid w:val="7ADC2426"/>
    <w:rsid w:val="7AED327C"/>
    <w:rsid w:val="7B5263B4"/>
    <w:rsid w:val="7BDD7E7C"/>
    <w:rsid w:val="7CC17C9A"/>
    <w:rsid w:val="7E0C19E5"/>
    <w:rsid w:val="7EF41D46"/>
    <w:rsid w:val="7F3F7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1"/>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Body Text Indent"/>
    <w:basedOn w:val="1"/>
    <w:qFormat/>
    <w:uiPriority w:val="0"/>
    <w:pPr>
      <w:spacing w:line="500" w:lineRule="exact"/>
      <w:ind w:firstLine="720" w:firstLineChars="240"/>
    </w:pPr>
    <w:rPr>
      <w:rFonts w:ascii="仿宋_GB2312"/>
      <w:b/>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paragraph" w:styleId="14">
    <w:name w:val="Body Text First Indent 2"/>
    <w:basedOn w:val="7"/>
    <w:unhideWhenUsed/>
    <w:qFormat/>
    <w:uiPriority w:val="99"/>
    <w:pPr>
      <w:spacing w:after="120"/>
      <w:ind w:left="420" w:leftChars="200" w:firstLine="420" w:firstLineChars="200"/>
    </w:pPr>
    <w:rPr>
      <w:rFonts w:hint="eastAsia" w:ascii="Times New Roman"/>
      <w:sz w:val="21"/>
    </w:rPr>
  </w:style>
  <w:style w:type="table" w:styleId="16">
    <w:name w:val="Table Grid"/>
    <w:basedOn w:val="15"/>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标题 1 Char"/>
    <w:basedOn w:val="17"/>
    <w:link w:val="3"/>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4"/>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7"/>
    <w:qFormat/>
    <w:uiPriority w:val="0"/>
    <w:rPr>
      <w:rFonts w:ascii="Times New Roman" w:hAnsi="Times New Roman"/>
      <w:sz w:val="18"/>
      <w:szCs w:val="18"/>
    </w:rPr>
  </w:style>
  <w:style w:type="character" w:customStyle="1" w:styleId="23">
    <w:name w:val="Footer Char"/>
    <w:basedOn w:val="17"/>
    <w:qFormat/>
    <w:uiPriority w:val="0"/>
    <w:rPr>
      <w:rFonts w:ascii="Times New Roman" w:hAnsi="Times New Roman"/>
      <w:sz w:val="18"/>
      <w:szCs w:val="18"/>
    </w:rPr>
  </w:style>
  <w:style w:type="character" w:customStyle="1" w:styleId="24">
    <w:name w:val="Body Text Char"/>
    <w:basedOn w:val="17"/>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3.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t>收、支决算结构图</a:t>
            </a:r>
            <a:endParaRPr lang="zh-CN"/>
          </a:p>
        </c:rich>
      </c:tx>
      <c:layout/>
      <c:overlay val="0"/>
    </c:title>
    <c:autoTitleDeleted val="0"/>
    <c:plotArea>
      <c:layout/>
      <c:barChart>
        <c:barDir val="col"/>
        <c:grouping val="clustered"/>
        <c:varyColors val="0"/>
        <c:ser>
          <c:idx val="0"/>
          <c:order val="0"/>
          <c:tx>
            <c:strRef>
              <c:f>[工作簿1]Sheet1!$A$3</c:f>
              <c:strCache>
                <c:ptCount val="1"/>
                <c:pt idx="0">
                  <c:v>总收入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multiLvlStrRef>
              <c:f>[工作簿1]Sheet1!$B$1:$C$2</c:f>
              <c:multiLvlStrCache>
                <c:ptCount val="2"/>
                <c:lvl>
                  <c:pt idx="0">
                    <c:v>2019年</c:v>
                  </c:pt>
                  <c:pt idx="1">
                    <c:v>2020年</c:v>
                  </c:pt>
                </c:lvl>
                <c:lvl/>
              </c:multiLvlStrCache>
            </c:multiLvlStrRef>
          </c:cat>
          <c:val>
            <c:numRef>
              <c:f>[工作簿1]Sheet1!$B$3:$C$3</c:f>
              <c:numCache>
                <c:formatCode>General</c:formatCode>
                <c:ptCount val="2"/>
                <c:pt idx="0">
                  <c:v>3266.76</c:v>
                </c:pt>
                <c:pt idx="1">
                  <c:v>729.36</c:v>
                </c:pt>
              </c:numCache>
            </c:numRef>
          </c:val>
        </c:ser>
        <c:ser>
          <c:idx val="1"/>
          <c:order val="1"/>
          <c:tx>
            <c:strRef>
              <c:f>[工作簿1]Sheet1!$A$4</c:f>
              <c:strCache>
                <c:ptCount val="1"/>
                <c:pt idx="0">
                  <c:v>总支出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multiLvlStrRef>
              <c:f>[工作簿1]Sheet1!$B$1:$C$2</c:f>
              <c:multiLvlStrCache>
                <c:ptCount val="2"/>
                <c:lvl>
                  <c:pt idx="0">
                    <c:v>2019年</c:v>
                  </c:pt>
                  <c:pt idx="1">
                    <c:v>2020年</c:v>
                  </c:pt>
                </c:lvl>
                <c:lvl/>
              </c:multiLvlStrCache>
            </c:multiLvlStrRef>
          </c:cat>
          <c:val>
            <c:numRef>
              <c:f>[工作簿1]Sheet1!$B$4:$C$4</c:f>
              <c:numCache>
                <c:formatCode>General</c:formatCode>
                <c:ptCount val="2"/>
                <c:pt idx="0">
                  <c:v>1704.01</c:v>
                </c:pt>
                <c:pt idx="1">
                  <c:v>1934.36</c:v>
                </c:pt>
              </c:numCache>
            </c:numRef>
          </c:val>
        </c:ser>
        <c:dLbls>
          <c:showLegendKey val="0"/>
          <c:showVal val="0"/>
          <c:showCatName val="0"/>
          <c:showSerName val="0"/>
          <c:showPercent val="0"/>
          <c:showBubbleSize val="0"/>
        </c:dLbls>
        <c:gapWidth val="219"/>
        <c:axId val="122199040"/>
        <c:axId val="122217216"/>
      </c:barChart>
      <c:catAx>
        <c:axId val="12219904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2217216"/>
        <c:crosses val="autoZero"/>
        <c:auto val="1"/>
        <c:lblAlgn val="ctr"/>
        <c:lblOffset val="100"/>
        <c:noMultiLvlLbl val="0"/>
      </c:catAx>
      <c:valAx>
        <c:axId val="122217216"/>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219904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2200" baseline="0">
                <a:solidFill>
                  <a:schemeClr val="tx1"/>
                </a:solidFill>
                <a:latin typeface="+mn-lt"/>
                <a:ea typeface="+mn-ea"/>
                <a:cs typeface="+mn-cs"/>
              </a:defRPr>
            </a:pPr>
            <a:r>
              <a:rPr lang="en-US"/>
              <a:t>2020</a:t>
            </a:r>
            <a:r>
              <a:rPr lang="zh-CN"/>
              <a:t>年收入决算结构图</a:t>
            </a:r>
            <a:endParaRPr lang="zh-CN"/>
          </a:p>
        </c:rich>
      </c:tx>
      <c:layout/>
      <c:overlay val="0"/>
      <c:spPr>
        <a:noFill/>
        <a:ln>
          <a:noFill/>
        </a:ln>
        <a:effectLst/>
      </c:spPr>
    </c:title>
    <c:autoTitleDeleted val="0"/>
    <c:plotArea>
      <c:layout/>
      <c:pieChart>
        <c:varyColors val="1"/>
        <c:ser>
          <c:idx val="0"/>
          <c:order val="0"/>
          <c:tx>
            <c:strRef>
              <c:f>[工作簿1]Sheet1!$B$12</c:f>
              <c:strCache>
                <c:ptCount val="1"/>
                <c:pt idx="0">
                  <c:v>2020年</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2200" baseline="0">
                    <a:solidFill>
                      <a:schemeClr val="tx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[工作簿1]Sheet1!$A$13:$A$14</c:f>
              <c:strCache>
                <c:ptCount val="2"/>
                <c:pt idx="0">
                  <c:v>1.一般公共预算财政拨款</c:v>
                </c:pt>
                <c:pt idx="1">
                  <c:v>2.政府性基金预算财政拨款</c:v>
                </c:pt>
              </c:strCache>
            </c:strRef>
          </c:cat>
          <c:val>
            <c:numRef>
              <c:f>[工作簿1]Sheet1!$B$13:$B$14</c:f>
              <c:numCache>
                <c:formatCode>General</c:formatCode>
                <c:ptCount val="2"/>
                <c:pt idx="0">
                  <c:v>729.36</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1000" b="0" i="0" u="none" strike="noStrike" kern="2200" baseline="0">
              <a:solidFill>
                <a:schemeClr val="tx1"/>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kern="2200" baseline="0"/>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890F6E3-C26A-44D9-B4A7-0437BE1C5B01}">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1334</Words>
  <Characters>7609</Characters>
  <Lines>63</Lines>
  <Paragraphs>17</Paragraphs>
  <TotalTime>8</TotalTime>
  <ScaleCrop>false</ScaleCrop>
  <LinksUpToDate>false</LinksUpToDate>
  <CharactersWithSpaces>8926</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xb21cn</dc:creator>
  <cp:lastModifiedBy>Administrator</cp:lastModifiedBy>
  <cp:lastPrinted>2021-09-23T02:45:00Z</cp:lastPrinted>
  <dcterms:modified xsi:type="dcterms:W3CDTF">2025-04-14T11:59:25Z</dcterms:modified>
  <dc:title>四川省***</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B3017387BCC84C688F50ADA71ACDBA2A</vt:lpwstr>
  </property>
</Properties>
</file>