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金川县城市管理局2018年决算公开</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目 录</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（二）2018年重点工作完成情况。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二、部门概况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三、收支决算总体情况说明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（一）一般公共预算财政拨款支出决算总体情况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（二）一般公共预算财政拨款支出决算结构情况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（三）一般公共预算财政拨款支出决算具体情况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（一）“三公”经费财政拨款支出决算总体情况说明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（二）“三公”经费财政拨款支出决算具体情况说明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（一）机关运行经费支出情况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（二）政府采购支出情况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（四）预算绩效情况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1.绩效目标管理情况。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2.部门整体支出绩效自评开展情况。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3.部门自行组织绩效评价开展情况。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十一、名词解释</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金川县城市管理局</w:t>
      </w: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2018年部门决算编制说明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rPr>
          <w:rFonts w:ascii="仿宋_GB2312" w:hAnsi="仿宋_GB2312" w:eastAsia="仿宋_GB2312" w:cs="仿宋_GB2312"/>
          <w:sz w:val="32"/>
          <w:szCs w:val="32"/>
        </w:rPr>
      </w:pPr>
      <w:r>
        <w:rPr>
          <w:rFonts w:hint="eastAsia" w:ascii="仿宋_GB2312" w:hAnsi="宋体" w:eastAsia="仿宋_GB2312"/>
          <w:sz w:val="32"/>
          <w:szCs w:val="32"/>
        </w:rPr>
        <w:t xml:space="preserve">    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fldChar w:fldCharType="begin"/>
      </w:r>
      <w:r>
        <w:instrText xml:space="preserve"> HYPERLINK "http://baike.haosou.com/doc/4203246.html" \t "_blank" </w:instrText>
      </w:r>
      <w:r>
        <w:fldChar w:fldCharType="separate"/>
      </w:r>
      <w:r>
        <w:rPr>
          <w:rStyle w:val="7"/>
          <w:rFonts w:hint="eastAsia" w:ascii="仿宋_GB2312" w:hAnsi="宋体" w:eastAsia="仿宋_GB2312"/>
          <w:color w:val="auto"/>
          <w:sz w:val="32"/>
          <w:szCs w:val="32"/>
        </w:rPr>
        <w:t>特种垃圾</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w:t>
      </w:r>
      <w:r>
        <w:fldChar w:fldCharType="begin"/>
      </w:r>
      <w:r>
        <w:instrText xml:space="preserve"> HYPERLINK "http://baike.haosou.com/doc/5421032.html" \t "_blank" </w:instrText>
      </w:r>
      <w:r>
        <w:fldChar w:fldCharType="separate"/>
      </w:r>
      <w:r>
        <w:rPr>
          <w:rStyle w:val="7"/>
          <w:rFonts w:hint="eastAsia" w:ascii="仿宋_GB2312" w:hAnsi="宋体" w:eastAsia="仿宋_GB2312"/>
          <w:color w:val="auto"/>
          <w:sz w:val="32"/>
          <w:szCs w:val="32"/>
        </w:rPr>
        <w:t>建筑垃圾</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的收集、清运、处置；负责机动车清洗、环境卫生企业的</w:t>
      </w:r>
      <w:r>
        <w:fldChar w:fldCharType="begin"/>
      </w:r>
      <w:r>
        <w:instrText xml:space="preserve"> HYPERLINK "http://baike.haosou.com/doc/6303934.html" \t "_blank" </w:instrText>
      </w:r>
      <w:r>
        <w:fldChar w:fldCharType="separate"/>
      </w:r>
      <w:r>
        <w:rPr>
          <w:rStyle w:val="7"/>
          <w:rFonts w:hint="eastAsia" w:ascii="仿宋_GB2312" w:hAnsi="宋体" w:eastAsia="仿宋_GB2312"/>
          <w:color w:val="auto"/>
          <w:sz w:val="32"/>
          <w:szCs w:val="32"/>
        </w:rPr>
        <w:t>行业管理</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;负责对临时占用城市道路停车督管,对临时占用城市道路（含人行道）,利用城市道路设置</w:t>
      </w:r>
      <w:r>
        <w:fldChar w:fldCharType="begin"/>
      </w:r>
      <w:r>
        <w:instrText xml:space="preserve"> HYPERLINK "http://baike.haosou.com/doc/3860835.html" \t "_blank" </w:instrText>
      </w:r>
      <w:r>
        <w:fldChar w:fldCharType="separate"/>
      </w:r>
      <w:r>
        <w:rPr>
          <w:rStyle w:val="7"/>
          <w:rFonts w:hint="eastAsia" w:ascii="仿宋_GB2312" w:hAnsi="宋体" w:eastAsia="仿宋_GB2312"/>
          <w:color w:val="auto"/>
          <w:sz w:val="32"/>
          <w:szCs w:val="32"/>
        </w:rPr>
        <w:t>建筑物</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、构筑物的行为进行监督管理;负责城区菜市场的组织实施；负责临时占道机动车、非机动车停车场（点）的定点工作；负责城镇户外广告定点的监督管理；对利用园林绿化设施、</w:t>
      </w:r>
      <w:r>
        <w:fldChar w:fldCharType="begin"/>
      </w:r>
      <w:r>
        <w:instrText xml:space="preserve"> HYPERLINK "http://baike.haosou.com/doc/5564871.html" \t "_blank" </w:instrText>
      </w:r>
      <w:r>
        <w:fldChar w:fldCharType="separate"/>
      </w:r>
      <w:r>
        <w:rPr>
          <w:rStyle w:val="7"/>
          <w:rFonts w:hint="eastAsia" w:ascii="仿宋_GB2312" w:hAnsi="宋体" w:eastAsia="仿宋_GB2312"/>
          <w:color w:val="auto"/>
          <w:sz w:val="32"/>
          <w:szCs w:val="32"/>
        </w:rPr>
        <w:t>市政府</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fldChar w:fldCharType="begin"/>
      </w:r>
      <w:r>
        <w:instrText xml:space="preserve"> HYPERLINK "http://baike.haosou.com/doc/359522.html" \t "_blank" </w:instrText>
      </w:r>
      <w:r>
        <w:fldChar w:fldCharType="separate"/>
      </w:r>
      <w:r>
        <w:rPr>
          <w:rStyle w:val="7"/>
          <w:rFonts w:hint="eastAsia" w:ascii="仿宋_GB2312" w:hAnsi="宋体" w:eastAsia="仿宋_GB2312"/>
          <w:color w:val="auto"/>
          <w:sz w:val="32"/>
          <w:szCs w:val="32"/>
        </w:rPr>
        <w:t>行政执法</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工作。行使</w:t>
      </w:r>
      <w:r>
        <w:fldChar w:fldCharType="begin"/>
      </w:r>
      <w:r>
        <w:instrText xml:space="preserve"> HYPERLINK "http://baike.haosou.com/doc/1005500.html" \t "_blank" </w:instrText>
      </w:r>
      <w:r>
        <w:fldChar w:fldCharType="separate"/>
      </w:r>
      <w:r>
        <w:rPr>
          <w:rStyle w:val="7"/>
          <w:rFonts w:hint="eastAsia" w:ascii="仿宋_GB2312" w:hAnsi="宋体" w:eastAsia="仿宋_GB2312"/>
          <w:color w:val="auto"/>
          <w:sz w:val="32"/>
          <w:szCs w:val="32"/>
        </w:rPr>
        <w:t>市容环境卫生管理</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w:t>
      </w:r>
      <w:r>
        <w:fldChar w:fldCharType="begin"/>
      </w:r>
      <w:r>
        <w:instrText xml:space="preserve"> HYPERLINK "http://baike.haosou.com/doc/6288296.html" \t "_blank" </w:instrText>
      </w:r>
      <w:r>
        <w:fldChar w:fldCharType="separate"/>
      </w:r>
      <w:r>
        <w:rPr>
          <w:rStyle w:val="7"/>
          <w:rFonts w:hint="eastAsia" w:ascii="仿宋_GB2312" w:hAnsi="宋体" w:eastAsia="仿宋_GB2312"/>
          <w:color w:val="auto"/>
          <w:sz w:val="32"/>
          <w:szCs w:val="32"/>
        </w:rPr>
        <w:t>城市绿化</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管理、</w:t>
      </w:r>
      <w:r>
        <w:fldChar w:fldCharType="begin"/>
      </w:r>
      <w:r>
        <w:instrText xml:space="preserve"> HYPERLINK "http://baike.haosou.com/doc/977829.html" \t "_blank" </w:instrText>
      </w:r>
      <w:r>
        <w:fldChar w:fldCharType="separate"/>
      </w:r>
      <w:r>
        <w:rPr>
          <w:rStyle w:val="7"/>
          <w:rFonts w:hint="eastAsia" w:ascii="仿宋_GB2312" w:hAnsi="宋体" w:eastAsia="仿宋_GB2312"/>
          <w:color w:val="auto"/>
          <w:sz w:val="32"/>
          <w:szCs w:val="32"/>
        </w:rPr>
        <w:t>市政管理</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方面法律、法规、规章规定的</w:t>
      </w:r>
      <w:r>
        <w:fldChar w:fldCharType="begin"/>
      </w:r>
      <w:r>
        <w:instrText xml:space="preserve"> HYPERLINK "http://baike.haosou.com/doc/3772821.html" \t "_blank" </w:instrText>
      </w:r>
      <w:r>
        <w:fldChar w:fldCharType="separate"/>
      </w:r>
      <w:r>
        <w:rPr>
          <w:rStyle w:val="7"/>
          <w:rFonts w:hint="eastAsia" w:ascii="仿宋_GB2312" w:hAnsi="宋体" w:eastAsia="仿宋_GB2312"/>
          <w:color w:val="auto"/>
          <w:sz w:val="32"/>
          <w:szCs w:val="32"/>
        </w:rPr>
        <w:t>行政处罚</w:t>
      </w:r>
      <w:r>
        <w:rPr>
          <w:rStyle w:val="7"/>
          <w:rFonts w:hint="eastAsia" w:ascii="仿宋_GB2312" w:hAnsi="宋体" w:eastAsia="仿宋_GB2312"/>
          <w:color w:val="auto"/>
          <w:sz w:val="32"/>
          <w:szCs w:val="32"/>
        </w:rPr>
        <w:fldChar w:fldCharType="end"/>
      </w:r>
      <w:r>
        <w:rPr>
          <w:rFonts w:hint="eastAsia" w:ascii="仿宋_GB2312" w:hAnsi="宋体" w:eastAsia="仿宋_GB2312"/>
          <w:sz w:val="32"/>
          <w:szCs w:val="32"/>
        </w:rPr>
        <w:t>权。集中行使对乱建乱搭、环境污染、非机动车和机动车乱停乱放、临时占用城市道路和城区河堤通道、无照商贩、无证饮食品店摊点等行政执法的组织、指挥、协调和行政处罚。</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（二）2018年重点工作完成情况。</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1.治理“五乱”(乱贴广告、乱摆摊点、乱停车辆、乱扔垃圾、乱搭乱建)工作。</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 xml:space="preserve">    清理小广告49件，清理流动商贩65件，清理占经营4245件，劝阻垃圾乱扔1876件。下发乱搭乱建限期整改通知书19份，强拆沿街搭建雨棚36起。</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2.清理流浪狗工作。</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 xml:space="preserve">    清理流浪狗3次，78只。</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3.整顿露天烧烤工作。</w:t>
      </w:r>
    </w:p>
    <w:p>
      <w:pPr>
        <w:tabs>
          <w:tab w:val="left" w:pos="0"/>
        </w:tabs>
        <w:snapToGrid w:val="0"/>
        <w:spacing w:line="360" w:lineRule="auto"/>
        <w:ind w:firstLine="640" w:firstLineChars="200"/>
        <w:rPr>
          <w:rFonts w:ascii="仿宋_GB2312" w:hAnsi="宋体" w:eastAsia="仿宋_GB2312"/>
          <w:sz w:val="32"/>
        </w:rPr>
      </w:pPr>
      <w:r>
        <w:rPr>
          <w:rFonts w:hint="eastAsia" w:ascii="仿宋_GB2312" w:hAnsi="宋体" w:eastAsia="仿宋_GB2312"/>
          <w:sz w:val="32"/>
        </w:rPr>
        <w:t>今年8月，按县人民政府要求所有县城4户露天烧烤摊主，进门入店规范经营，现未出现过露天烧烤现象。</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4.完善公共设施设备。</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5.切实履行环卫公司监督管理责任。</w:t>
      </w:r>
    </w:p>
    <w:p>
      <w:pPr>
        <w:tabs>
          <w:tab w:val="left" w:pos="0"/>
        </w:tabs>
        <w:snapToGrid w:val="0"/>
        <w:spacing w:line="360" w:lineRule="auto"/>
        <w:ind w:firstLine="640" w:firstLineChars="200"/>
        <w:rPr>
          <w:rFonts w:ascii="仿宋_GB2312" w:hAnsi="宋体" w:eastAsia="仿宋_GB2312"/>
          <w:sz w:val="32"/>
        </w:rPr>
      </w:pPr>
      <w:r>
        <w:rPr>
          <w:rFonts w:hint="eastAsia" w:ascii="仿宋_GB2312" w:hAnsi="宋体" w:eastAsia="仿宋_GB2312"/>
          <w:sz w:val="32"/>
        </w:rPr>
        <w:t>今年城镇环卫工作依然由四川省顺美环境卫生管理有限责任公司金川分公司管理。全年以城管局为主体开展的环卫巡查工作共计1675余件，严格要求顺美公司每天对县城169余个垃圾投放点生活垃圾及时清运，每日清运量为26余吨，全年共计清运生活垃圾7400余吨；严格按照合同要求对顺美公司进行了检查考核，考核12次，合格10次。对该公司诫勉谈话1次。完成卫生死角清理40余次，清理八步里排洪沟10余次，长期对河道周围的垃圾进行清理，同时也积极采取各种有效措施，提高清扫保洁作业质量，投入使用小型垃圾车开展城区流动清扫保洁，确保保洁作业快速有效，将背街小巷纳入城镇环卫作业区域统一管理，配备专门的保洁队伍，分路、包段、定岗、定责，确保不留死角。</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6.扬尘治理工作。</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 xml:space="preserve">    加大降尘力度，确保市容环境卫生整洁有序，以高压冲洗、机械吸尘配合，人工普扫为主，有效地降低污染，改善环境及空气质量，切实做好县城主次干道及绿化带洒水工作，每周冲洗街道3次、每日洒水降尘降温5次。</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7. 积极开展除“四害”工作。</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 xml:space="preserve">    深入开展病媒生物防治工作，认真做好除“四害”的宣传教育工作，要求顺美公司定期对公厕、中转站、果皮箱周围进行清洗，喷洒药物消毒，生活垃圾做到日产日清，公厕和垃圾中转站室内保持干净、无异味。按照“创卫”除四害的相关标准，定时对公厕中转站进行灭蚊蝇灭蟑及鼠药投放工作，有效地控制了“四害”的孳生。加强对医疗垃圾焚烧处理厂和立冲沟垃圾填埋场日常管理，及时覆土和消杀。严格按照操作规程操作和对焚烧场地周边进行消毒，同时加强焚烧设备的维修和管理工作，及时解决焚烧设备在运行中发生的各种问题，确保每天收集的医疗废物能得到及时处理，有效预防和控制传染病及其他突发公共卫生事件的发生。</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8.签订环境卫生“门前三包”责任书。</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 xml:space="preserve">    与全县县级机关各部门签订责任书79份，与县城内临街商铺签订责任书521份。</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9.市政维护工作</w:t>
      </w:r>
    </w:p>
    <w:p>
      <w:pPr>
        <w:tabs>
          <w:tab w:val="left" w:pos="0"/>
        </w:tabs>
        <w:snapToGrid w:val="0"/>
        <w:spacing w:line="360" w:lineRule="auto"/>
        <w:ind w:firstLine="640" w:firstLineChars="200"/>
        <w:rPr>
          <w:rFonts w:ascii="仿宋_GB2312" w:hAnsi="宋体" w:eastAsia="仿宋_GB2312"/>
          <w:sz w:val="32"/>
        </w:rPr>
      </w:pPr>
      <w:r>
        <w:rPr>
          <w:rFonts w:hint="eastAsia" w:ascii="仿宋_GB2312" w:hAnsi="宋体" w:eastAsia="仿宋_GB2312"/>
          <w:sz w:val="32"/>
        </w:rPr>
        <w:t>维修石栏杆70余米，投入资金15万元；更换雨水篦子87个；更换灯泡307个，灯罩59个，维修线路故障40余次。</w:t>
      </w:r>
    </w:p>
    <w:p>
      <w:pPr>
        <w:tabs>
          <w:tab w:val="left" w:pos="0"/>
        </w:tabs>
        <w:snapToGrid w:val="0"/>
        <w:spacing w:line="360" w:lineRule="auto"/>
        <w:rPr>
          <w:rFonts w:ascii="仿宋_GB2312" w:hAnsi="宋体" w:eastAsia="仿宋_GB2312"/>
          <w:sz w:val="32"/>
        </w:rPr>
      </w:pPr>
      <w:r>
        <w:rPr>
          <w:rFonts w:hint="eastAsia" w:ascii="仿宋_GB2312" w:hAnsi="宋体" w:eastAsia="仿宋_GB2312"/>
          <w:sz w:val="32"/>
        </w:rPr>
        <w:t>10.城市绿化管理工作</w:t>
      </w:r>
    </w:p>
    <w:p>
      <w:pPr>
        <w:tabs>
          <w:tab w:val="left" w:pos="0"/>
        </w:tabs>
        <w:snapToGrid w:val="0"/>
        <w:spacing w:line="360" w:lineRule="auto"/>
        <w:ind w:firstLine="640" w:firstLineChars="200"/>
        <w:rPr>
          <w:rFonts w:ascii="仿宋_GB2312" w:hAnsi="宋体" w:eastAsia="仿宋_GB2312"/>
          <w:sz w:val="32"/>
        </w:rPr>
      </w:pPr>
      <w:r>
        <w:rPr>
          <w:rFonts w:hint="eastAsia" w:ascii="仿宋_GB2312" w:hAnsi="宋体" w:eastAsia="仿宋_GB2312"/>
          <w:sz w:val="32"/>
        </w:rPr>
        <w:t>每周定期清理绿化带杂草1次、浇水2次，全年补种花草3000余株，补种树木70株，清理行道</w:t>
      </w:r>
      <w:r>
        <w:rPr>
          <w:rFonts w:hint="eastAsia" w:ascii="仿宋_GB2312" w:hAnsi="宋体" w:eastAsia="仿宋_GB2312"/>
          <w:sz w:val="32"/>
          <w:lang w:eastAsia="zh-CN"/>
        </w:rPr>
        <w:t>树</w:t>
      </w:r>
      <w:r>
        <w:rPr>
          <w:rFonts w:hint="eastAsia" w:ascii="仿宋_GB2312" w:hAnsi="宋体" w:eastAsia="仿宋_GB2312"/>
          <w:sz w:val="32"/>
        </w:rPr>
        <w:t>盘内水泥2次；新增花箱129个、花草8730株，投入资金16余万元。</w:t>
      </w:r>
    </w:p>
    <w:p>
      <w:pPr>
        <w:tabs>
          <w:tab w:val="left" w:pos="0"/>
        </w:tabs>
        <w:snapToGrid w:val="0"/>
        <w:spacing w:line="360" w:lineRule="auto"/>
        <w:ind w:firstLine="640" w:firstLineChars="200"/>
        <w:rPr>
          <w:rFonts w:ascii="仿宋_GB2312" w:hAnsi="仿宋_GB2312" w:eastAsia="仿宋_GB2312" w:cs="仿宋_GB2312"/>
          <w:sz w:val="32"/>
          <w:szCs w:val="32"/>
        </w:rPr>
      </w:pPr>
      <w:r>
        <w:rPr>
          <w:rFonts w:hint="eastAsia" w:ascii="仿宋_GB2312" w:hAnsi="宋体" w:eastAsia="仿宋_GB2312"/>
          <w:sz w:val="32"/>
        </w:rPr>
        <w:t>下发各类整改通知书19份。</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二、部门概况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我单位属于参公事业单位，为一级预算单位，实有编制28名（其中参公事业编制14名，事业编制14名）。年末实有人数28人（其中参公人员14人，事业14 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三、收支决算总体情况说明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金川县城市管理局本年收入合计969.67万元，其中：一般公共预算财政拨款收入895.56万元，占92.36%；政府性基金预算财政拨款收入74.11万元，占7.64%；国有资本经营预算财政拨款收入0万元，占0%；事业收入0万元，占0%；经营收入0万元，占0%；附属单位上缴收入0万元，占0%；其他收入0万元，占0%。</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2018年金川县城市管理局本年支出合计960.07万元，其中：基本支出895.56万元，占93.28%；项目支出64.51万元，占6.72%；上缴上级支出0万元，占0%；经营支出0万元，占0%；对附属单位补助支出0万元，占0%。</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2018年度财政拨款收、支总计1929.74万元。与2017年相比，财政拨款收、支总计各减少了107.59万元，减少5.29%。</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（一）一般公共预算财政拨款支出决算总体情况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2018年度一般公共预算财政拨款支出895.56万元，占本年支出合计的93.28%。与2017年相比，一般公共预算财政拨款增加137.95万元，增加18.21%。</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（二）一般公共预算财政拨款支出决算结构情况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一般公共预算财政拨款支出895.56万元，主要用于以下方面:城乡社区支出796.00万元，占88.89%；社会保障和就业支出57.21万元，占6.38%；医疗卫生与计划生育支出13.89万元，占1.56%；住房保障支出28.46万元，占3.17%。</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（三）一般公共预算财政拨款支出决算具体情况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1.城乡社区支出（类）212（款）01（项）01—行政运行: 支出决算为100.36万元，完成预算100%，决算数与预算数持平。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城乡社区支出（类）212（款）01（项）99—其他城乡社区管理事务支出: 支出决算为141.36万元，完成预算100%，决算数与预算数持平。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城乡社区支出（类）212（款）05（项）01—城乡社区环境卫生支出: 支出决算为554.28万元，完成预算100%，决算数与预算数持平。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2.社会保障和就业支出（类）208（款）05（项）05—  机关事业单位基本养老保险缴费支出：支出决算为40.86万元，完成预算100%，决算数与预算数持平。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社会保障和就业（类）208（款）05（项）06— 机关事业单位职业年金缴费支出：支出决算为16.35万元，完成预算100%，决算数与预算数持平。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3.医疗卫生与计划生育支出（类）210（款）11（项）01— 行政单位医疗:支出决算为6.94万元，完成预算100%，决算数与预算数持平。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医疗卫生与计划生育支出（类）210（款）11（项）02— 事业单位医疗:支出决算为6.95万元，完成预算100%，决算数与预算数持平。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 住房保障支出（类）221（款）02（项）01— 住房公积金:支出决算为28.46万元，完成预算100%，决算数与预算数持平。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一般公共预算财政拨款基本支出895.56万元，其中：人员经费336.02万元，主要包括：基本工资82.28万元、津贴补贴92.89万元、奖金7.18万元、绩效工资41.18万元、机关事业单位基本养老保险缴费40.86万元、职业年金缴费16.35万元、其他社会保障缴费12.90万元、医疗保险费13.89万元、奖励金0.03万元、住房公积金28.46万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日常公用经费559.54万元，主要包括：办公费3.91万元、手续费0.18万元、水费0.48万元、电费13.31万元、邮电费1.61万元、差旅费8.12万元、维修（护）59.64万元、专用材料费87.36万元、专用燃料费43.24万元、劳务费303.28万元、租赁费26.44万元、公务用车运行维护费2.24万元、其他交通费用2.85万元、公务用车购置6.88万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（一）“三公”经费财政拨款支出决算总体情况说明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2018年度“三公”经费财政拨款支出决算为2.24万元，完成预算100%，决算数与预算数持平。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（二）“三公”经费财政拨款支出决算具体情况说明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2018年度“三公”经费财政拨款支出决算中，因公出国（境）费支出决算0万元，占0%；公务用车购置及运行维护费支出决算2.24万元，占100%；公务接待费支出决算0万元，占0%。具体情况如下：</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1.因公出国（境）经费支出0万元。全年安排因公出国（境）团组0次，出国（境）0人。因公出国（境）支出决算比2017年比无变化。</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2.公务用车购置及运行维护费支出2.24万元。其中：公务用车购置支出0万元。</w:t>
      </w: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公务用车运行维护费支出2.24万元。用于开展城市管理工作日常事务时车辆的燃料费、保险费等支出，公务用车购置及运行维护费支出决算比2017年减少0.74万元，减少24.83%。</w:t>
      </w:r>
      <w:r>
        <w:rPr>
          <w:rFonts w:hint="eastAsia" w:ascii="仿宋_GB2312" w:hAnsi="仿宋" w:eastAsia="仿宋_GB2312"/>
          <w:sz w:val="32"/>
          <w:szCs w:val="32"/>
        </w:rPr>
        <w:t>减少原因是车辆保险基数有所调整。</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3.公务接待费支出0万元。国内公务接待0批次，接待费用的支出决算比2017年比无变化。</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2018年度政府性基金预算拨款支出64.51万元。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2018年度国有资本经营预算拨款支出0万元。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（一）机关运行经费支出情况</w:t>
      </w:r>
    </w:p>
    <w:p>
      <w:pPr>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2018年度，金川县城市管理局机关运行经费支出559.54万元，比2017年增加180.92万元，增长24.43%，主要原因是单位新增加2名职工及人员经费按规定执行的正常晋升，</w:t>
      </w:r>
      <w:r>
        <w:rPr>
          <w:rFonts w:hint="eastAsia" w:ascii="仿宋_GB2312" w:eastAsia="仿宋_GB2312"/>
          <w:sz w:val="32"/>
          <w:szCs w:val="32"/>
        </w:rPr>
        <w:t>顺美环境卫生管理有限公司金川分公司服务费纳入单位预算。</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（二）政府采购支出情况</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2018年度，金川县城市管理局政府采购支出总额75.75万元，其中：政府采购货物支出75.75万元。主要用于购买环卫设备小型垃圾车、灯笼、国旗、花箱等。授予中小企业合同金额75.75万元，占政府采购支出总额的100%。</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截至2018年12月31日，金川县城市管理局共有车辆29辆，其中：部级领导干部用车0辆、一般公务用车0辆、一般执法执勤用车0辆、特种专业技术用车0辆、其他用车29辆；单价50万元以上通用设备0台（套），单价100万元以上专用设备0台（套）。</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（四）预算绩效情况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1.绩效目标管理情况。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按照预算绩效管理要求，本部门对2018年一般公共预算项目支出开展了绩效目标管理，涉及资金64.51万元，覆盖率100%，严格遵循专款专用，重点使用原则。加强城市市容市貌和环境卫生管理，创造清洁、优美的城市工作，促进城市社会主义物质文明和精神文明建设。</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2.部门整体支出绩效自评开展情况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按照预算绩效管理要求，本部门对2018年整体支出开展绩效自评，存在的问题：一是项目管理有待提高，二是监管力度不够，将加强监管力度；三是资金支付进度较慢；下一步我局将切实提高管理，按规定及时计划</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资金。</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十一、名词解释</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2.年初结转和结余：指以前年度尚未完成、结转到本年按有关规定继续使用的资金。</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3、年末结转和结余：指单位按有关规定结转到下年或以后年度继续使用的资金。</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 城乡社区支出（类）212（款）01（项）01—行政运行：指反映行政单位（包括实行公务员管理的事业单位）的基本支出。</w:t>
      </w:r>
    </w:p>
    <w:p>
      <w:r>
        <w:rPr>
          <w:rFonts w:hint="eastAsia" w:ascii="仿宋_GB2312" w:hAnsi="仿宋_GB2312" w:eastAsia="仿宋_GB2312" w:cs="仿宋_GB2312"/>
          <w:sz w:val="32"/>
          <w:szCs w:val="32"/>
        </w:rPr>
        <w:t>5. 城乡社区支出（类）212（款）01（项）99—其他城乡社区管理事务支出:指反映未单独设置项级科目用于城乡社区管理方面的支出。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6.城乡社区支出（类）212（款）05（项）01—城乡社区环境卫生支出：指反映城乡社区道路清扫、垃圾清运与处理、公厕建设与维护、园林绿化等方面支出。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7.社会保障和就业支出（类）208（款）05（项）05—机关事业单位基本养老保险缴费支出：反映机关事业单位实施养老保险制度的单位缴纳的基本养老保险费支出。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8. 社会保障和就业支出（类）208（款）05（项）06—机关事业单位职业年金缴费支出：反映机关事业单位实施养老保险制度匝单位缴纳的职业年金支出。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9.医疗卫生与计划生育支出(类）210（款）11（项）01—行政单位医疗：反映财政部门集中安排的行政单位基本医疗保险</w:t>
      </w:r>
      <w:r>
        <w:rPr>
          <w:rFonts w:hint="eastAsia" w:ascii="仿宋_GB2312" w:hAnsi="仿宋_GB2312" w:eastAsia="仿宋_GB2312" w:cs="仿宋_GB2312"/>
          <w:sz w:val="32"/>
          <w:szCs w:val="32"/>
          <w:lang w:eastAsia="zh-CN"/>
        </w:rPr>
        <w:t>缴费</w:t>
      </w:r>
      <w:r>
        <w:rPr>
          <w:rFonts w:hint="eastAsia" w:ascii="仿宋_GB2312" w:hAnsi="仿宋_GB2312" w:eastAsia="仿宋_GB2312" w:cs="仿宋_GB2312"/>
          <w:sz w:val="32"/>
          <w:szCs w:val="32"/>
        </w:rPr>
        <w:t>经费。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10.医疗卫生与计划生育支出（类）210（款）11（项）02— 事业单位医疗：反映财政部门集中安排的事业单位基本医疗保险</w:t>
      </w:r>
      <w:r>
        <w:rPr>
          <w:rFonts w:hint="eastAsia" w:ascii="仿宋_GB2312" w:hAnsi="仿宋_GB2312" w:eastAsia="仿宋_GB2312" w:cs="仿宋_GB2312"/>
          <w:sz w:val="32"/>
          <w:szCs w:val="32"/>
          <w:lang w:eastAsia="zh-CN"/>
        </w:rPr>
        <w:t>缴费</w:t>
      </w:r>
      <w:bookmarkStart w:id="0" w:name="_GoBack"/>
      <w:bookmarkEnd w:id="0"/>
      <w:r>
        <w:rPr>
          <w:rFonts w:hint="eastAsia" w:ascii="仿宋_GB2312" w:hAnsi="仿宋_GB2312" w:eastAsia="仿宋_GB2312" w:cs="仿宋_GB2312"/>
          <w:sz w:val="32"/>
          <w:szCs w:val="32"/>
        </w:rPr>
        <w:t>经费。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11.住房保障支出(类）221（款）02（项）01—住房公积金：反映行政事业单位按人力资源和社会保障部、财政部规定的基本工资和津贴补贴以及规定比例为职工缴纳的住房公积金。</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12.年末结转和结余：指本年度或以前年度预算安排、因客观条件发生变化无法按原计划实施，需延迟到以后年度按有关规定继续使用的资金。</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13.基本支出：指为保障机构正常运转、完成日常工作任务而发生的人员支出和公用支出。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14.项目支出：指在基本支出之外为完成特定行政任务和事业发展目标所发生的支出。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3FF476"/>
    <w:multiLevelType w:val="singleLevel"/>
    <w:tmpl w:val="5D3FF476"/>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E5A07"/>
    <w:rsid w:val="009E5A07"/>
    <w:rsid w:val="00A37DE8"/>
    <w:rsid w:val="067006DE"/>
    <w:rsid w:val="08235A82"/>
    <w:rsid w:val="0E605296"/>
    <w:rsid w:val="0EA45690"/>
    <w:rsid w:val="0FC72A10"/>
    <w:rsid w:val="1AD94B8B"/>
    <w:rsid w:val="214266AA"/>
    <w:rsid w:val="28037640"/>
    <w:rsid w:val="615A3132"/>
    <w:rsid w:val="6743006B"/>
    <w:rsid w:val="7029066D"/>
    <w:rsid w:val="71274200"/>
    <w:rsid w:val="75B87841"/>
    <w:rsid w:val="76B53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color w:val="FF3300"/>
      <w:kern w:val="0"/>
      <w:sz w:val="24"/>
      <w:u w:val="single"/>
    </w:rPr>
  </w:style>
  <w:style w:type="character" w:styleId="5">
    <w:name w:val="Strong"/>
    <w:basedOn w:val="4"/>
    <w:qFormat/>
    <w:uiPriority w:val="0"/>
    <w:rPr>
      <w:b/>
    </w:rPr>
  </w:style>
  <w:style w:type="character" w:styleId="6">
    <w:name w:val="FollowedHyperlink"/>
    <w:basedOn w:val="4"/>
    <w:qFormat/>
    <w:uiPriority w:val="0"/>
    <w:rPr>
      <w:color w:val="4E4342"/>
      <w:u w:val="none"/>
    </w:rPr>
  </w:style>
  <w:style w:type="character" w:styleId="7">
    <w:name w:val="Hyperlink"/>
    <w:basedOn w:val="4"/>
    <w:qFormat/>
    <w:uiPriority w:val="0"/>
    <w:rPr>
      <w:color w:val="4E434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1064</Words>
  <Characters>6065</Characters>
  <Lines>50</Lines>
  <Paragraphs>14</Paragraphs>
  <TotalTime>0</TotalTime>
  <ScaleCrop>false</ScaleCrop>
  <LinksUpToDate>false</LinksUpToDate>
  <CharactersWithSpaces>7115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不改</cp:lastModifiedBy>
  <dcterms:modified xsi:type="dcterms:W3CDTF">2021-06-07T02:41:02Z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7A58139141824374911787B60A3AC558</vt:lpwstr>
  </property>
</Properties>
</file>