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0964F9">
      <w:pPr>
        <w:spacing w:line="600" w:lineRule="exact"/>
        <w:jc w:val="center"/>
        <w:outlineLvl w:val="0"/>
        <w:rPr>
          <w:rFonts w:ascii="Times New Roman" w:hAnsi="Times New Roman" w:eastAsia="方正小标宋简体" w:cs="Times New Roman"/>
          <w:sz w:val="72"/>
          <w:szCs w:val="72"/>
        </w:rPr>
      </w:pPr>
      <w:bookmarkStart w:id="0" w:name="_Toc15306267"/>
      <w:bookmarkStart w:id="1" w:name="_Toc15396597"/>
      <w:bookmarkStart w:id="2" w:name="_Toc15377193"/>
      <w:bookmarkStart w:id="3" w:name="_Toc15378441"/>
      <w:bookmarkStart w:id="4" w:name="_Toc15377425"/>
      <w:bookmarkStart w:id="5" w:name="_Toc15396475"/>
    </w:p>
    <w:p w14:paraId="688495E7">
      <w:pPr>
        <w:spacing w:line="600" w:lineRule="exact"/>
        <w:jc w:val="center"/>
        <w:outlineLvl w:val="0"/>
        <w:rPr>
          <w:rFonts w:ascii="Times New Roman" w:hAnsi="Times New Roman" w:eastAsia="方正小标宋简体" w:cs="Times New Roman"/>
          <w:sz w:val="72"/>
          <w:szCs w:val="72"/>
        </w:rPr>
      </w:pPr>
    </w:p>
    <w:p w14:paraId="699C773C">
      <w:pPr>
        <w:spacing w:line="600" w:lineRule="exact"/>
        <w:jc w:val="center"/>
        <w:outlineLvl w:val="0"/>
        <w:rPr>
          <w:rFonts w:ascii="Times New Roman" w:hAnsi="Times New Roman" w:eastAsia="方正小标宋简体" w:cs="Times New Roman"/>
          <w:sz w:val="72"/>
          <w:szCs w:val="72"/>
        </w:rPr>
      </w:pPr>
    </w:p>
    <w:bookmarkEnd w:id="0"/>
    <w:bookmarkEnd w:id="1"/>
    <w:bookmarkEnd w:id="2"/>
    <w:bookmarkEnd w:id="3"/>
    <w:bookmarkEnd w:id="4"/>
    <w:bookmarkEnd w:id="5"/>
    <w:p w14:paraId="6606367B">
      <w:pPr>
        <w:spacing w:line="600" w:lineRule="exact"/>
        <w:jc w:val="center"/>
        <w:outlineLvl w:val="0"/>
        <w:rPr>
          <w:rFonts w:ascii="Times New Roman" w:hAnsi="Times New Roman" w:eastAsia="方正小标宋简体" w:cs="Times New Roman"/>
          <w:sz w:val="72"/>
          <w:szCs w:val="72"/>
        </w:rPr>
      </w:pPr>
    </w:p>
    <w:p w14:paraId="1796DF93">
      <w:pPr>
        <w:spacing w:line="600" w:lineRule="exact"/>
        <w:jc w:val="center"/>
        <w:outlineLvl w:val="0"/>
        <w:rPr>
          <w:rFonts w:ascii="Times New Roman" w:hAnsi="Times New Roman" w:eastAsia="方正小标宋简体" w:cs="Times New Roman"/>
          <w:sz w:val="72"/>
          <w:szCs w:val="72"/>
        </w:rPr>
      </w:pPr>
    </w:p>
    <w:p w14:paraId="250F2D2D">
      <w:pPr>
        <w:spacing w:line="600" w:lineRule="exact"/>
        <w:jc w:val="center"/>
        <w:outlineLvl w:val="0"/>
        <w:rPr>
          <w:rFonts w:ascii="Times New Roman" w:hAnsi="Times New Roman" w:eastAsia="方正小标宋简体" w:cs="Times New Roman"/>
          <w:sz w:val="72"/>
          <w:szCs w:val="72"/>
        </w:rPr>
      </w:pPr>
    </w:p>
    <w:p w14:paraId="27F5BEB8">
      <w:pPr>
        <w:spacing w:line="600" w:lineRule="exact"/>
        <w:jc w:val="center"/>
        <w:outlineLvl w:val="0"/>
        <w:rPr>
          <w:rFonts w:ascii="Times New Roman" w:hAnsi="Times New Roman" w:eastAsia="方正小标宋简体" w:cs="Times New Roman"/>
          <w:sz w:val="72"/>
          <w:szCs w:val="72"/>
        </w:rPr>
      </w:pPr>
    </w:p>
    <w:p w14:paraId="755A782C">
      <w:pPr>
        <w:adjustRightInd w:val="0"/>
        <w:snapToGrid w:val="0"/>
        <w:spacing w:line="360" w:lineRule="auto"/>
        <w:jc w:val="center"/>
        <w:outlineLvl w:val="0"/>
        <w:rPr>
          <w:rFonts w:ascii="Times New Roman" w:hAnsi="Times New Roman" w:eastAsia="方正小标宋简体" w:cs="Times New Roman"/>
          <w:sz w:val="72"/>
          <w:szCs w:val="72"/>
        </w:rPr>
      </w:pPr>
      <w:bookmarkStart w:id="6" w:name="_Toc26843601"/>
      <w:r>
        <w:rPr>
          <w:rFonts w:ascii="Times New Roman" w:hAnsi="Times New Roman" w:eastAsia="方正小标宋简体" w:cs="Times New Roman"/>
          <w:sz w:val="72"/>
          <w:szCs w:val="72"/>
        </w:rPr>
        <w:t>202</w:t>
      </w:r>
      <w:r>
        <w:rPr>
          <w:rFonts w:hint="eastAsia" w:eastAsia="方正小标宋简体" w:cs="Times New Roman"/>
          <w:sz w:val="72"/>
          <w:szCs w:val="72"/>
          <w:lang w:val="en-US" w:eastAsia="zh-CN"/>
        </w:rPr>
        <w:t>4</w:t>
      </w:r>
      <w:r>
        <w:rPr>
          <w:rFonts w:ascii="Times New Roman" w:hAnsi="Times New Roman" w:eastAsia="方正小标宋简体" w:cs="Times New Roman"/>
          <w:sz w:val="72"/>
          <w:szCs w:val="72"/>
        </w:rPr>
        <w:t>年度</w:t>
      </w:r>
      <w:bookmarkEnd w:id="6"/>
    </w:p>
    <w:p w14:paraId="35968C85">
      <w:pPr>
        <w:adjustRightInd w:val="0"/>
        <w:snapToGrid w:val="0"/>
        <w:spacing w:line="360" w:lineRule="auto"/>
        <w:jc w:val="center"/>
        <w:outlineLvl w:val="0"/>
        <w:rPr>
          <w:rFonts w:hint="eastAsia" w:ascii="Times New Roman" w:hAnsi="Times New Roman" w:eastAsia="方正小标宋简体" w:cs="Times New Roman"/>
          <w:sz w:val="72"/>
          <w:szCs w:val="72"/>
          <w:lang w:eastAsia="zh-CN"/>
        </w:rPr>
      </w:pPr>
      <w:bookmarkStart w:id="7" w:name="_Toc15377426"/>
      <w:bookmarkStart w:id="8" w:name="_Toc15377194"/>
      <w:bookmarkStart w:id="9" w:name="_Toc15378442"/>
      <w:bookmarkStart w:id="10" w:name="_Toc15396476"/>
      <w:bookmarkStart w:id="11" w:name="_Toc15396598"/>
      <w:bookmarkStart w:id="12" w:name="_Toc15306268"/>
      <w:r>
        <w:rPr>
          <w:rFonts w:hint="eastAsia" w:eastAsia="方正小标宋简体" w:cs="Times New Roman"/>
          <w:sz w:val="72"/>
          <w:szCs w:val="72"/>
          <w:lang w:eastAsia="zh-CN"/>
        </w:rPr>
        <w:t>金川县供销合作社联合社</w:t>
      </w:r>
    </w:p>
    <w:p w14:paraId="28E5D0AA">
      <w:pPr>
        <w:adjustRightInd w:val="0"/>
        <w:snapToGrid w:val="0"/>
        <w:spacing w:line="360" w:lineRule="auto"/>
        <w:jc w:val="center"/>
        <w:outlineLvl w:val="0"/>
        <w:rPr>
          <w:rFonts w:hint="eastAsia" w:ascii="Times New Roman" w:hAnsi="Times New Roman" w:eastAsia="方正小标宋简体" w:cs="Times New Roman"/>
          <w:sz w:val="72"/>
          <w:szCs w:val="72"/>
          <w:lang w:val="en-US" w:eastAsia="zh-CN"/>
        </w:rPr>
      </w:pPr>
      <w:bookmarkStart w:id="13" w:name="_Toc26843603"/>
      <w:r>
        <w:rPr>
          <w:rFonts w:ascii="Times New Roman" w:hAnsi="Times New Roman" w:eastAsia="方正小标宋简体" w:cs="Times New Roman"/>
          <w:sz w:val="72"/>
          <w:szCs w:val="72"/>
        </w:rPr>
        <w:t>部门决算</w:t>
      </w:r>
      <w:bookmarkEnd w:id="7"/>
      <w:bookmarkEnd w:id="8"/>
      <w:bookmarkEnd w:id="9"/>
      <w:bookmarkEnd w:id="10"/>
      <w:bookmarkEnd w:id="11"/>
      <w:bookmarkEnd w:id="12"/>
      <w:bookmarkEnd w:id="13"/>
      <w:r>
        <w:rPr>
          <w:rFonts w:hint="eastAsia" w:eastAsia="方正小标宋简体" w:cs="Times New Roman"/>
          <w:sz w:val="72"/>
          <w:szCs w:val="72"/>
          <w:lang w:eastAsia="zh-CN"/>
        </w:rPr>
        <w:t>公开</w:t>
      </w:r>
    </w:p>
    <w:p w14:paraId="1CF3AE58">
      <w:pPr>
        <w:pStyle w:val="6"/>
        <w:spacing w:before="93" w:beforeLines="0"/>
        <w:rPr>
          <w:rFonts w:ascii="Times New Roman" w:hAnsi="Times New Roman" w:eastAsia="方正小标宋简体" w:cs="Times New Roman"/>
          <w:sz w:val="52"/>
          <w:szCs w:val="52"/>
        </w:rPr>
      </w:pPr>
    </w:p>
    <w:p w14:paraId="335F5870">
      <w:pPr>
        <w:pStyle w:val="6"/>
        <w:spacing w:before="93" w:beforeLines="0"/>
        <w:rPr>
          <w:rFonts w:ascii="Times New Roman" w:hAnsi="Times New Roman" w:cs="Times New Roman"/>
        </w:rPr>
      </w:pPr>
    </w:p>
    <w:p w14:paraId="2656411D">
      <w:pPr>
        <w:pStyle w:val="6"/>
        <w:spacing w:before="93" w:beforeLines="0"/>
        <w:rPr>
          <w:rFonts w:ascii="Times New Roman" w:hAnsi="Times New Roman" w:cs="Times New Roman"/>
        </w:rPr>
      </w:pPr>
    </w:p>
    <w:p w14:paraId="7CF132B0">
      <w:pPr>
        <w:pStyle w:val="6"/>
        <w:spacing w:before="93" w:beforeLines="0"/>
        <w:rPr>
          <w:rFonts w:ascii="Times New Roman" w:hAnsi="Times New Roman" w:cs="Times New Roman"/>
        </w:rPr>
      </w:pPr>
    </w:p>
    <w:p w14:paraId="6B672714">
      <w:pPr>
        <w:pStyle w:val="6"/>
        <w:spacing w:before="93" w:beforeLines="0"/>
        <w:rPr>
          <w:rFonts w:ascii="Times New Roman" w:hAnsi="Times New Roman" w:cs="Times New Roman"/>
        </w:rPr>
      </w:pPr>
    </w:p>
    <w:p w14:paraId="1CA7D7E6">
      <w:pPr>
        <w:widowControl/>
        <w:jc w:val="both"/>
        <w:rPr>
          <w:rFonts w:ascii="Times New Roman" w:hAnsi="Times New Roman" w:eastAsia="黑体" w:cs="Times New Roman"/>
          <w:sz w:val="48"/>
          <w:szCs w:val="48"/>
        </w:rPr>
      </w:pPr>
    </w:p>
    <w:p w14:paraId="1C2E87A4">
      <w:pPr>
        <w:widowControl/>
        <w:jc w:val="center"/>
        <w:rPr>
          <w:rFonts w:ascii="Times New Roman" w:hAnsi="Times New Roman" w:eastAsia="黑体" w:cs="Times New Roman"/>
          <w:sz w:val="28"/>
          <w:szCs w:val="28"/>
        </w:rPr>
      </w:pPr>
      <w:r>
        <w:rPr>
          <w:rFonts w:ascii="Times New Roman" w:hAnsi="Times New Roman" w:eastAsia="黑体" w:cs="Times New Roman"/>
          <w:sz w:val="48"/>
          <w:szCs w:val="48"/>
        </w:rPr>
        <w:t>目录</w:t>
      </w:r>
    </w:p>
    <w:p w14:paraId="2077C7B8">
      <w:pPr>
        <w:widowControl/>
        <w:jc w:val="center"/>
        <w:rPr>
          <w:rFonts w:hint="default" w:ascii="Times New Roman" w:hAnsi="Times New Roman" w:eastAsia="黑体" w:cs="Times New Roman"/>
          <w:sz w:val="28"/>
          <w:szCs w:val="28"/>
          <w:lang w:val="en-US" w:eastAsia="zh-CN"/>
        </w:rPr>
      </w:pPr>
      <w:r>
        <w:rPr>
          <w:rFonts w:hint="eastAsia" w:eastAsia="黑体" w:cs="Times New Roman"/>
          <w:sz w:val="28"/>
          <w:szCs w:val="28"/>
          <w:lang w:val="en-US" w:eastAsia="zh-CN"/>
        </w:rPr>
        <w:t>公开时间：2025年8月25日</w:t>
      </w:r>
    </w:p>
    <w:p w14:paraId="0A151907">
      <w:pPr>
        <w:pStyle w:val="11"/>
        <w:rPr>
          <w:rFonts w:ascii="Times New Roman" w:hAnsi="Times New Roman" w:cs="Times New Roman"/>
        </w:rPr>
      </w:pPr>
    </w:p>
    <w:p w14:paraId="3A668FDE">
      <w:pPr>
        <w:pStyle w:val="11"/>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TOC \o "1-2" \h \u </w:instrText>
      </w:r>
      <w:r>
        <w:rPr>
          <w:rFonts w:ascii="Times New Roman" w:hAnsi="Times New Roman" w:cs="Times New Roman"/>
        </w:rPr>
        <w:fldChar w:fldCharType="separate"/>
      </w:r>
      <w:r>
        <w:rPr>
          <w:rFonts w:ascii="Times New Roman" w:hAnsi="Times New Roman" w:eastAsia="仿宋" w:cs="Times New Roman"/>
          <w:sz w:val="24"/>
          <w:szCs w:val="28"/>
        </w:rPr>
        <w:fldChar w:fldCharType="begin"/>
      </w:r>
      <w:r>
        <w:rPr>
          <w:rFonts w:ascii="Times New Roman" w:hAnsi="Times New Roman" w:eastAsia="仿宋" w:cs="Times New Roman"/>
          <w:sz w:val="24"/>
          <w:szCs w:val="28"/>
        </w:rPr>
        <w:instrText xml:space="preserve">Hyperlink \l "_Toc26843604"</w:instrText>
      </w:r>
      <w:r>
        <w:rPr>
          <w:rFonts w:ascii="Times New Roman" w:hAnsi="Times New Roman" w:eastAsia="仿宋" w:cs="Times New Roman"/>
          <w:sz w:val="24"/>
          <w:szCs w:val="28"/>
        </w:rPr>
        <w:fldChar w:fldCharType="separate"/>
      </w:r>
      <w:r>
        <w:rPr>
          <w:rFonts w:ascii="Times New Roman" w:hAnsi="Times New Roman" w:eastAsia="仿宋" w:cs="Times New Roman"/>
          <w:sz w:val="24"/>
          <w:szCs w:val="28"/>
        </w:rPr>
        <w:t xml:space="preserve">第一部分 </w:t>
      </w:r>
      <w:r>
        <w:rPr>
          <w:rFonts w:ascii="Times New Roman" w:hAnsi="Times New Roman" w:eastAsia="仿宋" w:cs="Times New Roman"/>
          <w:bCs/>
          <w:sz w:val="24"/>
          <w:szCs w:val="28"/>
          <w:lang w:val="en-US" w:eastAsia="zh-CN" w:bidi="ar-SA"/>
        </w:rPr>
        <w:t>部门概况</w:t>
      </w:r>
      <w:r>
        <w:rPr>
          <w:rFonts w:ascii="Times New Roman" w:hAnsi="Times New Roman" w:eastAsia="仿宋" w:cs="Times New Roman"/>
          <w:sz w:val="24"/>
          <w:szCs w:val="28"/>
        </w:rPr>
        <w:tab/>
      </w:r>
      <w:r>
        <w:rPr>
          <w:rFonts w:ascii="Times New Roman" w:hAnsi="Times New Roman" w:eastAsia="仿宋" w:cs="Times New Roman"/>
          <w:sz w:val="24"/>
          <w:szCs w:val="28"/>
        </w:rPr>
        <w:fldChar w:fldCharType="begin"/>
      </w:r>
      <w:r>
        <w:rPr>
          <w:rFonts w:ascii="Times New Roman" w:hAnsi="Times New Roman" w:eastAsia="仿宋" w:cs="Times New Roman"/>
          <w:sz w:val="24"/>
          <w:szCs w:val="28"/>
        </w:rPr>
        <w:instrText xml:space="preserve">PageRef _Toc26843604 \h</w:instrText>
      </w:r>
      <w:r>
        <w:rPr>
          <w:rFonts w:ascii="Times New Roman" w:hAnsi="Times New Roman" w:eastAsia="仿宋" w:cs="Times New Roman"/>
          <w:sz w:val="24"/>
          <w:szCs w:val="28"/>
        </w:rPr>
        <w:fldChar w:fldCharType="separate"/>
      </w:r>
      <w:r>
        <w:rPr>
          <w:rFonts w:ascii="Times New Roman" w:hAnsi="Times New Roman" w:eastAsia="仿宋" w:cs="Times New Roman"/>
          <w:sz w:val="24"/>
          <w:szCs w:val="28"/>
        </w:rPr>
        <w:t>4</w:t>
      </w:r>
      <w:r>
        <w:rPr>
          <w:rFonts w:ascii="Times New Roman" w:hAnsi="Times New Roman" w:eastAsia="仿宋" w:cs="Times New Roman"/>
          <w:sz w:val="24"/>
          <w:szCs w:val="28"/>
        </w:rPr>
        <w:fldChar w:fldCharType="end"/>
      </w:r>
      <w:r>
        <w:rPr>
          <w:rFonts w:ascii="Times New Roman" w:hAnsi="Times New Roman" w:eastAsia="仿宋" w:cs="Times New Roman"/>
          <w:sz w:val="24"/>
          <w:szCs w:val="28"/>
        </w:rPr>
        <w:fldChar w:fldCharType="end"/>
      </w:r>
    </w:p>
    <w:p w14:paraId="7A0F447D">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"_Toc26843605"</w:instrText>
      </w:r>
      <w:r>
        <w:rPr>
          <w:rFonts w:ascii="Times New Roman" w:hAnsi="Times New Roman" w:cs="Times New Roman"/>
          <w:sz w:val="24"/>
        </w:rPr>
        <w:fldChar w:fldCharType="separate"/>
      </w:r>
      <w:r>
        <w:rPr>
          <w:rFonts w:ascii="Times New Roman" w:hAnsi="Times New Roman" w:cs="Times New Roman"/>
          <w:sz w:val="24"/>
        </w:rPr>
        <w:t>一、基</w:t>
      </w:r>
      <w:r>
        <w:rPr>
          <w:rFonts w:ascii="Times New Roman" w:hAnsi="Times New Roman" w:cs="Times New Roman"/>
          <w:bCs/>
          <w:sz w:val="24"/>
          <w:lang w:val="en-US" w:eastAsia="zh-CN" w:bidi="ar-SA"/>
        </w:rPr>
        <w:t>本职能及主要工作</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_Toc26843605 \h</w:instrText>
      </w:r>
      <w:r>
        <w:rPr>
          <w:rFonts w:ascii="Times New Roman" w:hAnsi="Times New Roman" w:cs="Times New Roman"/>
          <w:sz w:val="24"/>
        </w:rPr>
        <w:fldChar w:fldCharType="separate"/>
      </w:r>
      <w:r>
        <w:rPr>
          <w:rFonts w:ascii="Times New Roman" w:hAnsi="Times New Roman" w:cs="Times New Roman"/>
          <w:sz w:val="24"/>
        </w:rPr>
        <w:t>4</w:t>
      </w:r>
      <w:r>
        <w:rPr>
          <w:rFonts w:ascii="Times New Roman" w:hAnsi="Times New Roman" w:cs="Times New Roman"/>
          <w:sz w:val="24"/>
        </w:rPr>
        <w:fldChar w:fldCharType="end"/>
      </w:r>
      <w:r>
        <w:rPr>
          <w:rFonts w:ascii="Times New Roman" w:hAnsi="Times New Roman" w:cs="Times New Roman"/>
          <w:sz w:val="24"/>
        </w:rPr>
        <w:fldChar w:fldCharType="end"/>
      </w:r>
    </w:p>
    <w:p w14:paraId="1C1F41DF">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"_Toc26843606"</w:instrText>
      </w:r>
      <w:r>
        <w:rPr>
          <w:rFonts w:ascii="Times New Roman" w:hAnsi="Times New Roman" w:cs="Times New Roman"/>
          <w:sz w:val="24"/>
        </w:rPr>
        <w:fldChar w:fldCharType="separate"/>
      </w:r>
      <w:r>
        <w:rPr>
          <w:rFonts w:ascii="Times New Roman" w:hAnsi="Times New Roman" w:cs="Times New Roman"/>
          <w:sz w:val="24"/>
        </w:rPr>
        <w:t>二、机</w:t>
      </w:r>
      <w:r>
        <w:rPr>
          <w:rFonts w:ascii="Times New Roman" w:hAnsi="Times New Roman" w:cs="Times New Roman"/>
          <w:bCs/>
          <w:sz w:val="24"/>
          <w:lang w:val="en-US" w:eastAsia="zh-CN" w:bidi="ar-SA"/>
        </w:rPr>
        <w:t>构设置</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_Toc26843606 \h</w:instrText>
      </w:r>
      <w:r>
        <w:rPr>
          <w:rFonts w:ascii="Times New Roman" w:hAnsi="Times New Roman" w:cs="Times New Roman"/>
          <w:sz w:val="24"/>
        </w:rPr>
        <w:fldChar w:fldCharType="separate"/>
      </w:r>
      <w:r>
        <w:rPr>
          <w:rFonts w:ascii="Times New Roman" w:hAnsi="Times New Roman" w:cs="Times New Roman"/>
          <w:sz w:val="24"/>
        </w:rPr>
        <w:t>6</w:t>
      </w:r>
      <w:r>
        <w:rPr>
          <w:rFonts w:ascii="Times New Roman" w:hAnsi="Times New Roman" w:cs="Times New Roman"/>
          <w:sz w:val="24"/>
        </w:rPr>
        <w:fldChar w:fldCharType="end"/>
      </w:r>
      <w:r>
        <w:rPr>
          <w:rFonts w:ascii="Times New Roman" w:hAnsi="Times New Roman" w:cs="Times New Roman"/>
          <w:sz w:val="24"/>
        </w:rPr>
        <w:fldChar w:fldCharType="end"/>
      </w:r>
    </w:p>
    <w:p w14:paraId="3D2694C4">
      <w:pPr>
        <w:pStyle w:val="11"/>
        <w:adjustRightInd w:val="0"/>
        <w:snapToGrid w:val="0"/>
        <w:spacing w:before="0"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"_Toc26843607"</w:instrText>
      </w:r>
      <w:r>
        <w:rPr>
          <w:rFonts w:ascii="Times New Roman" w:hAnsi="Times New Roman" w:cs="Times New Roman"/>
          <w:sz w:val="24"/>
        </w:rPr>
        <w:fldChar w:fldCharType="separate"/>
      </w:r>
      <w:r>
        <w:rPr>
          <w:rFonts w:ascii="Times New Roman" w:hAnsi="Times New Roman" w:cs="Times New Roman"/>
          <w:sz w:val="24"/>
        </w:rPr>
        <w:t xml:space="preserve">第二部分 </w:t>
      </w:r>
      <w:r>
        <w:rPr>
          <w:rFonts w:hint="eastAsia" w:ascii="Times New Roman" w:cs="Times New Roman"/>
          <w:sz w:val="24"/>
          <w:lang w:eastAsia="zh-CN"/>
        </w:rPr>
        <w:t>202</w:t>
      </w:r>
      <w:r>
        <w:rPr>
          <w:rFonts w:hint="eastAsia" w:ascii="Times New Roman" w:cs="Times New Roman"/>
          <w:sz w:val="24"/>
          <w:lang w:val="en-US" w:eastAsia="zh-CN"/>
        </w:rPr>
        <w:t>4</w:t>
      </w:r>
      <w:r>
        <w:rPr>
          <w:rFonts w:hint="eastAsia" w:ascii="Times New Roman" w:cs="Times New Roman"/>
          <w:sz w:val="24"/>
          <w:lang w:eastAsia="zh-CN"/>
        </w:rPr>
        <w:t>年</w:t>
      </w:r>
      <w:r>
        <w:rPr>
          <w:rFonts w:ascii="Times New Roman" w:hAnsi="Times New Roman" w:cs="Times New Roman"/>
          <w:sz w:val="24"/>
        </w:rPr>
        <w:t>度</w:t>
      </w:r>
      <w:r>
        <w:rPr>
          <w:rFonts w:ascii="Times New Roman" w:hAnsi="Times New Roman" w:eastAsia="仿宋" w:cs="Times New Roman"/>
          <w:bCs/>
          <w:sz w:val="24"/>
          <w:szCs w:val="28"/>
          <w:lang w:val="en-US" w:eastAsia="zh-CN" w:bidi="ar-SA"/>
        </w:rPr>
        <w:t>部门决算情况说明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_Toc26843607 \h</w:instrText>
      </w:r>
      <w:r>
        <w:rPr>
          <w:rFonts w:ascii="Times New Roman" w:hAnsi="Times New Roman" w:cs="Times New Roman"/>
          <w:sz w:val="24"/>
        </w:rPr>
        <w:fldChar w:fldCharType="separate"/>
      </w:r>
      <w:r>
        <w:rPr>
          <w:rFonts w:ascii="Times New Roman" w:hAnsi="Times New Roman" w:cs="Times New Roman"/>
          <w:sz w:val="24"/>
        </w:rPr>
        <w:t>7</w:t>
      </w:r>
      <w:r>
        <w:rPr>
          <w:rFonts w:ascii="Times New Roman" w:hAnsi="Times New Roman" w:cs="Times New Roman"/>
          <w:sz w:val="24"/>
        </w:rPr>
        <w:fldChar w:fldCharType="end"/>
      </w:r>
      <w:r>
        <w:rPr>
          <w:rFonts w:ascii="Times New Roman" w:hAnsi="Times New Roman" w:cs="Times New Roman"/>
          <w:sz w:val="24"/>
        </w:rPr>
        <w:fldChar w:fldCharType="end"/>
      </w:r>
    </w:p>
    <w:p w14:paraId="7FF1351B">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"_Toc26843608"</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一、</w:t>
      </w:r>
      <w:r>
        <w:rPr>
          <w:rFonts w:ascii="Times New Roman" w:hAnsi="Times New Roman" w:cs="Times New Roman"/>
          <w:sz w:val="24"/>
        </w:rPr>
        <w:t xml:space="preserve">  收</w:t>
      </w:r>
      <w:r>
        <w:rPr>
          <w:rFonts w:ascii="Times New Roman" w:hAnsi="Times New Roman" w:cs="Times New Roman"/>
          <w:bCs/>
          <w:sz w:val="24"/>
          <w:lang w:val="en-US" w:eastAsia="zh-CN" w:bidi="ar-SA"/>
        </w:rPr>
        <w:t>入支出决算总体情况说明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_Toc26843608 \h</w:instrText>
      </w:r>
      <w:r>
        <w:rPr>
          <w:rFonts w:ascii="Times New Roman" w:hAnsi="Times New Roman" w:cs="Times New Roman"/>
          <w:sz w:val="24"/>
        </w:rPr>
        <w:fldChar w:fldCharType="separate"/>
      </w:r>
      <w:r>
        <w:rPr>
          <w:rFonts w:ascii="Times New Roman" w:hAnsi="Times New Roman" w:cs="Times New Roman"/>
          <w:sz w:val="24"/>
        </w:rPr>
        <w:t>7</w:t>
      </w:r>
      <w:r>
        <w:rPr>
          <w:rFonts w:ascii="Times New Roman" w:hAnsi="Times New Roman" w:cs="Times New Roman"/>
          <w:sz w:val="24"/>
        </w:rPr>
        <w:fldChar w:fldCharType="end"/>
      </w:r>
      <w:r>
        <w:rPr>
          <w:rFonts w:ascii="Times New Roman" w:hAnsi="Times New Roman" w:cs="Times New Roman"/>
          <w:sz w:val="24"/>
        </w:rPr>
        <w:fldChar w:fldCharType="end"/>
      </w:r>
    </w:p>
    <w:p w14:paraId="26869397">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"_Toc26843609"</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二、</w:t>
      </w:r>
      <w:r>
        <w:rPr>
          <w:rFonts w:ascii="Times New Roman" w:hAnsi="Times New Roman" w:cs="Times New Roman"/>
          <w:sz w:val="24"/>
        </w:rPr>
        <w:t xml:space="preserve">  收</w:t>
      </w:r>
      <w:r>
        <w:rPr>
          <w:rFonts w:ascii="Times New Roman" w:hAnsi="Times New Roman" w:cs="Times New Roman"/>
          <w:bCs/>
          <w:sz w:val="24"/>
          <w:lang w:val="en-US" w:eastAsia="zh-CN" w:bidi="ar-SA"/>
        </w:rPr>
        <w:t>入决算情况说明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_Toc26843609 \h</w:instrText>
      </w:r>
      <w:r>
        <w:rPr>
          <w:rFonts w:ascii="Times New Roman" w:hAnsi="Times New Roman" w:cs="Times New Roman"/>
          <w:sz w:val="24"/>
        </w:rPr>
        <w:fldChar w:fldCharType="separate"/>
      </w:r>
      <w:r>
        <w:rPr>
          <w:rFonts w:ascii="Times New Roman" w:hAnsi="Times New Roman" w:cs="Times New Roman"/>
          <w:sz w:val="24"/>
        </w:rPr>
        <w:t>7</w:t>
      </w:r>
      <w:r>
        <w:rPr>
          <w:rFonts w:ascii="Times New Roman" w:hAnsi="Times New Roman" w:cs="Times New Roman"/>
          <w:sz w:val="24"/>
        </w:rPr>
        <w:fldChar w:fldCharType="end"/>
      </w:r>
      <w:r>
        <w:rPr>
          <w:rFonts w:ascii="Times New Roman" w:hAnsi="Times New Roman" w:cs="Times New Roman"/>
          <w:sz w:val="24"/>
        </w:rPr>
        <w:fldChar w:fldCharType="end"/>
      </w:r>
    </w:p>
    <w:p w14:paraId="7B617778">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"_Toc26843612"</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三、</w:t>
      </w:r>
      <w:r>
        <w:rPr>
          <w:rFonts w:ascii="Times New Roman" w:hAnsi="Times New Roman" w:cs="Times New Roman"/>
          <w:sz w:val="24"/>
        </w:rPr>
        <w:t xml:space="preserve">  支</w:t>
      </w:r>
      <w:r>
        <w:rPr>
          <w:rFonts w:ascii="Times New Roman" w:hAnsi="Times New Roman" w:cs="Times New Roman"/>
          <w:bCs/>
          <w:sz w:val="24"/>
          <w:lang w:val="en-US" w:eastAsia="zh-CN" w:bidi="ar-SA"/>
        </w:rPr>
        <w:t>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_Toc26843612 \h</w:instrText>
      </w:r>
      <w:r>
        <w:rPr>
          <w:rFonts w:ascii="Times New Roman" w:hAnsi="Times New Roman" w:cs="Times New Roman"/>
          <w:sz w:val="24"/>
        </w:rPr>
        <w:fldChar w:fldCharType="separate"/>
      </w:r>
      <w:r>
        <w:rPr>
          <w:rFonts w:ascii="Times New Roman" w:hAnsi="Times New Roman" w:cs="Times New Roman"/>
          <w:sz w:val="24"/>
        </w:rPr>
        <w:t>8</w:t>
      </w:r>
      <w:r>
        <w:rPr>
          <w:rFonts w:ascii="Times New Roman" w:hAnsi="Times New Roman" w:cs="Times New Roman"/>
          <w:sz w:val="24"/>
        </w:rPr>
        <w:fldChar w:fldCharType="end"/>
      </w:r>
      <w:r>
        <w:rPr>
          <w:rFonts w:ascii="Times New Roman" w:hAnsi="Times New Roman" w:cs="Times New Roman"/>
          <w:sz w:val="24"/>
        </w:rPr>
        <w:fldChar w:fldCharType="end"/>
      </w:r>
    </w:p>
    <w:p w14:paraId="525010A3">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"_Toc26843615"</w:instrText>
      </w:r>
      <w:r>
        <w:rPr>
          <w:rFonts w:ascii="Times New Roman" w:hAnsi="Times New Roman" w:cs="Times New Roman"/>
          <w:sz w:val="24"/>
        </w:rPr>
        <w:fldChar w:fldCharType="separate"/>
      </w:r>
      <w:r>
        <w:rPr>
          <w:rFonts w:ascii="Times New Roman" w:hAnsi="Times New Roman" w:cs="Times New Roman"/>
          <w:sz w:val="24"/>
        </w:rPr>
        <w:t>四、财</w:t>
      </w:r>
      <w:r>
        <w:rPr>
          <w:rFonts w:ascii="Times New Roman" w:hAnsi="Times New Roman" w:cs="Times New Roman"/>
          <w:bCs/>
          <w:sz w:val="24"/>
          <w:lang w:val="en-US" w:eastAsia="zh-CN" w:bidi="ar-SA"/>
        </w:rPr>
        <w:t>政拨款收入支出决算总体情况说明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_Toc26843615 \h</w:instrText>
      </w:r>
      <w:r>
        <w:rPr>
          <w:rFonts w:ascii="Times New Roman" w:hAnsi="Times New Roman" w:cs="Times New Roman"/>
          <w:sz w:val="24"/>
        </w:rPr>
        <w:fldChar w:fldCharType="separate"/>
      </w:r>
      <w:r>
        <w:rPr>
          <w:rFonts w:ascii="Times New Roman" w:hAnsi="Times New Roman" w:cs="Times New Roman"/>
          <w:sz w:val="24"/>
        </w:rPr>
        <w:t>9</w:t>
      </w:r>
      <w:r>
        <w:rPr>
          <w:rFonts w:ascii="Times New Roman" w:hAnsi="Times New Roman" w:cs="Times New Roman"/>
          <w:sz w:val="24"/>
        </w:rPr>
        <w:fldChar w:fldCharType="end"/>
      </w:r>
      <w:r>
        <w:rPr>
          <w:rFonts w:ascii="Times New Roman" w:hAnsi="Times New Roman" w:cs="Times New Roman"/>
          <w:sz w:val="24"/>
        </w:rPr>
        <w:fldChar w:fldCharType="end"/>
      </w:r>
    </w:p>
    <w:p w14:paraId="16206F5A">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"_Toc26843616"</w:instrText>
      </w:r>
      <w:r>
        <w:rPr>
          <w:rFonts w:ascii="Times New Roman" w:hAnsi="Times New Roman" w:cs="Times New Roman"/>
          <w:sz w:val="24"/>
        </w:rPr>
        <w:fldChar w:fldCharType="separate"/>
      </w:r>
      <w:r>
        <w:rPr>
          <w:rFonts w:ascii="Times New Roman" w:hAnsi="Times New Roman" w:cs="Times New Roman"/>
          <w:sz w:val="24"/>
        </w:rPr>
        <w:t>五、一</w:t>
      </w:r>
      <w:r>
        <w:rPr>
          <w:rFonts w:ascii="Times New Roman" w:hAnsi="Times New Roman" w:cs="Times New Roman"/>
          <w:bCs/>
          <w:sz w:val="24"/>
          <w:lang w:val="en-US" w:eastAsia="zh-CN" w:bidi="ar-SA"/>
        </w:rPr>
        <w:t>般公共预算财政拨款支出决算情况说明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_Toc26843616 \h</w:instrText>
      </w:r>
      <w:r>
        <w:rPr>
          <w:rFonts w:ascii="Times New Roman" w:hAnsi="Times New Roman" w:cs="Times New Roman"/>
          <w:sz w:val="24"/>
        </w:rPr>
        <w:fldChar w:fldCharType="separate"/>
      </w:r>
      <w:r>
        <w:rPr>
          <w:rFonts w:ascii="Times New Roman" w:hAnsi="Times New Roman" w:cs="Times New Roman"/>
          <w:sz w:val="24"/>
        </w:rPr>
        <w:t>9</w:t>
      </w:r>
      <w:r>
        <w:rPr>
          <w:rFonts w:ascii="Times New Roman" w:hAnsi="Times New Roman" w:cs="Times New Roman"/>
          <w:sz w:val="24"/>
        </w:rPr>
        <w:fldChar w:fldCharType="end"/>
      </w:r>
      <w:r>
        <w:rPr>
          <w:rFonts w:ascii="Times New Roman" w:hAnsi="Times New Roman" w:cs="Times New Roman"/>
          <w:sz w:val="24"/>
        </w:rPr>
        <w:fldChar w:fldCharType="end"/>
      </w:r>
    </w:p>
    <w:p w14:paraId="7842CE6D">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"_Toc26843617"</w:instrText>
      </w:r>
      <w:r>
        <w:rPr>
          <w:rFonts w:ascii="Times New Roman" w:hAnsi="Times New Roman" w:cs="Times New Roman"/>
          <w:sz w:val="24"/>
        </w:rPr>
        <w:fldChar w:fldCharType="separate"/>
      </w:r>
      <w:r>
        <w:rPr>
          <w:rFonts w:ascii="Times New Roman" w:hAnsi="Times New Roman" w:cs="Times New Roman"/>
          <w:sz w:val="24"/>
        </w:rPr>
        <w:t>六、一</w:t>
      </w:r>
      <w:r>
        <w:rPr>
          <w:rFonts w:ascii="Times New Roman" w:hAnsi="Times New Roman" w:cs="Times New Roman"/>
          <w:bCs/>
          <w:sz w:val="24"/>
          <w:lang w:val="en-US" w:eastAsia="zh-CN" w:bidi="ar-SA"/>
        </w:rPr>
        <w:t>般公共预算财政拨款基本支出决算情况说明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_Toc26843617 \h</w:instrText>
      </w:r>
      <w:r>
        <w:rPr>
          <w:rFonts w:ascii="Times New Roman" w:hAnsi="Times New Roman" w:cs="Times New Roman"/>
          <w:sz w:val="24"/>
        </w:rPr>
        <w:fldChar w:fldCharType="separate"/>
      </w:r>
      <w:r>
        <w:rPr>
          <w:rFonts w:ascii="Times New Roman" w:hAnsi="Times New Roman" w:cs="Times New Roman"/>
          <w:sz w:val="24"/>
        </w:rPr>
        <w:t>12</w:t>
      </w:r>
      <w:r>
        <w:rPr>
          <w:rFonts w:ascii="Times New Roman" w:hAnsi="Times New Roman" w:cs="Times New Roman"/>
          <w:sz w:val="24"/>
        </w:rPr>
        <w:fldChar w:fldCharType="end"/>
      </w:r>
      <w:r>
        <w:rPr>
          <w:rFonts w:ascii="Times New Roman" w:hAnsi="Times New Roman" w:cs="Times New Roman"/>
          <w:sz w:val="24"/>
        </w:rPr>
        <w:fldChar w:fldCharType="end"/>
      </w:r>
    </w:p>
    <w:p w14:paraId="3AC7B26F">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"_Toc26843618"</w:instrText>
      </w:r>
      <w:r>
        <w:rPr>
          <w:rFonts w:ascii="Times New Roman" w:hAnsi="Times New Roman" w:cs="Times New Roman"/>
          <w:sz w:val="24"/>
        </w:rPr>
        <w:fldChar w:fldCharType="separate"/>
      </w:r>
      <w:r>
        <w:rPr>
          <w:rFonts w:ascii="Times New Roman" w:hAnsi="Times New Roman" w:cs="Times New Roman"/>
          <w:sz w:val="24"/>
        </w:rPr>
        <w:t>七、</w:t>
      </w:r>
      <w:r>
        <w:rPr>
          <w:rFonts w:ascii="Times New Roman" w:hAnsi="Times New Roman" w:cs="Times New Roman"/>
          <w:bCs/>
          <w:sz w:val="24"/>
          <w:lang w:val="en-US" w:eastAsia="zh-CN" w:bidi="ar-SA"/>
        </w:rPr>
        <w:t>“三公”经费财政拨款支出决算情况说明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_Toc26843618 \h</w:instrText>
      </w:r>
      <w:r>
        <w:rPr>
          <w:rFonts w:ascii="Times New Roman" w:hAnsi="Times New Roman" w:cs="Times New Roman"/>
          <w:sz w:val="24"/>
        </w:rPr>
        <w:fldChar w:fldCharType="separate"/>
      </w:r>
      <w:r>
        <w:rPr>
          <w:rFonts w:ascii="Times New Roman" w:hAnsi="Times New Roman" w:cs="Times New Roman"/>
          <w:sz w:val="24"/>
        </w:rPr>
        <w:t>13</w:t>
      </w:r>
      <w:r>
        <w:rPr>
          <w:rFonts w:ascii="Times New Roman" w:hAnsi="Times New Roman" w:cs="Times New Roman"/>
          <w:sz w:val="24"/>
        </w:rPr>
        <w:fldChar w:fldCharType="end"/>
      </w:r>
      <w:r>
        <w:rPr>
          <w:rFonts w:ascii="Times New Roman" w:hAnsi="Times New Roman" w:cs="Times New Roman"/>
          <w:sz w:val="24"/>
        </w:rPr>
        <w:fldChar w:fldCharType="end"/>
      </w:r>
    </w:p>
    <w:p w14:paraId="7098BBA9">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"_Toc26843619"</w:instrText>
      </w:r>
      <w:r>
        <w:rPr>
          <w:rFonts w:ascii="Times New Roman" w:hAnsi="Times New Roman" w:cs="Times New Roman"/>
          <w:sz w:val="24"/>
        </w:rPr>
        <w:fldChar w:fldCharType="separate"/>
      </w:r>
      <w:r>
        <w:rPr>
          <w:rFonts w:ascii="Times New Roman" w:hAnsi="Times New Roman" w:cs="Times New Roman"/>
          <w:sz w:val="24"/>
        </w:rPr>
        <w:t>八、</w:t>
      </w:r>
      <w:r>
        <w:rPr>
          <w:rFonts w:ascii="Times New Roman" w:hAnsi="Times New Roman" w:cs="Times New Roman"/>
          <w:bCs/>
          <w:sz w:val="24"/>
          <w:lang w:val="en-US" w:eastAsia="zh-CN" w:bidi="ar-SA"/>
        </w:rPr>
        <w:t>政府性基金预算支出决算情况说明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_Toc26843619 \h</w:instrText>
      </w:r>
      <w:r>
        <w:rPr>
          <w:rFonts w:ascii="Times New Roman" w:hAnsi="Times New Roman" w:cs="Times New Roman"/>
          <w:sz w:val="24"/>
        </w:rPr>
        <w:fldChar w:fldCharType="separate"/>
      </w:r>
      <w:r>
        <w:rPr>
          <w:rFonts w:ascii="Times New Roman" w:hAnsi="Times New Roman" w:cs="Times New Roman"/>
          <w:sz w:val="24"/>
        </w:rPr>
        <w:t>14</w:t>
      </w:r>
      <w:r>
        <w:rPr>
          <w:rFonts w:ascii="Times New Roman" w:hAnsi="Times New Roman" w:cs="Times New Roman"/>
          <w:sz w:val="24"/>
        </w:rPr>
        <w:fldChar w:fldCharType="end"/>
      </w:r>
      <w:r>
        <w:rPr>
          <w:rFonts w:ascii="Times New Roman" w:hAnsi="Times New Roman" w:cs="Times New Roman"/>
          <w:sz w:val="24"/>
        </w:rPr>
        <w:fldChar w:fldCharType="end"/>
      </w:r>
    </w:p>
    <w:p w14:paraId="79FDE9DC">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"_Toc26843620"</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九、</w:t>
      </w:r>
      <w:r>
        <w:rPr>
          <w:rFonts w:ascii="Times New Roman" w:hAnsi="Times New Roman" w:cs="Times New Roman"/>
          <w:sz w:val="24"/>
        </w:rPr>
        <w:t xml:space="preserve">  </w:t>
      </w:r>
      <w:r>
        <w:rPr>
          <w:rFonts w:ascii="Times New Roman" w:hAnsi="Times New Roman" w:cs="Times New Roman"/>
          <w:bCs/>
          <w:sz w:val="24"/>
          <w:lang w:val="en-US" w:eastAsia="zh-CN" w:bidi="ar-SA"/>
        </w:rPr>
        <w:t>国有资本经营预算支出决算情况说明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_Toc26843620 \h</w:instrText>
      </w:r>
      <w:r>
        <w:rPr>
          <w:rFonts w:ascii="Times New Roman" w:hAnsi="Times New Roman" w:cs="Times New Roman"/>
          <w:sz w:val="24"/>
        </w:rPr>
        <w:fldChar w:fldCharType="separate"/>
      </w:r>
      <w:r>
        <w:rPr>
          <w:rFonts w:ascii="Times New Roman" w:hAnsi="Times New Roman" w:cs="Times New Roman"/>
          <w:sz w:val="24"/>
        </w:rPr>
        <w:t>14</w:t>
      </w:r>
      <w:r>
        <w:rPr>
          <w:rFonts w:ascii="Times New Roman" w:hAnsi="Times New Roman" w:cs="Times New Roman"/>
          <w:sz w:val="24"/>
        </w:rPr>
        <w:fldChar w:fldCharType="end"/>
      </w:r>
      <w:r>
        <w:rPr>
          <w:rFonts w:ascii="Times New Roman" w:hAnsi="Times New Roman" w:cs="Times New Roman"/>
          <w:sz w:val="24"/>
        </w:rPr>
        <w:fldChar w:fldCharType="end"/>
      </w:r>
    </w:p>
    <w:p w14:paraId="708477E3">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"_Toc26843621"</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十、</w:t>
      </w:r>
      <w:r>
        <w:rPr>
          <w:rFonts w:ascii="Times New Roman" w:hAnsi="Times New Roman" w:cs="Times New Roman"/>
          <w:sz w:val="24"/>
        </w:rPr>
        <w:t xml:space="preserve">  </w:t>
      </w:r>
      <w:r>
        <w:rPr>
          <w:rFonts w:ascii="Times New Roman" w:hAnsi="Times New Roman" w:cs="Times New Roman"/>
          <w:bCs/>
          <w:sz w:val="24"/>
          <w:lang w:val="en-US" w:eastAsia="zh-CN" w:bidi="ar-SA"/>
        </w:rPr>
        <w:t>其他重要事项的情况说明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_Toc26843621 \h</w:instrText>
      </w:r>
      <w:r>
        <w:rPr>
          <w:rFonts w:ascii="Times New Roman" w:hAnsi="Times New Roman" w:cs="Times New Roman"/>
          <w:sz w:val="24"/>
        </w:rPr>
        <w:fldChar w:fldCharType="separate"/>
      </w:r>
      <w:r>
        <w:rPr>
          <w:rFonts w:ascii="Times New Roman" w:hAnsi="Times New Roman" w:cs="Times New Roman"/>
          <w:sz w:val="24"/>
        </w:rPr>
        <w:t>14</w:t>
      </w:r>
      <w:r>
        <w:rPr>
          <w:rFonts w:ascii="Times New Roman" w:hAnsi="Times New Roman" w:cs="Times New Roman"/>
          <w:sz w:val="24"/>
        </w:rPr>
        <w:fldChar w:fldCharType="end"/>
      </w:r>
      <w:r>
        <w:rPr>
          <w:rFonts w:ascii="Times New Roman" w:hAnsi="Times New Roman" w:cs="Times New Roman"/>
          <w:sz w:val="24"/>
        </w:rPr>
        <w:fldChar w:fldCharType="end"/>
      </w:r>
    </w:p>
    <w:p w14:paraId="0225E4B3">
      <w:pPr>
        <w:pStyle w:val="11"/>
        <w:adjustRightInd w:val="0"/>
        <w:snapToGrid w:val="0"/>
        <w:spacing w:before="0"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"_Toc26843622"</w:instrText>
      </w:r>
      <w:r>
        <w:rPr>
          <w:rFonts w:ascii="Times New Roman" w:hAnsi="Times New Roman" w:cs="Times New Roman"/>
          <w:sz w:val="24"/>
        </w:rPr>
        <w:fldChar w:fldCharType="separate"/>
      </w:r>
      <w:r>
        <w:rPr>
          <w:rFonts w:ascii="Times New Roman" w:hAnsi="Times New Roman" w:eastAsia="仿宋" w:cs="Times New Roman"/>
          <w:bCs/>
          <w:sz w:val="24"/>
          <w:szCs w:val="28"/>
          <w:lang w:val="en-US" w:eastAsia="zh-CN" w:bidi="ar-SA"/>
        </w:rPr>
        <w:t>第三部分</w:t>
      </w:r>
      <w:r>
        <w:rPr>
          <w:rFonts w:ascii="Times New Roman" w:hAnsi="Times New Roman" w:cs="Times New Roman"/>
          <w:sz w:val="24"/>
        </w:rPr>
        <w:t xml:space="preserve">  名</w:t>
      </w:r>
      <w:r>
        <w:rPr>
          <w:rFonts w:ascii="Times New Roman" w:hAnsi="Times New Roman" w:eastAsia="仿宋" w:cs="Times New Roman"/>
          <w:bCs/>
          <w:sz w:val="24"/>
          <w:szCs w:val="28"/>
          <w:lang w:val="en-US" w:eastAsia="zh-CN" w:bidi="ar-SA"/>
        </w:rPr>
        <w:t>词解释</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_Toc26843622 \h</w:instrText>
      </w:r>
      <w:r>
        <w:rPr>
          <w:rFonts w:ascii="Times New Roman" w:hAnsi="Times New Roman" w:cs="Times New Roman"/>
          <w:sz w:val="24"/>
        </w:rPr>
        <w:fldChar w:fldCharType="separate"/>
      </w:r>
      <w:r>
        <w:rPr>
          <w:rFonts w:ascii="Times New Roman" w:hAnsi="Times New Roman" w:cs="Times New Roman"/>
          <w:sz w:val="24"/>
        </w:rPr>
        <w:t>16</w:t>
      </w:r>
      <w:r>
        <w:rPr>
          <w:rFonts w:ascii="Times New Roman" w:hAnsi="Times New Roman" w:cs="Times New Roman"/>
          <w:sz w:val="24"/>
        </w:rPr>
        <w:fldChar w:fldCharType="end"/>
      </w:r>
      <w:r>
        <w:rPr>
          <w:rFonts w:ascii="Times New Roman" w:hAnsi="Times New Roman" w:cs="Times New Roman"/>
          <w:sz w:val="24"/>
        </w:rPr>
        <w:fldChar w:fldCharType="end"/>
      </w:r>
    </w:p>
    <w:p w14:paraId="7AFD028F">
      <w:pPr>
        <w:pStyle w:val="11"/>
        <w:adjustRightInd w:val="0"/>
        <w:snapToGrid w:val="0"/>
        <w:spacing w:before="0"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"_Toc26843623"</w:instrText>
      </w:r>
      <w:r>
        <w:rPr>
          <w:rFonts w:ascii="Times New Roman" w:hAnsi="Times New Roman" w:cs="Times New Roman"/>
          <w:sz w:val="24"/>
        </w:rPr>
        <w:fldChar w:fldCharType="separate"/>
      </w:r>
      <w:r>
        <w:rPr>
          <w:rFonts w:ascii="Times New Roman" w:hAnsi="Times New Roman" w:cs="Times New Roman"/>
          <w:sz w:val="24"/>
        </w:rPr>
        <w:t>第</w:t>
      </w:r>
      <w:r>
        <w:rPr>
          <w:rFonts w:ascii="Times New Roman" w:hAnsi="Times New Roman" w:eastAsia="仿宋" w:cs="Times New Roman"/>
          <w:bCs/>
          <w:sz w:val="24"/>
          <w:szCs w:val="28"/>
          <w:lang w:val="en-US" w:eastAsia="zh-CN" w:bidi="ar-SA"/>
        </w:rPr>
        <w:t>四部分 附件</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_Toc26843623 \h</w:instrText>
      </w:r>
      <w:r>
        <w:rPr>
          <w:rFonts w:ascii="Times New Roman" w:hAnsi="Times New Roman" w:cs="Times New Roman"/>
          <w:sz w:val="24"/>
        </w:rPr>
        <w:fldChar w:fldCharType="separate"/>
      </w:r>
      <w:r>
        <w:rPr>
          <w:rFonts w:ascii="Times New Roman" w:hAnsi="Times New Roman" w:cs="Times New Roman"/>
          <w:sz w:val="24"/>
        </w:rPr>
        <w:t>18</w:t>
      </w:r>
      <w:r>
        <w:rPr>
          <w:rFonts w:ascii="Times New Roman" w:hAnsi="Times New Roman" w:cs="Times New Roman"/>
          <w:sz w:val="24"/>
        </w:rPr>
        <w:fldChar w:fldCharType="end"/>
      </w:r>
      <w:r>
        <w:rPr>
          <w:rFonts w:ascii="Times New Roman" w:hAnsi="Times New Roman" w:cs="Times New Roman"/>
          <w:sz w:val="24"/>
        </w:rPr>
        <w:fldChar w:fldCharType="end"/>
      </w:r>
    </w:p>
    <w:p w14:paraId="7E9FC837">
      <w:pPr>
        <w:pStyle w:val="11"/>
        <w:adjustRightInd w:val="0"/>
        <w:snapToGrid w:val="0"/>
        <w:spacing w:before="0" w:line="440" w:lineRule="exact"/>
        <w:jc w:val="left"/>
        <w:rPr>
          <w:rFonts w:hint="eastAsia" w:ascii="Times New Roman" w:hAnsi="Times New Roman" w:eastAsia="仿宋"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"_Toc26843625"</w:instrText>
      </w:r>
      <w:r>
        <w:rPr>
          <w:rFonts w:ascii="Times New Roman" w:hAnsi="Times New Roman" w:cs="Times New Roman"/>
          <w:sz w:val="24"/>
        </w:rPr>
        <w:fldChar w:fldCharType="separate"/>
      </w:r>
      <w:r>
        <w:rPr>
          <w:rFonts w:ascii="Times New Roman" w:hAnsi="Times New Roman" w:cs="Times New Roman"/>
          <w:sz w:val="24"/>
        </w:rPr>
        <w:t>第</w:t>
      </w:r>
      <w:r>
        <w:rPr>
          <w:rFonts w:ascii="Times New Roman" w:hAnsi="Times New Roman" w:eastAsia="仿宋" w:cs="Times New Roman"/>
          <w:bCs/>
          <w:sz w:val="24"/>
          <w:szCs w:val="28"/>
          <w:lang w:val="en-US" w:eastAsia="zh-CN" w:bidi="ar-SA"/>
        </w:rPr>
        <w:t>五部分 附表</w:t>
      </w:r>
      <w:r>
        <w:rPr>
          <w:rFonts w:ascii="Times New Roman" w:hAnsi="Times New Roman" w:cs="Times New Roman"/>
          <w:sz w:val="24"/>
        </w:rPr>
        <w:tab/>
      </w:r>
      <w:r>
        <w:rPr>
          <w:rFonts w:hint="eastAsia" w:ascii="Times New Roman" w:cs="Times New Roman"/>
          <w:sz w:val="24"/>
          <w:lang w:val="en-US" w:eastAsia="zh-CN"/>
        </w:rPr>
        <w:t>2</w:t>
      </w:r>
      <w:r>
        <w:rPr>
          <w:rFonts w:ascii="Times New Roman" w:hAnsi="Times New Roman" w:cs="Times New Roman"/>
          <w:sz w:val="24"/>
        </w:rPr>
        <w:fldChar w:fldCharType="end"/>
      </w:r>
      <w:r>
        <w:rPr>
          <w:rFonts w:hint="eastAsia" w:ascii="Times New Roman" w:cs="Times New Roman"/>
          <w:sz w:val="24"/>
          <w:lang w:val="en-US" w:eastAsia="zh-CN"/>
        </w:rPr>
        <w:t>6</w:t>
      </w:r>
    </w:p>
    <w:p w14:paraId="3102036A">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"_Toc26843626"</w:instrText>
      </w:r>
      <w:r>
        <w:rPr>
          <w:rFonts w:ascii="Times New Roman" w:hAnsi="Times New Roman" w:cs="Times New Roman"/>
          <w:sz w:val="24"/>
        </w:rPr>
        <w:fldChar w:fldCharType="separate"/>
      </w:r>
      <w:r>
        <w:rPr>
          <w:rFonts w:ascii="Times New Roman" w:hAnsi="Times New Roman" w:cs="Times New Roman"/>
          <w:sz w:val="24"/>
        </w:rPr>
        <w:t>一、收</w:t>
      </w:r>
      <w:r>
        <w:rPr>
          <w:rFonts w:ascii="Times New Roman" w:hAnsi="Times New Roman" w:cs="Times New Roman"/>
          <w:bCs/>
          <w:sz w:val="24"/>
          <w:lang w:val="en-US" w:eastAsia="zh-CN" w:bidi="ar-SA"/>
        </w:rPr>
        <w:t>入支出决算总表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38400AA7">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"_Toc26843627"</w:instrText>
      </w:r>
      <w:r>
        <w:rPr>
          <w:rFonts w:ascii="Times New Roman" w:hAnsi="Times New Roman" w:cs="Times New Roman"/>
          <w:sz w:val="24"/>
        </w:rPr>
        <w:fldChar w:fldCharType="separate"/>
      </w:r>
      <w:r>
        <w:rPr>
          <w:rFonts w:ascii="Times New Roman" w:hAnsi="Times New Roman" w:cs="Times New Roman"/>
          <w:sz w:val="24"/>
        </w:rPr>
        <w:t>二、收</w:t>
      </w:r>
      <w:r>
        <w:rPr>
          <w:rFonts w:ascii="Times New Roman" w:hAnsi="Times New Roman" w:cs="Times New Roman"/>
          <w:bCs/>
          <w:sz w:val="24"/>
          <w:lang w:val="en-US" w:eastAsia="zh-CN" w:bidi="ar-SA"/>
        </w:rPr>
        <w:t>入决算表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7EDC6888">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"_Toc26843628"</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三、</w:t>
      </w:r>
      <w:r>
        <w:rPr>
          <w:rFonts w:ascii="Times New Roman" w:hAnsi="Times New Roman" w:cs="Times New Roman"/>
          <w:sz w:val="24"/>
        </w:rPr>
        <w:t>支</w:t>
      </w:r>
      <w:r>
        <w:rPr>
          <w:rFonts w:ascii="Times New Roman" w:hAnsi="Times New Roman" w:cs="Times New Roman"/>
          <w:bCs/>
          <w:sz w:val="24"/>
          <w:lang w:val="en-US" w:eastAsia="zh-CN" w:bidi="ar-SA"/>
        </w:rPr>
        <w:t>出决算表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3C5F168C">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"_Toc26843629"</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四、</w:t>
      </w:r>
      <w:r>
        <w:rPr>
          <w:rFonts w:ascii="Times New Roman" w:hAnsi="Times New Roman" w:cs="Times New Roman"/>
          <w:sz w:val="24"/>
        </w:rPr>
        <w:t>财</w:t>
      </w:r>
      <w:r>
        <w:rPr>
          <w:rFonts w:ascii="Times New Roman" w:hAnsi="Times New Roman" w:cs="Times New Roman"/>
          <w:bCs/>
          <w:sz w:val="24"/>
          <w:lang w:val="en-US" w:eastAsia="zh-CN" w:bidi="ar-SA"/>
        </w:rPr>
        <w:t>政拨款收入支出决算总表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1D07B0FF">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"_Toc26843630"</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五、</w:t>
      </w:r>
      <w:r>
        <w:rPr>
          <w:rFonts w:ascii="Times New Roman" w:hAnsi="Times New Roman" w:cs="Times New Roman"/>
          <w:sz w:val="24"/>
        </w:rPr>
        <w:t>财</w:t>
      </w:r>
      <w:r>
        <w:rPr>
          <w:rFonts w:ascii="Times New Roman" w:hAnsi="Times New Roman" w:cs="Times New Roman"/>
          <w:bCs/>
          <w:sz w:val="24"/>
          <w:lang w:val="en-US" w:eastAsia="zh-CN" w:bidi="ar-SA"/>
        </w:rPr>
        <w:t>政拨款支出决算明细表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6903ADE5">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"_Toc26843631"</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六、</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般公共预算财政拨款支出决算表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039D58B5">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"_Toc26843632"</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七、</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般公共预算财政拨款支出决算明细表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18FE5BF9">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"_Toc26843633"</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八、</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般公共预算财政拨款基本支出决算表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0EC703E0">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"_Toc26843634"</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九、</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般公共预算财政拨款项目支出决算表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2EC6F9A8">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"_Toc26843635"</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十、</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般公共预算财政拨款“三公”经费支出决算表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040E7F0C">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"_Toc26843636"</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十一、</w:t>
      </w:r>
      <w:r>
        <w:rPr>
          <w:rFonts w:ascii="Times New Roman" w:hAnsi="Times New Roman" w:cs="Times New Roman"/>
          <w:sz w:val="24"/>
        </w:rPr>
        <w:t>政</w:t>
      </w:r>
      <w:r>
        <w:rPr>
          <w:rFonts w:ascii="Times New Roman" w:hAnsi="Times New Roman" w:cs="Times New Roman"/>
          <w:bCs/>
          <w:sz w:val="24"/>
          <w:lang w:val="en-US" w:eastAsia="zh-CN" w:bidi="ar-SA"/>
        </w:rPr>
        <w:t>府性基金预算财政拨款收入支出决算表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75C27DFD">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"_Toc26843638"</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十</w:t>
      </w:r>
      <w:r>
        <w:rPr>
          <w:rFonts w:hint="eastAsia" w:cs="Times New Roman"/>
          <w:bCs/>
          <w:sz w:val="24"/>
          <w:lang w:val="en-US" w:eastAsia="zh-CN" w:bidi="ar-SA"/>
        </w:rPr>
        <w:t>二</w:t>
      </w:r>
      <w:r>
        <w:rPr>
          <w:rFonts w:ascii="Times New Roman" w:hAnsi="Times New Roman" w:cs="Times New Roman"/>
          <w:bCs/>
          <w:sz w:val="24"/>
          <w:lang w:val="en-US" w:eastAsia="zh-CN" w:bidi="ar-SA"/>
        </w:rPr>
        <w:t>、</w:t>
      </w:r>
      <w:r>
        <w:rPr>
          <w:rFonts w:ascii="Times New Roman" w:hAnsi="Times New Roman" w:cs="Times New Roman"/>
          <w:sz w:val="24"/>
        </w:rPr>
        <w:t>国</w:t>
      </w:r>
      <w:r>
        <w:rPr>
          <w:rFonts w:ascii="Times New Roman" w:hAnsi="Times New Roman" w:cs="Times New Roman"/>
          <w:bCs/>
          <w:sz w:val="24"/>
          <w:lang w:val="en-US" w:eastAsia="zh-CN" w:bidi="ar-SA"/>
        </w:rPr>
        <w:t>有资本经营预算财政拨款收入支出决算表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614D934F">
      <w:pPr>
        <w:pStyle w:val="14"/>
        <w:adjustRightInd w:val="0"/>
        <w:snapToGrid w:val="0"/>
        <w:spacing w:line="440" w:lineRule="exact"/>
        <w:jc w:val="left"/>
        <w:rPr>
          <w:rFonts w:hint="eastAsia" w:ascii="Times New Roman" w:hAnsi="Times New Roman" w:eastAsia="宋体" w:cs="Times New Roman"/>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"_Toc26843639"</w:instrText>
      </w:r>
      <w:r>
        <w:rPr>
          <w:rFonts w:ascii="Times New Roman" w:hAnsi="Times New Roman" w:cs="Times New Roman"/>
          <w:sz w:val="24"/>
        </w:rPr>
        <w:fldChar w:fldCharType="separate"/>
      </w:r>
      <w:r>
        <w:rPr>
          <w:rFonts w:ascii="Times New Roman" w:hAnsi="Times New Roman" w:cs="Times New Roman"/>
          <w:sz w:val="24"/>
          <w:lang w:val="en-US" w:eastAsia="zh-CN" w:bidi="ar-SA"/>
        </w:rPr>
        <w:t>十</w:t>
      </w:r>
      <w:r>
        <w:rPr>
          <w:rFonts w:hint="eastAsia" w:cs="Times New Roman"/>
          <w:sz w:val="24"/>
          <w:lang w:val="en-US" w:eastAsia="zh-CN" w:bidi="ar-SA"/>
        </w:rPr>
        <w:t>三</w:t>
      </w:r>
      <w:r>
        <w:rPr>
          <w:rFonts w:ascii="Times New Roman" w:hAnsi="Times New Roman" w:cs="Times New Roman"/>
          <w:sz w:val="24"/>
          <w:lang w:val="en-US" w:eastAsia="zh-CN" w:bidi="ar-SA"/>
        </w:rPr>
        <w:t>、国有资本经营预算财政拨款支出决算表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ascii="Times New Roman" w:hAnsi="Times New Roman" w:cs="Times New Roman"/>
        </w:rPr>
        <w:fldChar w:fldCharType="end"/>
      </w:r>
      <w:r>
        <w:rPr>
          <w:rFonts w:hint="eastAsia" w:cs="Times New Roman"/>
          <w:lang w:val="en-US" w:eastAsia="zh-CN"/>
        </w:rPr>
        <w:t>6</w:t>
      </w:r>
    </w:p>
    <w:p w14:paraId="714F590C">
      <w:pPr>
        <w:widowControl/>
        <w:spacing w:line="440" w:lineRule="exact"/>
        <w:jc w:val="left"/>
        <w:rPr>
          <w:rFonts w:ascii="Times New Roman" w:hAnsi="Times New Roman" w:eastAsia="仿宋" w:cs="Times New Roman"/>
          <w:bCs/>
          <w:kern w:val="44"/>
          <w:sz w:val="24"/>
        </w:rPr>
      </w:pPr>
      <w:bookmarkStart w:id="14" w:name="_Toc15377196"/>
      <w:bookmarkStart w:id="15" w:name="_Toc15396599"/>
      <w:r>
        <w:rPr>
          <w:rFonts w:ascii="Times New Roman" w:hAnsi="Times New Roman" w:eastAsia="仿宋" w:cs="Times New Roman"/>
          <w:b/>
          <w:sz w:val="24"/>
        </w:rPr>
        <w:br w:type="page"/>
      </w:r>
    </w:p>
    <w:p w14:paraId="550B7799">
      <w:pPr>
        <w:pStyle w:val="3"/>
        <w:keepNext/>
        <w:keepLines/>
        <w:pageBreakBefore w:val="0"/>
        <w:widowControl w:val="0"/>
        <w:kinsoku/>
        <w:wordWrap/>
        <w:overflowPunct/>
        <w:topLinePunct w:val="0"/>
        <w:bidi w:val="0"/>
        <w:spacing w:line="576" w:lineRule="exact"/>
        <w:jc w:val="center"/>
        <w:rPr>
          <w:rStyle w:val="20"/>
          <w:rFonts w:ascii="Times New Roman" w:hAnsi="Times New Roman" w:eastAsia="黑体" w:cs="Times New Roman"/>
          <w:b/>
          <w:bCs w:val="0"/>
        </w:rPr>
      </w:pPr>
      <w:bookmarkStart w:id="16" w:name="_Toc26843604"/>
      <w:r>
        <w:rPr>
          <w:rFonts w:ascii="Times New Roman" w:hAnsi="Times New Roman" w:eastAsia="黑体" w:cs="Times New Roman"/>
          <w:b w:val="0"/>
        </w:rPr>
        <w:t xml:space="preserve">第一部分 </w:t>
      </w:r>
      <w:r>
        <w:rPr>
          <w:rFonts w:ascii="Times New Roman" w:hAnsi="Times New Roman" w:eastAsia="黑体" w:cs="Times New Roman"/>
          <w:b w:val="0"/>
          <w:kern w:val="44"/>
          <w:sz w:val="44"/>
          <w:szCs w:val="44"/>
        </w:rPr>
        <w:t>部门概况</w:t>
      </w:r>
      <w:bookmarkEnd w:id="14"/>
      <w:bookmarkEnd w:id="15"/>
      <w:bookmarkEnd w:id="16"/>
    </w:p>
    <w:p w14:paraId="02FDAA77">
      <w:pPr>
        <w:pageBreakBefore w:val="0"/>
        <w:widowControl/>
        <w:kinsoku/>
        <w:wordWrap/>
        <w:overflowPunct/>
        <w:topLinePunct w:val="0"/>
        <w:bidi w:val="0"/>
        <w:spacing w:line="576" w:lineRule="exact"/>
        <w:jc w:val="left"/>
        <w:rPr>
          <w:rFonts w:ascii="Times New Roman" w:hAnsi="Times New Roman" w:eastAsia="黑体" w:cs="Times New Roman"/>
          <w:sz w:val="32"/>
          <w:szCs w:val="32"/>
        </w:rPr>
      </w:pPr>
    </w:p>
    <w:p w14:paraId="6C2DA7EF">
      <w:pPr>
        <w:pStyle w:val="4"/>
        <w:keepNext/>
        <w:keepLines/>
        <w:pageBreakBefore w:val="0"/>
        <w:widowControl w:val="0"/>
        <w:kinsoku/>
        <w:wordWrap/>
        <w:overflowPunct/>
        <w:topLinePunct w:val="0"/>
        <w:bidi w:val="0"/>
        <w:spacing w:after="0" w:line="576" w:lineRule="exact"/>
        <w:rPr>
          <w:rStyle w:val="21"/>
          <w:rFonts w:ascii="Times New Roman" w:hAnsi="Times New Roman" w:eastAsia="黑体" w:cs="Times New Roman"/>
          <w:b w:val="0"/>
          <w:bCs w:val="0"/>
        </w:rPr>
      </w:pPr>
      <w:bookmarkStart w:id="17" w:name="_Toc15396600"/>
      <w:bookmarkStart w:id="18" w:name="_Toc26843605"/>
      <w:bookmarkStart w:id="19" w:name="_Toc15377197"/>
      <w:r>
        <w:rPr>
          <w:rStyle w:val="21"/>
          <w:rFonts w:ascii="Times New Roman" w:hAnsi="Times New Roman" w:eastAsia="黑体" w:cs="Times New Roman"/>
          <w:b w:val="0"/>
          <w:bCs w:val="0"/>
        </w:rPr>
        <w:t>一、基本职能及主要工作</w:t>
      </w:r>
      <w:bookmarkEnd w:id="17"/>
      <w:bookmarkEnd w:id="18"/>
      <w:bookmarkEnd w:id="19"/>
    </w:p>
    <w:p w14:paraId="25911E50">
      <w:pPr>
        <w:pStyle w:val="8"/>
        <w:pageBreakBefore w:val="0"/>
        <w:widowControl w:val="0"/>
        <w:kinsoku/>
        <w:wordWrap/>
        <w:overflowPunct/>
        <w:topLinePunct w:val="0"/>
        <w:bidi w:val="0"/>
        <w:adjustRightInd w:val="0"/>
        <w:snapToGrid w:val="0"/>
        <w:spacing w:before="93" w:line="576" w:lineRule="exact"/>
        <w:ind w:left="0" w:firstLine="668" w:firstLineChars="208"/>
        <w:outlineLvl w:val="2"/>
        <w:rPr>
          <w:rFonts w:ascii="Times New Roman" w:hAnsi="Times New Roman" w:eastAsia="楷体" w:cs="Times New Roman"/>
          <w:b/>
          <w:color w:val="000000"/>
          <w:kern w:val="0"/>
          <w:sz w:val="32"/>
          <w:szCs w:val="32"/>
          <w:shd w:val="clear" w:color="auto" w:fill="auto"/>
        </w:rPr>
      </w:pPr>
      <w:bookmarkStart w:id="20" w:name="_Toc15377198"/>
      <w:bookmarkStart w:id="21" w:name="_Toc15378445"/>
      <w:r>
        <w:rPr>
          <w:rFonts w:ascii="Times New Roman" w:hAnsi="Times New Roman" w:eastAsia="楷体" w:cs="Times New Roman"/>
          <w:b/>
          <w:color w:val="000000"/>
          <w:kern w:val="0"/>
          <w:sz w:val="32"/>
          <w:szCs w:val="32"/>
          <w:shd w:val="clear" w:color="auto" w:fill="auto"/>
        </w:rPr>
        <w:t>（一）主要职能。</w:t>
      </w:r>
      <w:bookmarkEnd w:id="20"/>
      <w:bookmarkEnd w:id="21"/>
    </w:p>
    <w:p w14:paraId="22C2FD44">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bookmarkStart w:id="22" w:name="_Toc15378446"/>
      <w:bookmarkStart w:id="23" w:name="_Toc15377199"/>
      <w:r>
        <w:rPr>
          <w:rFonts w:hint="eastAsia" w:ascii="Times New Roman" w:hAnsi="Times New Roman" w:eastAsia="仿宋_GB2312" w:cs="Times New Roman"/>
          <w:sz w:val="32"/>
          <w:szCs w:val="32"/>
        </w:rPr>
        <w:t>一是负责宣传贯彻党和国家有关农村经济工作和社会发展的方针政策，发挥党和政府密切联系农民群</w:t>
      </w:r>
      <w:r>
        <w:rPr>
          <w:rFonts w:hint="eastAsia" w:eastAsia="仿宋_GB2312" w:cs="Times New Roman"/>
          <w:sz w:val="32"/>
          <w:szCs w:val="32"/>
          <w:lang w:eastAsia="zh-CN"/>
        </w:rPr>
        <w:t>众的</w:t>
      </w:r>
      <w:r>
        <w:rPr>
          <w:rFonts w:hint="eastAsia" w:ascii="Times New Roman" w:hAnsi="Times New Roman" w:eastAsia="仿宋_GB2312" w:cs="Times New Roman"/>
          <w:sz w:val="32"/>
          <w:szCs w:val="32"/>
        </w:rPr>
        <w:t>桥梁纽带作用，巩固党在农村的执政基础；执行全国供销合作总社制定的行业管理制度和重大决策部署，执行上级联合社有关决议；二是组织农民入社，提高农民组织化程度，密切与农民在组织上和经济上的联结；向当地</w:t>
      </w:r>
      <w:r>
        <w:rPr>
          <w:rFonts w:hint="eastAsia" w:eastAsia="仿宋_GB2312" w:cs="Times New Roman"/>
          <w:sz w:val="32"/>
          <w:szCs w:val="32"/>
          <w:lang w:eastAsia="zh-CN"/>
        </w:rPr>
        <w:t>党委、政府</w:t>
      </w:r>
      <w:r>
        <w:rPr>
          <w:rFonts w:hint="eastAsia" w:ascii="Times New Roman" w:hAnsi="Times New Roman" w:eastAsia="仿宋_GB2312" w:cs="Times New Roman"/>
          <w:sz w:val="32"/>
          <w:szCs w:val="32"/>
        </w:rPr>
        <w:t>和上级联合社反映农民的诉求，争取扶持政策；三是领办创办农民专业合作社及其联合社，探索开展生产、供销、信用“三位一体”综合合作；组织开展对社员和职工的教育培训；</w:t>
      </w:r>
    </w:p>
    <w:p w14:paraId="3AD69EA6">
      <w:pPr>
        <w:pStyle w:val="8"/>
        <w:pageBreakBefore w:val="0"/>
        <w:widowControl w:val="0"/>
        <w:kinsoku/>
        <w:wordWrap/>
        <w:overflowPunct/>
        <w:topLinePunct w:val="0"/>
        <w:bidi w:val="0"/>
        <w:adjustRightInd w:val="0"/>
        <w:snapToGrid w:val="0"/>
        <w:spacing w:before="93" w:line="576" w:lineRule="exact"/>
        <w:ind w:left="0" w:firstLine="668" w:firstLineChars="208"/>
        <w:outlineLvl w:val="2"/>
        <w:rPr>
          <w:rFonts w:ascii="Times New Roman" w:hAnsi="Times New Roman" w:eastAsia="方正楷体_GBK" w:cs="Times New Roman"/>
          <w:b/>
          <w:bCs/>
          <w:color w:val="000000"/>
          <w:kern w:val="0"/>
          <w:sz w:val="32"/>
          <w:szCs w:val="32"/>
          <w:shd w:val="clear" w:color="auto" w:fill="auto"/>
        </w:rPr>
      </w:pPr>
      <w:r>
        <w:rPr>
          <w:rFonts w:ascii="Times New Roman" w:hAnsi="Times New Roman" w:eastAsia="方正楷体_GBK" w:cs="Times New Roman"/>
          <w:b/>
          <w:bCs/>
          <w:color w:val="000000"/>
          <w:kern w:val="0"/>
          <w:sz w:val="32"/>
          <w:szCs w:val="32"/>
          <w:shd w:val="clear" w:color="auto" w:fill="auto"/>
        </w:rPr>
        <w:t>（二）</w:t>
      </w:r>
      <w:r>
        <w:rPr>
          <w:rFonts w:hint="eastAsia" w:eastAsia="方正楷体_GBK" w:cs="Times New Roman"/>
          <w:b/>
          <w:bCs/>
          <w:color w:val="000000"/>
          <w:kern w:val="0"/>
          <w:sz w:val="32"/>
          <w:szCs w:val="32"/>
          <w:shd w:val="clear" w:color="auto" w:fill="auto"/>
          <w:lang w:eastAsia="zh-CN"/>
        </w:rPr>
        <w:t>202</w:t>
      </w:r>
      <w:r>
        <w:rPr>
          <w:rFonts w:hint="eastAsia" w:eastAsia="方正楷体_GBK" w:cs="Times New Roman"/>
          <w:b/>
          <w:bCs/>
          <w:color w:val="000000"/>
          <w:kern w:val="0"/>
          <w:sz w:val="32"/>
          <w:szCs w:val="32"/>
          <w:shd w:val="clear" w:color="auto" w:fill="auto"/>
          <w:lang w:val="en-US" w:eastAsia="zh-CN"/>
        </w:rPr>
        <w:t>4</w:t>
      </w:r>
      <w:r>
        <w:rPr>
          <w:rFonts w:hint="eastAsia" w:eastAsia="方正楷体_GBK" w:cs="Times New Roman"/>
          <w:b/>
          <w:bCs/>
          <w:color w:val="000000"/>
          <w:kern w:val="0"/>
          <w:sz w:val="32"/>
          <w:szCs w:val="32"/>
          <w:shd w:val="clear" w:color="auto" w:fill="auto"/>
          <w:lang w:eastAsia="zh-CN"/>
        </w:rPr>
        <w:t>年</w:t>
      </w:r>
      <w:r>
        <w:rPr>
          <w:rFonts w:ascii="Times New Roman" w:hAnsi="Times New Roman" w:eastAsia="方正楷体_GBK" w:cs="Times New Roman"/>
          <w:b/>
          <w:bCs/>
          <w:color w:val="000000"/>
          <w:kern w:val="0"/>
          <w:sz w:val="32"/>
          <w:szCs w:val="32"/>
          <w:shd w:val="clear" w:color="auto" w:fill="auto"/>
        </w:rPr>
        <w:t>重点工作完成情况。</w:t>
      </w:r>
      <w:bookmarkEnd w:id="22"/>
      <w:bookmarkEnd w:id="23"/>
    </w:p>
    <w:p w14:paraId="534AF6C4">
      <w:pPr>
        <w:spacing w:line="560" w:lineRule="exact"/>
        <w:ind w:firstLine="640" w:firstLineChars="200"/>
        <w:rPr>
          <w:rFonts w:hint="eastAsia" w:ascii="Times New Roman" w:hAnsi="Times New Roman" w:eastAsia="仿宋_GB2312"/>
          <w:b/>
          <w:bCs/>
          <w:sz w:val="32"/>
          <w:szCs w:val="32"/>
          <w:lang w:val="en-US" w:eastAsia="zh-CN"/>
        </w:rPr>
      </w:pPr>
      <w:r>
        <w:rPr>
          <w:rFonts w:hint="eastAsia" w:eastAsia="仿宋_GB2312" w:cs="Times New Roman"/>
          <w:sz w:val="32"/>
          <w:szCs w:val="32"/>
          <w:lang w:val="en-US" w:eastAsia="zh-CN"/>
        </w:rPr>
        <w:t>1.积极做好物资供应工作。</w:t>
      </w:r>
      <w:r>
        <w:rPr>
          <w:rFonts w:hint="eastAsia" w:ascii="Times New Roman" w:hAnsi="Times New Roman" w:eastAsia="仿宋_GB2312" w:cstheme="minorBidi"/>
          <w:kern w:val="2"/>
          <w:sz w:val="32"/>
          <w:szCs w:val="32"/>
          <w:lang w:val="en-US" w:eastAsia="zh-CN" w:bidi="ar-SA"/>
        </w:rPr>
        <w:t>为确保春耕生产顺利进行，我社采取多种措施，</w:t>
      </w:r>
      <w:r>
        <w:rPr>
          <w:rFonts w:hint="eastAsia" w:eastAsia="仿宋_GB2312" w:cstheme="minorBidi"/>
          <w:kern w:val="2"/>
          <w:sz w:val="32"/>
          <w:szCs w:val="32"/>
          <w:lang w:val="en-US" w:eastAsia="zh-CN" w:bidi="ar-SA"/>
        </w:rPr>
        <w:t>要求</w:t>
      </w:r>
      <w:r>
        <w:rPr>
          <w:rFonts w:hint="eastAsia" w:ascii="Times New Roman" w:hAnsi="Times New Roman" w:eastAsia="仿宋_GB2312" w:cstheme="minorBidi"/>
          <w:kern w:val="2"/>
          <w:sz w:val="32"/>
          <w:szCs w:val="32"/>
          <w:lang w:val="en-US" w:eastAsia="zh-CN" w:bidi="ar-SA"/>
        </w:rPr>
        <w:t>企业扩大储备能力，切实做好应急供应准备，扎实做好种子、全力搞好以化肥为主的农用物资储备及供应工作，保障我县农业生产供给充足</w:t>
      </w:r>
      <w:r>
        <w:rPr>
          <w:rFonts w:hint="eastAsia" w:eastAsia="仿宋_GB2312" w:cstheme="minorBidi"/>
          <w:kern w:val="2"/>
          <w:sz w:val="32"/>
          <w:szCs w:val="32"/>
          <w:lang w:val="en-US" w:eastAsia="zh-CN" w:bidi="ar-SA"/>
        </w:rPr>
        <w:t>。</w:t>
      </w:r>
    </w:p>
    <w:p w14:paraId="2FD269DF">
      <w:pPr>
        <w:pStyle w:val="6"/>
        <w:keepNext w:val="0"/>
        <w:keepLines w:val="0"/>
        <w:pageBreakBefore w:val="0"/>
        <w:numPr>
          <w:ilvl w:val="0"/>
          <w:numId w:val="0"/>
        </w:numPr>
        <w:kinsoku/>
        <w:wordWrap/>
        <w:overflowPunct/>
        <w:topLinePunct w:val="0"/>
        <w:autoSpaceDE/>
        <w:autoSpaceDN/>
        <w:bidi w:val="0"/>
        <w:adjustRightInd/>
        <w:snapToGrid/>
        <w:spacing w:before="10" w:line="540" w:lineRule="exact"/>
        <w:ind w:right="551" w:rightChars="0" w:firstLine="640" w:firstLineChars="200"/>
        <w:jc w:val="both"/>
        <w:textAlignment w:val="auto"/>
        <w:rPr>
          <w:rFonts w:hint="eastAsia" w:ascii="Times New Roman" w:hAnsi="Times New Roman" w:eastAsia="仿宋_GB2312" w:cstheme="minorBidi"/>
          <w:kern w:val="2"/>
          <w:sz w:val="32"/>
          <w:szCs w:val="32"/>
          <w:lang w:val="en-US" w:eastAsia="zh-CN" w:bidi="ar-SA"/>
        </w:rPr>
      </w:pPr>
      <w:r>
        <w:rPr>
          <w:rFonts w:hint="eastAsia" w:eastAsia="仿宋_GB2312" w:cs="Times New Roman"/>
          <w:sz w:val="32"/>
          <w:szCs w:val="32"/>
          <w:lang w:val="en-US" w:eastAsia="zh-CN"/>
        </w:rPr>
        <w:t>2.强化基层建设，夯实为农服务。</w:t>
      </w:r>
      <w:r>
        <w:rPr>
          <w:rFonts w:hint="eastAsia" w:ascii="Times New Roman" w:hAnsi="Times New Roman" w:eastAsia="仿宋_GB2312" w:cstheme="minorBidi"/>
          <w:kern w:val="2"/>
          <w:sz w:val="32"/>
          <w:szCs w:val="32"/>
          <w:lang w:val="en-US" w:eastAsia="zh-CN" w:bidi="ar-SA"/>
        </w:rPr>
        <w:t>新建基层社1个，此基层社的建成扩展了经营范围，主要经营各类化学肥料、各规格农用地膜、各类农具、农用机械设备、农用五金机电等业务。</w:t>
      </w:r>
    </w:p>
    <w:p w14:paraId="7E0B5747">
      <w:pPr>
        <w:pageBreakBefore w:val="0"/>
        <w:widowControl w:val="0"/>
        <w:kinsoku/>
        <w:wordWrap/>
        <w:overflowPunct/>
        <w:topLinePunct w:val="0"/>
        <w:bidi w:val="0"/>
        <w:spacing w:line="576" w:lineRule="exact"/>
        <w:ind w:firstLine="640" w:firstLineChars="200"/>
        <w:rPr>
          <w:rFonts w:hint="eastAsia" w:eastAsia="仿宋_GB2312" w:cs="Times New Roman"/>
          <w:sz w:val="32"/>
          <w:szCs w:val="32"/>
          <w:lang w:val="en-US" w:eastAsia="zh-CN"/>
        </w:rPr>
      </w:pPr>
    </w:p>
    <w:p w14:paraId="215AAB49">
      <w:pPr>
        <w:pageBreakBefore w:val="0"/>
        <w:widowControl w:val="0"/>
        <w:kinsoku/>
        <w:wordWrap/>
        <w:overflowPunct/>
        <w:topLinePunct w:val="0"/>
        <w:bidi w:val="0"/>
        <w:spacing w:line="576" w:lineRule="exact"/>
        <w:ind w:firstLine="640" w:firstLineChars="200"/>
        <w:rPr>
          <w:rFonts w:hint="eastAsia" w:eastAsia="仿宋_GB2312" w:cs="Times New Roman"/>
          <w:sz w:val="32"/>
          <w:szCs w:val="32"/>
          <w:lang w:val="en-US" w:eastAsia="zh-CN"/>
        </w:rPr>
      </w:pPr>
      <w:r>
        <w:rPr>
          <w:rFonts w:hint="eastAsia" w:eastAsia="仿宋_GB2312" w:cs="Times New Roman"/>
          <w:sz w:val="32"/>
          <w:szCs w:val="32"/>
          <w:lang w:val="en-US" w:eastAsia="zh-CN"/>
        </w:rPr>
        <w:t>3.加强安全维稳工作，确保和谐稳定。一是突出重点，加强日常安全督查，抓好所属企业安全隐患的排查和整改。建立排查整改台账，一旦发现隐患及时限期整改。二是强化责任、落实到人，我社每年都与所属企业签订安全生产责任书，切实做到工作有人抓，责任有人担。三是按照县政府的统一部署，县供销社开展全系统自建房用作经营房专项整治工作。要求基层社负责人对经营场所有安全隐患的及时撤离，确保系统内无安全责任事故。</w:t>
      </w:r>
    </w:p>
    <w:p w14:paraId="2BFA0C75">
      <w:pPr>
        <w:pageBreakBefore w:val="0"/>
        <w:widowControl w:val="0"/>
        <w:kinsoku/>
        <w:wordWrap/>
        <w:overflowPunct/>
        <w:topLinePunct w:val="0"/>
        <w:bidi w:val="0"/>
        <w:spacing w:line="576" w:lineRule="exact"/>
        <w:ind w:firstLine="640" w:firstLineChars="200"/>
        <w:rPr>
          <w:rFonts w:hint="eastAsia" w:eastAsia="仿宋_GB2312" w:cs="Times New Roman"/>
          <w:sz w:val="32"/>
          <w:szCs w:val="32"/>
          <w:lang w:val="en-US" w:eastAsia="zh-CN"/>
        </w:rPr>
      </w:pPr>
      <w:r>
        <w:rPr>
          <w:rFonts w:hint="eastAsia" w:eastAsia="仿宋_GB2312" w:cs="Times New Roman"/>
          <w:sz w:val="32"/>
          <w:szCs w:val="32"/>
          <w:lang w:val="en-US" w:eastAsia="zh-CN"/>
        </w:rPr>
        <w:t>4.</w:t>
      </w:r>
      <w:r>
        <w:rPr>
          <w:rFonts w:hint="default" w:eastAsia="仿宋_GB2312" w:cs="Times New Roman"/>
          <w:sz w:val="32"/>
          <w:szCs w:val="32"/>
          <w:lang w:val="en-US" w:eastAsia="zh-CN"/>
        </w:rPr>
        <w:t>认真</w:t>
      </w:r>
      <w:r>
        <w:rPr>
          <w:rFonts w:hint="eastAsia" w:eastAsia="仿宋_GB2312" w:cs="Times New Roman"/>
          <w:sz w:val="32"/>
          <w:szCs w:val="32"/>
          <w:lang w:val="en-US" w:eastAsia="zh-CN"/>
        </w:rPr>
        <w:t>做好“两联一进”</w:t>
      </w:r>
      <w:r>
        <w:rPr>
          <w:rFonts w:hint="default" w:eastAsia="仿宋_GB2312" w:cs="Times New Roman"/>
          <w:sz w:val="32"/>
          <w:szCs w:val="32"/>
          <w:lang w:val="en-US" w:eastAsia="zh-CN"/>
        </w:rPr>
        <w:t>工作</w:t>
      </w:r>
      <w:r>
        <w:rPr>
          <w:rFonts w:hint="eastAsia" w:eastAsia="仿宋_GB2312" w:cs="Times New Roman"/>
          <w:sz w:val="32"/>
          <w:szCs w:val="32"/>
          <w:lang w:val="en-US" w:eastAsia="zh-CN"/>
        </w:rPr>
        <w:t>。我社高度重视结对帮扶工作，将帮扶工作列入重要议事日程。我社召开了专题会议，传达学习州、县相关会议和文件精神，安排本年度帮扶工作任务，配合勒乌镇做好各项扶贫工作。一是精准入户，按照本年度县委组织部的文件要求，我社做好新调的56户联系户的入户走访工作，坚持每月入户2次，不定时同联系户进行电话沟通，拉近与联系户的距离，确保帮扶工作落到实处。二是做好政策宣传。在填写台账的同时，及时把相关政策和法律耐心地给农户解读。</w:t>
      </w:r>
    </w:p>
    <w:p w14:paraId="284FE090">
      <w:pPr>
        <w:pageBreakBefore w:val="0"/>
        <w:widowControl w:val="0"/>
        <w:kinsoku/>
        <w:wordWrap/>
        <w:overflowPunct/>
        <w:topLinePunct w:val="0"/>
        <w:bidi w:val="0"/>
        <w:spacing w:line="576" w:lineRule="exact"/>
        <w:ind w:firstLine="640" w:firstLineChars="200"/>
        <w:rPr>
          <w:rFonts w:hint="eastAsia" w:eastAsia="仿宋_GB2312" w:cs="Times New Roman"/>
          <w:sz w:val="32"/>
          <w:szCs w:val="32"/>
          <w:lang w:val="en-US" w:eastAsia="zh-CN"/>
        </w:rPr>
      </w:pPr>
      <w:r>
        <w:rPr>
          <w:rFonts w:hint="eastAsia" w:eastAsia="仿宋_GB2312" w:cs="Times New Roman"/>
          <w:sz w:val="32"/>
          <w:szCs w:val="32"/>
          <w:lang w:val="en-US" w:eastAsia="zh-CN"/>
        </w:rPr>
        <w:t>5.加强党风廉政建设工作。供销社以习近平新时代中国特色社会主义思想为指导，认真贯彻落实党的二十大精神，坚持全面从严治党，强化意识形态工作的管理，按照党建工作整体思路，强化思想政治建设，切实转变作风，为顺利推进各项工作提供了强有力的思想保证。始终把党风廉政和反腐败工作作为党建工作的重点，认真学习党风廉政建设各项规定，加强党性、党风、党纪修养。有力地促进了我社党风廉政建设和反腐败工作的深入开展。</w:t>
      </w:r>
    </w:p>
    <w:p w14:paraId="0ACDD6ED">
      <w:pPr>
        <w:pStyle w:val="4"/>
        <w:keepNext/>
        <w:keepLines/>
        <w:pageBreakBefore w:val="0"/>
        <w:widowControl w:val="0"/>
        <w:kinsoku/>
        <w:wordWrap/>
        <w:overflowPunct/>
        <w:topLinePunct w:val="0"/>
        <w:bidi w:val="0"/>
        <w:spacing w:after="0" w:line="576" w:lineRule="exact"/>
        <w:rPr>
          <w:rStyle w:val="21"/>
          <w:rFonts w:ascii="Times New Roman" w:hAnsi="Times New Roman" w:eastAsia="方正黑体_GBK" w:cs="Times New Roman"/>
          <w:b w:val="0"/>
          <w:bCs w:val="0"/>
        </w:rPr>
      </w:pPr>
      <w:bookmarkStart w:id="24" w:name="_Toc79163855"/>
      <w:bookmarkStart w:id="25" w:name="_Toc79163605"/>
      <w:r>
        <w:rPr>
          <w:rFonts w:ascii="Times New Roman" w:hAnsi="Times New Roman" w:eastAsia="黑体" w:cs="Times New Roman"/>
          <w:b w:val="0"/>
          <w:color w:val="000000"/>
          <w:lang w:val="en-US" w:eastAsia="zh-CN"/>
        </w:rPr>
        <w:t xml:space="preserve">   </w:t>
      </w:r>
      <w:bookmarkEnd w:id="24"/>
      <w:bookmarkEnd w:id="25"/>
      <w:bookmarkStart w:id="26" w:name="_Toc15396601"/>
      <w:bookmarkStart w:id="27" w:name="_Toc15377200"/>
      <w:bookmarkStart w:id="28" w:name="_Toc26843606"/>
      <w:r>
        <w:rPr>
          <w:rStyle w:val="21"/>
          <w:rFonts w:ascii="Times New Roman" w:hAnsi="Times New Roman" w:eastAsia="黑体" w:cs="Times New Roman"/>
          <w:b w:val="0"/>
          <w:bCs w:val="0"/>
        </w:rPr>
        <w:t>二、机构设置</w:t>
      </w:r>
      <w:bookmarkEnd w:id="26"/>
      <w:bookmarkEnd w:id="27"/>
      <w:bookmarkEnd w:id="28"/>
    </w:p>
    <w:p w14:paraId="7316A689">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 xml:space="preserve"> 本单位属于一级预算单位，是参公管理的事业单位，设统一核算机构为1个，独立编制机构为1个。单位人员编制数8个。其中： 参公编制7个，行政工勤编制1个；2024年末，单位实有人数7人，其中：在职7人（参公6人、行政工勤1人）。</w:t>
      </w:r>
    </w:p>
    <w:p w14:paraId="6B4D6AEA">
      <w:pPr>
        <w:pStyle w:val="12"/>
        <w:rPr>
          <w:rFonts w:hint="eastAsia" w:eastAsia="仿宋_GB2312" w:cs="Times New Roman"/>
          <w:sz w:val="32"/>
          <w:szCs w:val="32"/>
          <w:lang w:val="en-US" w:eastAsia="zh-CN"/>
        </w:rPr>
      </w:pPr>
    </w:p>
    <w:p w14:paraId="4C540430">
      <w:pPr>
        <w:pStyle w:val="12"/>
        <w:rPr>
          <w:rFonts w:hint="eastAsia" w:eastAsia="仿宋_GB2312" w:cs="Times New Roman"/>
          <w:sz w:val="32"/>
          <w:szCs w:val="32"/>
          <w:lang w:val="en-US" w:eastAsia="zh-CN"/>
        </w:rPr>
      </w:pPr>
    </w:p>
    <w:p w14:paraId="324B6C8D">
      <w:pPr>
        <w:pStyle w:val="12"/>
        <w:rPr>
          <w:rFonts w:hint="eastAsia" w:eastAsia="仿宋_GB2312" w:cs="Times New Roman"/>
          <w:sz w:val="32"/>
          <w:szCs w:val="32"/>
          <w:lang w:val="en-US" w:eastAsia="zh-CN"/>
        </w:rPr>
      </w:pPr>
    </w:p>
    <w:p w14:paraId="7A6216FA">
      <w:pPr>
        <w:pStyle w:val="12"/>
        <w:rPr>
          <w:rFonts w:hint="eastAsia" w:eastAsia="仿宋_GB2312" w:cs="Times New Roman"/>
          <w:sz w:val="32"/>
          <w:szCs w:val="32"/>
          <w:lang w:val="en-US" w:eastAsia="zh-CN"/>
        </w:rPr>
      </w:pPr>
    </w:p>
    <w:p w14:paraId="3E8A1618">
      <w:pPr>
        <w:pStyle w:val="12"/>
        <w:rPr>
          <w:rFonts w:hint="eastAsia" w:eastAsia="仿宋_GB2312" w:cs="Times New Roman"/>
          <w:sz w:val="32"/>
          <w:szCs w:val="32"/>
          <w:lang w:val="en-US" w:eastAsia="zh-CN"/>
        </w:rPr>
      </w:pPr>
    </w:p>
    <w:p w14:paraId="618ED206">
      <w:pPr>
        <w:pStyle w:val="12"/>
        <w:rPr>
          <w:rFonts w:hint="eastAsia" w:eastAsia="仿宋_GB2312" w:cs="Times New Roman"/>
          <w:sz w:val="32"/>
          <w:szCs w:val="32"/>
          <w:lang w:val="en-US" w:eastAsia="zh-CN"/>
        </w:rPr>
      </w:pPr>
    </w:p>
    <w:p w14:paraId="31A2262D">
      <w:pPr>
        <w:pStyle w:val="12"/>
        <w:rPr>
          <w:rFonts w:hint="eastAsia" w:eastAsia="仿宋_GB2312" w:cs="Times New Roman"/>
          <w:sz w:val="32"/>
          <w:szCs w:val="32"/>
          <w:lang w:val="en-US" w:eastAsia="zh-CN"/>
        </w:rPr>
      </w:pPr>
    </w:p>
    <w:p w14:paraId="3AAF79E7">
      <w:pPr>
        <w:pStyle w:val="12"/>
        <w:rPr>
          <w:rFonts w:hint="eastAsia" w:eastAsia="仿宋_GB2312" w:cs="Times New Roman"/>
          <w:sz w:val="32"/>
          <w:szCs w:val="32"/>
          <w:lang w:val="en-US" w:eastAsia="zh-CN"/>
        </w:rPr>
      </w:pPr>
    </w:p>
    <w:p w14:paraId="42D4A0BC">
      <w:pPr>
        <w:pStyle w:val="12"/>
        <w:rPr>
          <w:rFonts w:hint="eastAsia" w:eastAsia="仿宋_GB2312" w:cs="Times New Roman"/>
          <w:sz w:val="32"/>
          <w:szCs w:val="32"/>
          <w:lang w:val="en-US" w:eastAsia="zh-CN"/>
        </w:rPr>
      </w:pPr>
    </w:p>
    <w:p w14:paraId="0B5C9DF0">
      <w:pPr>
        <w:pStyle w:val="12"/>
        <w:rPr>
          <w:rFonts w:hint="eastAsia" w:eastAsia="仿宋_GB2312" w:cs="Times New Roman"/>
          <w:sz w:val="32"/>
          <w:szCs w:val="32"/>
          <w:lang w:val="en-US" w:eastAsia="zh-CN"/>
        </w:rPr>
      </w:pPr>
    </w:p>
    <w:p w14:paraId="707343F2">
      <w:pPr>
        <w:pStyle w:val="12"/>
        <w:rPr>
          <w:rFonts w:hint="eastAsia" w:eastAsia="仿宋_GB2312" w:cs="Times New Roman"/>
          <w:sz w:val="32"/>
          <w:szCs w:val="32"/>
          <w:lang w:val="en-US" w:eastAsia="zh-CN"/>
        </w:rPr>
      </w:pPr>
    </w:p>
    <w:p w14:paraId="02EE2953">
      <w:pPr>
        <w:pStyle w:val="12"/>
        <w:rPr>
          <w:rFonts w:hint="eastAsia" w:eastAsia="仿宋_GB2312" w:cs="Times New Roman"/>
          <w:sz w:val="32"/>
          <w:szCs w:val="32"/>
          <w:lang w:val="en-US" w:eastAsia="zh-CN"/>
        </w:rPr>
      </w:pPr>
    </w:p>
    <w:p w14:paraId="1073EB13">
      <w:pPr>
        <w:pStyle w:val="3"/>
        <w:keepNext/>
        <w:keepLines/>
        <w:pageBreakBefore w:val="0"/>
        <w:widowControl w:val="0"/>
        <w:kinsoku/>
        <w:wordWrap/>
        <w:overflowPunct/>
        <w:topLinePunct w:val="0"/>
        <w:bidi w:val="0"/>
        <w:spacing w:line="576" w:lineRule="exact"/>
        <w:ind w:right="440"/>
        <w:jc w:val="center"/>
        <w:rPr>
          <w:rStyle w:val="20"/>
          <w:rFonts w:ascii="Times New Roman" w:hAnsi="Times New Roman" w:eastAsia="黑体" w:cs="Times New Roman"/>
          <w:b w:val="0"/>
          <w:bCs/>
        </w:rPr>
      </w:pPr>
      <w:bookmarkStart w:id="29" w:name="_Toc15377204"/>
      <w:bookmarkStart w:id="30" w:name="_Toc26843607"/>
      <w:bookmarkStart w:id="31" w:name="_Toc15396602"/>
      <w:r>
        <w:rPr>
          <w:rFonts w:ascii="Times New Roman" w:hAnsi="Times New Roman" w:eastAsia="黑体" w:cs="Times New Roman"/>
          <w:b w:val="0"/>
        </w:rPr>
        <w:t xml:space="preserve">第二部分 </w:t>
      </w:r>
      <w:r>
        <w:rPr>
          <w:rFonts w:hint="eastAsia" w:eastAsia="黑体" w:cs="Times New Roman"/>
          <w:b w:val="0"/>
          <w:lang w:eastAsia="zh-CN"/>
        </w:rPr>
        <w:t>202</w:t>
      </w:r>
      <w:r>
        <w:rPr>
          <w:rFonts w:hint="eastAsia" w:eastAsia="黑体" w:cs="Times New Roman"/>
          <w:b w:val="0"/>
          <w:lang w:val="en-US" w:eastAsia="zh-CN"/>
        </w:rPr>
        <w:t>4</w:t>
      </w:r>
      <w:r>
        <w:rPr>
          <w:rFonts w:hint="eastAsia" w:eastAsia="黑体" w:cs="Times New Roman"/>
          <w:b w:val="0"/>
          <w:lang w:eastAsia="zh-CN"/>
        </w:rPr>
        <w:t>年</w:t>
      </w:r>
      <w:r>
        <w:rPr>
          <w:rFonts w:ascii="Times New Roman" w:hAnsi="Times New Roman" w:eastAsia="黑体" w:cs="Times New Roman"/>
          <w:b w:val="0"/>
        </w:rPr>
        <w:t>度</w:t>
      </w:r>
      <w:r>
        <w:rPr>
          <w:rFonts w:ascii="Times New Roman" w:hAnsi="Times New Roman" w:eastAsia="黑体" w:cs="Times New Roman"/>
          <w:b w:val="0"/>
          <w:kern w:val="44"/>
          <w:sz w:val="44"/>
          <w:szCs w:val="44"/>
        </w:rPr>
        <w:t>部门决算情况说明</w:t>
      </w:r>
      <w:bookmarkEnd w:id="29"/>
      <w:bookmarkEnd w:id="30"/>
      <w:bookmarkEnd w:id="31"/>
    </w:p>
    <w:p w14:paraId="492EAAA9">
      <w:pPr>
        <w:pageBreakBefore w:val="0"/>
        <w:widowControl w:val="0"/>
        <w:kinsoku/>
        <w:wordWrap/>
        <w:overflowPunct/>
        <w:topLinePunct w:val="0"/>
        <w:bidi w:val="0"/>
        <w:spacing w:line="576" w:lineRule="exact"/>
        <w:rPr>
          <w:rFonts w:ascii="Times New Roman" w:hAnsi="Times New Roman" w:cs="Times New Roman"/>
        </w:rPr>
      </w:pPr>
    </w:p>
    <w:p w14:paraId="7BF752D1">
      <w:pPr>
        <w:pStyle w:val="26"/>
        <w:pageBreakBefore w:val="0"/>
        <w:widowControl w:val="0"/>
        <w:numPr>
          <w:ilvl w:val="0"/>
          <w:numId w:val="1"/>
        </w:numPr>
        <w:kinsoku/>
        <w:wordWrap/>
        <w:overflowPunct/>
        <w:topLinePunct w:val="0"/>
        <w:bidi w:val="0"/>
        <w:spacing w:line="576" w:lineRule="exact"/>
        <w:ind w:firstLineChars="0"/>
        <w:outlineLvl w:val="1"/>
        <w:rPr>
          <w:rStyle w:val="21"/>
          <w:rFonts w:ascii="Times New Roman" w:hAnsi="Times New Roman" w:eastAsia="黑体" w:cs="Times New Roman"/>
          <w:b w:val="0"/>
        </w:rPr>
      </w:pPr>
      <w:bookmarkStart w:id="32" w:name="_Toc15396603"/>
      <w:bookmarkStart w:id="33" w:name="_Toc15377205"/>
      <w:bookmarkStart w:id="34" w:name="_Toc26843608"/>
      <w:r>
        <w:rPr>
          <w:rFonts w:ascii="Times New Roman" w:hAnsi="Times New Roman" w:eastAsia="黑体" w:cs="Times New Roman"/>
          <w:sz w:val="32"/>
          <w:szCs w:val="32"/>
        </w:rPr>
        <w:t>收</w:t>
      </w:r>
      <w:r>
        <w:rPr>
          <w:rStyle w:val="21"/>
          <w:rFonts w:ascii="Times New Roman" w:hAnsi="Times New Roman" w:eastAsia="黑体" w:cs="Times New Roman"/>
          <w:b w:val="0"/>
        </w:rPr>
        <w:t>入支出决算总体情况说明</w:t>
      </w:r>
      <w:bookmarkEnd w:id="32"/>
      <w:bookmarkEnd w:id="33"/>
      <w:bookmarkEnd w:id="34"/>
    </w:p>
    <w:p w14:paraId="2B4F1FA3">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r>
        <w:rPr>
          <w:rFonts w:hint="eastAsia" w:ascii="Times New Roman" w:hAnsi="Times New Roman" w:eastAsia="仿宋" w:cs="Times New Roman"/>
          <w:sz w:val="32"/>
          <w:szCs w:val="32"/>
          <w:lang w:eastAsia="zh-CN"/>
        </w:rPr>
        <w:drawing>
          <wp:anchor distT="0" distB="0" distL="114300" distR="114300" simplePos="0" relativeHeight="251660288" behindDoc="0" locked="0" layoutInCell="1" allowOverlap="1">
            <wp:simplePos x="0" y="0"/>
            <wp:positionH relativeFrom="column">
              <wp:posOffset>163195</wp:posOffset>
            </wp:positionH>
            <wp:positionV relativeFrom="paragraph">
              <wp:posOffset>200660</wp:posOffset>
            </wp:positionV>
            <wp:extent cx="4841875" cy="2466975"/>
            <wp:effectExtent l="4445" t="4445" r="11430" b="508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eastAsia="仿宋_GB2312" w:cs="Times New Roman"/>
          <w:sz w:val="32"/>
          <w:szCs w:val="32"/>
          <w:lang w:val="en-US" w:eastAsia="zh-CN"/>
        </w:rPr>
        <w:t xml:space="preserve"> </w:t>
      </w:r>
      <w:r>
        <w:rPr>
          <w:rFonts w:ascii="Times New Roman" w:hAnsi="Times New Roman" w:eastAsia="仿宋_GB2312" w:cs="Times New Roman"/>
          <w:color w:val="auto"/>
          <w:sz w:val="32"/>
          <w:szCs w:val="32"/>
        </w:rPr>
        <w:t>（图1：收、支决算总计变动情况图）（柱状图）</w:t>
      </w:r>
    </w:p>
    <w:p w14:paraId="225EC7EC">
      <w:pPr>
        <w:pageBreakBefore w:val="0"/>
        <w:widowControl w:val="0"/>
        <w:kinsoku/>
        <w:wordWrap/>
        <w:overflowPunct/>
        <w:topLinePunct w:val="0"/>
        <w:bidi w:val="0"/>
        <w:spacing w:line="576" w:lineRule="exact"/>
        <w:rPr>
          <w:rFonts w:hint="eastAsia" w:eastAsia="仿宋_GB2312" w:cs="Times New Roman"/>
          <w:sz w:val="32"/>
          <w:szCs w:val="32"/>
          <w:lang w:val="en-US" w:eastAsia="zh-CN"/>
        </w:rPr>
      </w:pPr>
    </w:p>
    <w:p w14:paraId="4DFEE6E5">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FF0000"/>
          <w:sz w:val="32"/>
          <w:szCs w:val="32"/>
        </w:rPr>
      </w:pPr>
      <w:r>
        <w:rPr>
          <w:rFonts w:hint="eastAsia" w:eastAsia="仿宋_GB2312" w:cs="Times New Roman"/>
          <w:sz w:val="32"/>
          <w:szCs w:val="32"/>
          <w:lang w:eastAsia="zh-CN"/>
        </w:rPr>
        <w:t>202</w:t>
      </w:r>
      <w:r>
        <w:rPr>
          <w:rFonts w:hint="eastAsia" w:eastAsia="仿宋_GB2312" w:cs="Times New Roman"/>
          <w:sz w:val="32"/>
          <w:szCs w:val="32"/>
          <w:lang w:val="en-US" w:eastAsia="zh-CN"/>
        </w:rPr>
        <w:t>4</w:t>
      </w:r>
      <w:r>
        <w:rPr>
          <w:rFonts w:hint="eastAsia" w:eastAsia="仿宋_GB2312" w:cs="Times New Roman"/>
          <w:sz w:val="32"/>
          <w:szCs w:val="32"/>
          <w:lang w:eastAsia="zh-CN"/>
        </w:rPr>
        <w:t>年</w:t>
      </w:r>
      <w:r>
        <w:rPr>
          <w:rFonts w:ascii="Times New Roman" w:hAnsi="Times New Roman" w:eastAsia="仿宋_GB2312" w:cs="Times New Roman"/>
          <w:sz w:val="32"/>
          <w:szCs w:val="32"/>
        </w:rPr>
        <w:t>度收、支总计</w:t>
      </w:r>
      <w:r>
        <w:rPr>
          <w:rFonts w:hint="eastAsia" w:eastAsia="仿宋_GB2312" w:cs="Times New Roman"/>
          <w:spacing w:val="-2"/>
          <w:kern w:val="2"/>
          <w:sz w:val="32"/>
          <w:szCs w:val="32"/>
          <w:lang w:val="en-US" w:eastAsia="zh-CN" w:bidi="ar-SA"/>
        </w:rPr>
        <w:t>423.74</w:t>
      </w:r>
      <w:r>
        <w:rPr>
          <w:rFonts w:ascii="Times New Roman" w:hAnsi="Times New Roman" w:eastAsia="仿宋_GB2312" w:cs="Times New Roman"/>
          <w:sz w:val="32"/>
          <w:szCs w:val="32"/>
        </w:rPr>
        <w:t>万元。与</w:t>
      </w:r>
      <w:r>
        <w:rPr>
          <w:rFonts w:hint="eastAsia" w:eastAsia="仿宋_GB2312" w:cs="Times New Roman"/>
          <w:sz w:val="32"/>
          <w:szCs w:val="32"/>
          <w:lang w:eastAsia="zh-CN"/>
        </w:rPr>
        <w:t>202</w:t>
      </w:r>
      <w:r>
        <w:rPr>
          <w:rFonts w:hint="eastAsia" w:eastAsia="仿宋_GB2312" w:cs="Times New Roman"/>
          <w:sz w:val="32"/>
          <w:szCs w:val="32"/>
          <w:lang w:val="en-US" w:eastAsia="zh-CN"/>
        </w:rPr>
        <w:t>3</w:t>
      </w:r>
      <w:r>
        <w:rPr>
          <w:rFonts w:hint="eastAsia" w:eastAsia="仿宋_GB2312" w:cs="Times New Roman"/>
          <w:sz w:val="32"/>
          <w:szCs w:val="32"/>
          <w:lang w:eastAsia="zh-CN"/>
        </w:rPr>
        <w:t>年</w:t>
      </w:r>
      <w:r>
        <w:rPr>
          <w:rFonts w:ascii="Times New Roman" w:hAnsi="Times New Roman" w:eastAsia="仿宋_GB2312" w:cs="Times New Roman"/>
          <w:sz w:val="32"/>
          <w:szCs w:val="32"/>
        </w:rPr>
        <w:t>相比，收、支总计各</w:t>
      </w:r>
      <w:r>
        <w:rPr>
          <w:rFonts w:hint="eastAsia" w:eastAsia="仿宋_GB2312" w:cs="Times New Roman"/>
          <w:sz w:val="32"/>
          <w:szCs w:val="32"/>
          <w:lang w:val="en-US" w:eastAsia="zh-CN"/>
        </w:rPr>
        <w:t>减少111.3</w:t>
      </w:r>
      <w:r>
        <w:rPr>
          <w:rFonts w:ascii="Times New Roman" w:hAnsi="Times New Roman" w:eastAsia="仿宋_GB2312" w:cs="Times New Roman"/>
          <w:sz w:val="32"/>
          <w:szCs w:val="32"/>
        </w:rPr>
        <w:t>万元，</w:t>
      </w:r>
      <w:r>
        <w:rPr>
          <w:rFonts w:hint="eastAsia" w:eastAsia="仿宋_GB2312" w:cs="Times New Roman"/>
          <w:sz w:val="32"/>
          <w:szCs w:val="32"/>
          <w:lang w:val="en-US" w:eastAsia="zh-CN"/>
        </w:rPr>
        <w:t>减少34.44</w:t>
      </w:r>
      <w:r>
        <w:rPr>
          <w:rFonts w:ascii="Times New Roman" w:hAnsi="Times New Roman" w:eastAsia="仿宋_GB2312" w:cs="Times New Roman"/>
          <w:sz w:val="32"/>
          <w:szCs w:val="32"/>
        </w:rPr>
        <w:t>%。主要变动原因是</w:t>
      </w:r>
      <w:r>
        <w:rPr>
          <w:rFonts w:hint="eastAsia" w:eastAsia="仿宋_GB2312" w:cs="Times New Roman"/>
          <w:sz w:val="32"/>
          <w:szCs w:val="32"/>
          <w:lang w:val="en-US" w:eastAsia="zh-CN"/>
        </w:rPr>
        <w:t>本年度较上年度项目减少</w:t>
      </w:r>
      <w:r>
        <w:rPr>
          <w:rFonts w:hint="eastAsia" w:ascii="仿宋" w:eastAsia="仿宋"/>
          <w:color w:val="000000"/>
          <w:sz w:val="32"/>
          <w:szCs w:val="32"/>
        </w:rPr>
        <w:t>。</w:t>
      </w:r>
    </w:p>
    <w:p w14:paraId="66156CA4">
      <w:pPr>
        <w:pStyle w:val="6"/>
        <w:pageBreakBefore w:val="0"/>
        <w:widowControl w:val="0"/>
        <w:kinsoku/>
        <w:wordWrap/>
        <w:overflowPunct/>
        <w:topLinePunct w:val="0"/>
        <w:bidi w:val="0"/>
        <w:spacing w:line="576" w:lineRule="exact"/>
        <w:rPr>
          <w:rFonts w:ascii="Times New Roman" w:hAnsi="Times New Roman" w:cs="Times New Roman"/>
        </w:rPr>
      </w:pPr>
    </w:p>
    <w:p w14:paraId="6C2A50F2">
      <w:pPr>
        <w:pStyle w:val="26"/>
        <w:pageBreakBefore w:val="0"/>
        <w:widowControl w:val="0"/>
        <w:numPr>
          <w:ilvl w:val="0"/>
          <w:numId w:val="1"/>
        </w:numPr>
        <w:kinsoku/>
        <w:wordWrap/>
        <w:overflowPunct/>
        <w:topLinePunct w:val="0"/>
        <w:bidi w:val="0"/>
        <w:spacing w:line="576" w:lineRule="exact"/>
        <w:ind w:firstLineChars="0"/>
        <w:outlineLvl w:val="1"/>
        <w:rPr>
          <w:rStyle w:val="21"/>
          <w:rFonts w:ascii="Times New Roman" w:hAnsi="Times New Roman" w:eastAsia="黑体" w:cs="Times New Roman"/>
          <w:b w:val="0"/>
        </w:rPr>
      </w:pPr>
      <w:bookmarkStart w:id="35" w:name="_Toc26843609"/>
      <w:bookmarkStart w:id="36" w:name="_Toc15377206"/>
      <w:bookmarkStart w:id="37" w:name="_Toc15396604"/>
      <w:r>
        <w:rPr>
          <w:rFonts w:ascii="Times New Roman" w:hAnsi="Times New Roman" w:eastAsia="黑体" w:cs="Times New Roman"/>
          <w:sz w:val="32"/>
          <w:szCs w:val="32"/>
        </w:rPr>
        <w:t>收</w:t>
      </w:r>
      <w:r>
        <w:rPr>
          <w:rStyle w:val="21"/>
          <w:rFonts w:ascii="Times New Roman" w:hAnsi="Times New Roman" w:eastAsia="黑体" w:cs="Times New Roman"/>
          <w:b w:val="0"/>
        </w:rPr>
        <w:t>入决算情况说明</w:t>
      </w:r>
      <w:bookmarkEnd w:id="35"/>
      <w:bookmarkEnd w:id="36"/>
      <w:bookmarkEnd w:id="37"/>
    </w:p>
    <w:p w14:paraId="4FFF065B">
      <w:pPr>
        <w:pageBreakBefore w:val="0"/>
        <w:widowControl w:val="0"/>
        <w:kinsoku/>
        <w:wordWrap/>
        <w:overflowPunct/>
        <w:topLinePunct w:val="0"/>
        <w:bidi w:val="0"/>
        <w:spacing w:line="576" w:lineRule="exact"/>
        <w:ind w:firstLine="640" w:firstLineChars="200"/>
        <w:outlineLvl w:val="1"/>
        <w:rPr>
          <w:rFonts w:ascii="Times New Roman" w:hAnsi="Times New Roman" w:eastAsia="仿宋" w:cs="Times New Roman"/>
          <w:color w:val="FF0000"/>
          <w:sz w:val="32"/>
          <w:szCs w:val="32"/>
        </w:rPr>
      </w:pPr>
      <w:bookmarkStart w:id="38" w:name="_Toc26843610"/>
      <w:r>
        <w:rPr>
          <w:rFonts w:hint="eastAsia" w:eastAsia="仿宋_GB2312" w:cs="Times New Roman"/>
          <w:sz w:val="32"/>
          <w:szCs w:val="32"/>
          <w:lang w:eastAsia="zh-CN"/>
        </w:rPr>
        <w:t>202</w:t>
      </w:r>
      <w:r>
        <w:rPr>
          <w:rFonts w:hint="eastAsia" w:eastAsia="仿宋_GB2312" w:cs="Times New Roman"/>
          <w:sz w:val="32"/>
          <w:szCs w:val="32"/>
          <w:lang w:val="en-US" w:eastAsia="zh-CN"/>
        </w:rPr>
        <w:t>4</w:t>
      </w:r>
      <w:r>
        <w:rPr>
          <w:rFonts w:hint="eastAsia" w:eastAsia="仿宋_GB2312" w:cs="Times New Roman"/>
          <w:sz w:val="32"/>
          <w:szCs w:val="32"/>
          <w:lang w:eastAsia="zh-CN"/>
        </w:rPr>
        <w:t>年预算收入</w:t>
      </w:r>
      <w:r>
        <w:rPr>
          <w:rFonts w:hint="eastAsia" w:eastAsia="仿宋_GB2312" w:cs="Times New Roman"/>
          <w:sz w:val="32"/>
          <w:szCs w:val="32"/>
          <w:lang w:val="en-US" w:eastAsia="zh-CN"/>
        </w:rPr>
        <w:t>211.87</w:t>
      </w:r>
      <w:r>
        <w:rPr>
          <w:rFonts w:hint="eastAsia" w:eastAsia="仿宋_GB2312" w:cs="Times New Roman"/>
          <w:sz w:val="32"/>
          <w:szCs w:val="32"/>
          <w:lang w:eastAsia="zh-CN"/>
        </w:rPr>
        <w:t>万元。</w:t>
      </w:r>
      <w:r>
        <w:rPr>
          <w:rFonts w:ascii="Times New Roman" w:hAnsi="Times New Roman" w:eastAsia="仿宋_GB2312" w:cs="Times New Roman"/>
          <w:sz w:val="32"/>
          <w:szCs w:val="32"/>
        </w:rPr>
        <w:t>其中：一般公共预算财政拨款收入</w:t>
      </w:r>
      <w:r>
        <w:rPr>
          <w:rFonts w:hint="eastAsia" w:eastAsia="仿宋_GB2312" w:cs="Times New Roman"/>
          <w:sz w:val="32"/>
          <w:szCs w:val="32"/>
          <w:lang w:val="en-US" w:eastAsia="zh-CN"/>
        </w:rPr>
        <w:t>211.87</w:t>
      </w:r>
      <w:r>
        <w:rPr>
          <w:rFonts w:ascii="Times New Roman" w:hAnsi="Times New Roman" w:eastAsia="仿宋_GB2312" w:cs="Times New Roman"/>
          <w:sz w:val="32"/>
          <w:szCs w:val="32"/>
        </w:rPr>
        <w:t>万元，占100%；政府性基金预算财政拨款收入0万元，占0%；国有资本经营预算财政拨款收入0万元，占0%；上级补助收入0万元，占0%；事业收入0万元，占0%；经营收入0万元，占0%；附属单位上缴收入0万元，占0%；其他收入0万元，占0%。</w:t>
      </w:r>
      <w:bookmarkEnd w:id="38"/>
      <w:r>
        <w:rPr>
          <w:rFonts w:ascii="Times New Roman" w:hAnsi="Times New Roman" w:eastAsia="仿宋_GB2312" w:cs="Times New Roman"/>
          <w:sz w:val="32"/>
          <w:szCs w:val="32"/>
        </w:rPr>
        <w:t>本年度财政应返还额度</w:t>
      </w:r>
      <w:r>
        <w:rPr>
          <w:rFonts w:hint="eastAsia" w:eastAsia="仿宋_GB2312" w:cs="Times New Roman"/>
          <w:sz w:val="32"/>
          <w:szCs w:val="32"/>
          <w:lang w:val="en-US" w:eastAsia="zh-CN"/>
        </w:rPr>
        <w:t>0</w:t>
      </w:r>
      <w:r>
        <w:rPr>
          <w:rFonts w:ascii="Times New Roman" w:hAnsi="Times New Roman" w:eastAsia="仿宋_GB2312" w:cs="Times New Roman"/>
          <w:sz w:val="32"/>
          <w:szCs w:val="32"/>
        </w:rPr>
        <w:t>万元。</w:t>
      </w:r>
    </w:p>
    <w:p w14:paraId="3D27F0BB">
      <w:pPr>
        <w:pageBreakBefore w:val="0"/>
        <w:widowControl w:val="0"/>
        <w:kinsoku/>
        <w:wordWrap/>
        <w:overflowPunct/>
        <w:topLinePunct w:val="0"/>
        <w:bidi w:val="0"/>
        <w:spacing w:line="576" w:lineRule="exact"/>
        <w:rPr>
          <w:rFonts w:ascii="Times New Roman" w:hAnsi="Times New Roman" w:eastAsia="仿宋" w:cs="Times New Roman"/>
          <w:color w:val="FF0000"/>
          <w:sz w:val="32"/>
          <w:szCs w:val="32"/>
        </w:rPr>
      </w:pPr>
      <w:r>
        <w:rPr>
          <w:rFonts w:ascii="Times New Roman" w:hAnsi="Times New Roman" w:eastAsia="仿宋" w:cs="Times New Roman"/>
          <w:sz w:val="32"/>
          <w:szCs w:val="32"/>
          <w:lang w:val="en-US" w:eastAsia="zh-CN"/>
        </w:rPr>
        <w:drawing>
          <wp:anchor distT="0" distB="0" distL="114300" distR="114300" simplePos="0" relativeHeight="251659264" behindDoc="0" locked="0" layoutInCell="1" allowOverlap="1">
            <wp:simplePos x="0" y="0"/>
            <wp:positionH relativeFrom="column">
              <wp:posOffset>248920</wp:posOffset>
            </wp:positionH>
            <wp:positionV relativeFrom="paragraph">
              <wp:posOffset>64135</wp:posOffset>
            </wp:positionV>
            <wp:extent cx="4762500" cy="2616835"/>
            <wp:effectExtent l="4445" t="4445" r="14605" b="7620"/>
            <wp:wrapNone/>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7821E8FF">
      <w:pPr>
        <w:pStyle w:val="6"/>
        <w:pageBreakBefore w:val="0"/>
        <w:widowControl w:val="0"/>
        <w:kinsoku/>
        <w:wordWrap/>
        <w:overflowPunct/>
        <w:topLinePunct w:val="0"/>
        <w:bidi w:val="0"/>
        <w:spacing w:line="576" w:lineRule="exact"/>
        <w:rPr>
          <w:rFonts w:ascii="Times New Roman" w:hAnsi="Times New Roman" w:eastAsia="仿宋" w:cs="Times New Roman"/>
          <w:color w:val="FF0000"/>
          <w:sz w:val="32"/>
          <w:szCs w:val="32"/>
        </w:rPr>
      </w:pPr>
    </w:p>
    <w:p w14:paraId="4017825C">
      <w:pPr>
        <w:pStyle w:val="6"/>
        <w:pageBreakBefore w:val="0"/>
        <w:widowControl w:val="0"/>
        <w:kinsoku/>
        <w:wordWrap/>
        <w:overflowPunct/>
        <w:topLinePunct w:val="0"/>
        <w:bidi w:val="0"/>
        <w:spacing w:line="576" w:lineRule="exact"/>
        <w:rPr>
          <w:rFonts w:ascii="Times New Roman" w:hAnsi="Times New Roman" w:eastAsia="仿宋" w:cs="Times New Roman"/>
          <w:color w:val="FF0000"/>
          <w:sz w:val="32"/>
          <w:szCs w:val="32"/>
        </w:rPr>
      </w:pPr>
    </w:p>
    <w:p w14:paraId="0406A433">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FF0000"/>
          <w:sz w:val="32"/>
          <w:szCs w:val="32"/>
        </w:rPr>
      </w:pPr>
    </w:p>
    <w:p w14:paraId="2BDC19EF">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4BAA48F0">
      <w:pPr>
        <w:pageBreakBefore w:val="0"/>
        <w:widowControl w:val="0"/>
        <w:kinsoku/>
        <w:wordWrap/>
        <w:overflowPunct/>
        <w:topLinePunct w:val="0"/>
        <w:bidi w:val="0"/>
        <w:spacing w:line="576" w:lineRule="exact"/>
        <w:ind w:firstLine="640" w:firstLineChars="200"/>
        <w:jc w:val="center"/>
        <w:rPr>
          <w:rFonts w:ascii="Times New Roman" w:hAnsi="Times New Roman" w:eastAsia="仿宋_GB2312" w:cs="Times New Roman"/>
          <w:color w:val="auto"/>
          <w:sz w:val="32"/>
          <w:szCs w:val="32"/>
        </w:rPr>
      </w:pPr>
    </w:p>
    <w:p w14:paraId="0BF1C15D">
      <w:pPr>
        <w:pageBreakBefore w:val="0"/>
        <w:widowControl w:val="0"/>
        <w:kinsoku/>
        <w:wordWrap/>
        <w:overflowPunct/>
        <w:topLinePunct w:val="0"/>
        <w:bidi w:val="0"/>
        <w:spacing w:line="576" w:lineRule="exact"/>
        <w:ind w:firstLine="640" w:firstLineChars="200"/>
        <w:jc w:val="center"/>
        <w:rPr>
          <w:rFonts w:ascii="Times New Roman" w:hAnsi="Times New Roman" w:eastAsia="仿宋_GB2312" w:cs="Times New Roman"/>
          <w:color w:val="auto"/>
          <w:sz w:val="32"/>
          <w:szCs w:val="32"/>
        </w:rPr>
      </w:pPr>
    </w:p>
    <w:p w14:paraId="3FE39318">
      <w:pPr>
        <w:pageBreakBefore w:val="0"/>
        <w:widowControl w:val="0"/>
        <w:kinsoku/>
        <w:wordWrap/>
        <w:overflowPunct/>
        <w:topLinePunct w:val="0"/>
        <w:bidi w:val="0"/>
        <w:spacing w:line="576" w:lineRule="exact"/>
        <w:ind w:firstLine="640" w:firstLineChars="200"/>
        <w:jc w:val="center"/>
        <w:rPr>
          <w:rFonts w:ascii="Times New Roman" w:hAnsi="Times New Roman" w:eastAsia="仿宋" w:cs="Times New Roman"/>
          <w:color w:val="auto"/>
          <w:sz w:val="32"/>
          <w:szCs w:val="32"/>
        </w:rPr>
      </w:pPr>
      <w:r>
        <w:rPr>
          <w:rFonts w:ascii="Times New Roman" w:hAnsi="Times New Roman" w:eastAsia="仿宋_GB2312" w:cs="Times New Roman"/>
          <w:color w:val="auto"/>
          <w:sz w:val="32"/>
          <w:szCs w:val="32"/>
        </w:rPr>
        <w:t>（图2：收入决算结构图）（饼状图）</w:t>
      </w:r>
    </w:p>
    <w:p w14:paraId="20185AE6">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p>
    <w:p w14:paraId="2481CE95">
      <w:pPr>
        <w:pStyle w:val="26"/>
        <w:pageBreakBefore w:val="0"/>
        <w:widowControl w:val="0"/>
        <w:numPr>
          <w:ilvl w:val="0"/>
          <w:numId w:val="1"/>
        </w:numPr>
        <w:kinsoku/>
        <w:wordWrap/>
        <w:overflowPunct/>
        <w:topLinePunct w:val="0"/>
        <w:bidi w:val="0"/>
        <w:spacing w:line="576" w:lineRule="exact"/>
        <w:ind w:firstLineChars="0"/>
        <w:outlineLvl w:val="1"/>
        <w:rPr>
          <w:rStyle w:val="21"/>
          <w:rFonts w:ascii="Times New Roman" w:hAnsi="Times New Roman" w:eastAsia="黑体" w:cs="Times New Roman"/>
          <w:b w:val="0"/>
          <w:color w:val="auto"/>
        </w:rPr>
      </w:pPr>
      <w:bookmarkStart w:id="39" w:name="_Toc26843612"/>
      <w:bookmarkStart w:id="40" w:name="_Toc15396605"/>
      <w:bookmarkStart w:id="41" w:name="_Toc15377207"/>
      <w:r>
        <w:rPr>
          <w:rFonts w:ascii="Times New Roman" w:hAnsi="Times New Roman" w:eastAsia="黑体" w:cs="Times New Roman"/>
          <w:color w:val="auto"/>
          <w:sz w:val="32"/>
          <w:szCs w:val="32"/>
        </w:rPr>
        <w:t>支</w:t>
      </w:r>
      <w:r>
        <w:rPr>
          <w:rStyle w:val="21"/>
          <w:rFonts w:ascii="Times New Roman" w:hAnsi="Times New Roman" w:eastAsia="黑体" w:cs="Times New Roman"/>
          <w:b w:val="0"/>
          <w:color w:val="auto"/>
        </w:rPr>
        <w:t>出决算情况说明</w:t>
      </w:r>
      <w:bookmarkEnd w:id="39"/>
      <w:bookmarkEnd w:id="40"/>
      <w:bookmarkEnd w:id="41"/>
    </w:p>
    <w:p w14:paraId="280D2D13">
      <w:pPr>
        <w:pageBreakBefore w:val="0"/>
        <w:widowControl w:val="0"/>
        <w:kinsoku/>
        <w:wordWrap/>
        <w:overflowPunct/>
        <w:topLinePunct w:val="0"/>
        <w:bidi w:val="0"/>
        <w:spacing w:line="576" w:lineRule="exact"/>
        <w:ind w:firstLine="640" w:firstLineChars="200"/>
        <w:outlineLvl w:val="1"/>
        <w:rPr>
          <w:rFonts w:ascii="Times New Roman" w:hAnsi="Times New Roman" w:eastAsia="仿宋_GB2312" w:cs="Times New Roman"/>
          <w:sz w:val="32"/>
          <w:szCs w:val="32"/>
        </w:rPr>
      </w:pPr>
      <w:bookmarkStart w:id="42" w:name="_Toc26843613"/>
      <w:r>
        <w:rPr>
          <w:rFonts w:hint="eastAsia" w:eastAsia="仿宋_GB2312" w:cs="Times New Roman"/>
          <w:sz w:val="32"/>
          <w:szCs w:val="32"/>
          <w:lang w:eastAsia="zh-CN"/>
        </w:rPr>
        <w:t>202</w:t>
      </w:r>
      <w:r>
        <w:rPr>
          <w:rFonts w:hint="eastAsia" w:eastAsia="仿宋_GB2312" w:cs="Times New Roman"/>
          <w:sz w:val="32"/>
          <w:szCs w:val="32"/>
          <w:lang w:val="en-US" w:eastAsia="zh-CN"/>
        </w:rPr>
        <w:t>4</w:t>
      </w:r>
      <w:r>
        <w:rPr>
          <w:rFonts w:hint="eastAsia" w:eastAsia="仿宋_GB2312" w:cs="Times New Roman"/>
          <w:sz w:val="32"/>
          <w:szCs w:val="32"/>
          <w:lang w:eastAsia="zh-CN"/>
        </w:rPr>
        <w:t>年</w:t>
      </w:r>
      <w:r>
        <w:rPr>
          <w:rFonts w:ascii="Times New Roman" w:hAnsi="Times New Roman" w:eastAsia="仿宋_GB2312" w:cs="Times New Roman"/>
          <w:sz w:val="32"/>
          <w:szCs w:val="32"/>
        </w:rPr>
        <w:t>度支出合计</w:t>
      </w:r>
      <w:r>
        <w:rPr>
          <w:rFonts w:hint="eastAsia" w:eastAsia="仿宋_GB2312" w:cs="Times New Roman"/>
          <w:spacing w:val="-2"/>
          <w:kern w:val="2"/>
          <w:sz w:val="32"/>
          <w:szCs w:val="32"/>
          <w:lang w:val="en-US" w:eastAsia="zh-CN" w:bidi="ar-SA"/>
        </w:rPr>
        <w:t>211.87</w:t>
      </w:r>
      <w:r>
        <w:rPr>
          <w:rFonts w:ascii="Times New Roman" w:hAnsi="Times New Roman" w:eastAsia="仿宋_GB2312" w:cs="Times New Roman"/>
          <w:sz w:val="32"/>
          <w:szCs w:val="32"/>
        </w:rPr>
        <w:t>万元，其中：基本支出</w:t>
      </w:r>
      <w:r>
        <w:rPr>
          <w:rFonts w:hint="eastAsia" w:eastAsia="仿宋_GB2312" w:cs="Times New Roman"/>
          <w:sz w:val="32"/>
          <w:szCs w:val="32"/>
          <w:lang w:val="en-US" w:eastAsia="zh-CN"/>
        </w:rPr>
        <w:t>196.87</w:t>
      </w:r>
      <w:r>
        <w:rPr>
          <w:rFonts w:ascii="Times New Roman" w:hAnsi="Times New Roman" w:eastAsia="仿宋_GB2312" w:cs="Times New Roman"/>
          <w:sz w:val="32"/>
          <w:szCs w:val="32"/>
        </w:rPr>
        <w:t>万元，占</w:t>
      </w:r>
      <w:r>
        <w:rPr>
          <w:rFonts w:hint="eastAsia" w:eastAsia="仿宋_GB2312" w:cs="Times New Roman"/>
          <w:sz w:val="32"/>
          <w:szCs w:val="32"/>
          <w:lang w:val="en-US" w:eastAsia="zh-CN"/>
        </w:rPr>
        <w:t>92.92</w:t>
      </w:r>
      <w:r>
        <w:rPr>
          <w:rFonts w:ascii="Times New Roman" w:hAnsi="Times New Roman" w:eastAsia="仿宋_GB2312" w:cs="Times New Roman"/>
          <w:sz w:val="32"/>
          <w:szCs w:val="32"/>
        </w:rPr>
        <w:t>%；项目支出</w:t>
      </w:r>
      <w:r>
        <w:rPr>
          <w:rFonts w:hint="eastAsia" w:eastAsia="仿宋_GB2312" w:cs="Times New Roman"/>
          <w:sz w:val="32"/>
          <w:szCs w:val="32"/>
          <w:lang w:val="en-US" w:eastAsia="zh-CN"/>
        </w:rPr>
        <w:t>15</w:t>
      </w:r>
      <w:r>
        <w:rPr>
          <w:rFonts w:ascii="Times New Roman" w:hAnsi="Times New Roman" w:eastAsia="仿宋_GB2312" w:cs="Times New Roman"/>
          <w:sz w:val="32"/>
          <w:szCs w:val="32"/>
        </w:rPr>
        <w:t>万元，占</w:t>
      </w:r>
      <w:r>
        <w:rPr>
          <w:rFonts w:hint="eastAsia" w:eastAsia="仿宋_GB2312" w:cs="Times New Roman"/>
          <w:sz w:val="32"/>
          <w:szCs w:val="32"/>
          <w:lang w:val="en-US" w:eastAsia="zh-CN"/>
        </w:rPr>
        <w:t>7.08</w:t>
      </w:r>
      <w:r>
        <w:rPr>
          <w:rFonts w:ascii="Times New Roman" w:hAnsi="Times New Roman" w:eastAsia="仿宋_GB2312" w:cs="Times New Roman"/>
          <w:sz w:val="32"/>
          <w:szCs w:val="32"/>
        </w:rPr>
        <w:t>%；上缴上级支出0万元，占0%；经营支出0万元，占0%；对附属单位补助支出0万元，占0%。</w:t>
      </w:r>
      <w:bookmarkEnd w:id="42"/>
    </w:p>
    <w:p w14:paraId="205EA7A7">
      <w:pPr>
        <w:pageBreakBefore w:val="0"/>
        <w:widowControl w:val="0"/>
        <w:kinsoku/>
        <w:wordWrap/>
        <w:overflowPunct/>
        <w:topLinePunct w:val="0"/>
        <w:bidi w:val="0"/>
        <w:spacing w:line="576" w:lineRule="exact"/>
        <w:ind w:firstLine="640"/>
        <w:rPr>
          <w:rFonts w:ascii="Times New Roman" w:hAnsi="Times New Roman" w:eastAsia="仿宋" w:cs="Times New Roman"/>
          <w:sz w:val="32"/>
          <w:szCs w:val="32"/>
          <w:shd w:val="pct10" w:color="auto" w:fill="FFFFFF"/>
        </w:rPr>
      </w:pPr>
      <w:r>
        <w:rPr>
          <w:rFonts w:ascii="Times New Roman" w:hAnsi="Times New Roman" w:eastAsia="仿宋" w:cs="Times New Roman"/>
          <w:sz w:val="32"/>
          <w:szCs w:val="32"/>
          <w:lang w:val="en-US" w:eastAsia="zh-CN"/>
        </w:rPr>
        <w:drawing>
          <wp:anchor distT="0" distB="0" distL="114300" distR="114300" simplePos="0" relativeHeight="251659264" behindDoc="0" locked="0" layoutInCell="1" allowOverlap="1">
            <wp:simplePos x="0" y="0"/>
            <wp:positionH relativeFrom="column">
              <wp:posOffset>221615</wp:posOffset>
            </wp:positionH>
            <wp:positionV relativeFrom="paragraph">
              <wp:posOffset>138430</wp:posOffset>
            </wp:positionV>
            <wp:extent cx="4911725" cy="2615565"/>
            <wp:effectExtent l="4445" t="4445" r="17780" b="8890"/>
            <wp:wrapNone/>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003DB99E">
      <w:pPr>
        <w:pStyle w:val="6"/>
        <w:pageBreakBefore w:val="0"/>
        <w:widowControl w:val="0"/>
        <w:kinsoku/>
        <w:wordWrap/>
        <w:overflowPunct/>
        <w:topLinePunct w:val="0"/>
        <w:bidi w:val="0"/>
        <w:spacing w:line="576" w:lineRule="exact"/>
        <w:rPr>
          <w:rFonts w:ascii="Times New Roman" w:hAnsi="Times New Roman" w:eastAsia="仿宋" w:cs="Times New Roman"/>
          <w:sz w:val="32"/>
          <w:szCs w:val="32"/>
          <w:shd w:val="pct10" w:color="auto" w:fill="FFFFFF"/>
        </w:rPr>
      </w:pPr>
    </w:p>
    <w:p w14:paraId="0D50391B">
      <w:pPr>
        <w:pStyle w:val="6"/>
        <w:pageBreakBefore w:val="0"/>
        <w:widowControl w:val="0"/>
        <w:kinsoku/>
        <w:wordWrap/>
        <w:overflowPunct/>
        <w:topLinePunct w:val="0"/>
        <w:bidi w:val="0"/>
        <w:spacing w:line="576" w:lineRule="exact"/>
        <w:rPr>
          <w:rFonts w:ascii="Times New Roman" w:hAnsi="Times New Roman" w:eastAsia="仿宋" w:cs="Times New Roman"/>
          <w:sz w:val="32"/>
          <w:szCs w:val="32"/>
          <w:shd w:val="pct10" w:color="auto" w:fill="FFFFFF"/>
        </w:rPr>
      </w:pPr>
    </w:p>
    <w:p w14:paraId="7B06036B">
      <w:pPr>
        <w:pStyle w:val="6"/>
        <w:pageBreakBefore w:val="0"/>
        <w:widowControl w:val="0"/>
        <w:kinsoku/>
        <w:wordWrap/>
        <w:overflowPunct/>
        <w:topLinePunct w:val="0"/>
        <w:bidi w:val="0"/>
        <w:spacing w:line="576" w:lineRule="exact"/>
        <w:rPr>
          <w:rFonts w:ascii="Times New Roman" w:hAnsi="Times New Roman" w:eastAsia="仿宋" w:cs="Times New Roman"/>
          <w:sz w:val="32"/>
          <w:szCs w:val="32"/>
          <w:shd w:val="pct10" w:color="auto" w:fill="FFFFFF"/>
        </w:rPr>
      </w:pPr>
    </w:p>
    <w:p w14:paraId="32AB632F">
      <w:pPr>
        <w:pStyle w:val="6"/>
        <w:pageBreakBefore w:val="0"/>
        <w:widowControl w:val="0"/>
        <w:kinsoku/>
        <w:wordWrap/>
        <w:overflowPunct/>
        <w:topLinePunct w:val="0"/>
        <w:bidi w:val="0"/>
        <w:spacing w:line="576" w:lineRule="exact"/>
        <w:rPr>
          <w:rFonts w:ascii="Times New Roman" w:hAnsi="Times New Roman" w:eastAsia="仿宋" w:cs="Times New Roman"/>
          <w:sz w:val="32"/>
          <w:szCs w:val="32"/>
          <w:shd w:val="pct10" w:color="auto" w:fill="FFFFFF"/>
        </w:rPr>
      </w:pPr>
    </w:p>
    <w:p w14:paraId="39095392">
      <w:pPr>
        <w:pStyle w:val="6"/>
        <w:pageBreakBefore w:val="0"/>
        <w:widowControl w:val="0"/>
        <w:kinsoku/>
        <w:wordWrap/>
        <w:overflowPunct/>
        <w:topLinePunct w:val="0"/>
        <w:bidi w:val="0"/>
        <w:spacing w:line="576" w:lineRule="exact"/>
        <w:rPr>
          <w:rFonts w:ascii="Times New Roman" w:hAnsi="Times New Roman" w:eastAsia="仿宋" w:cs="Times New Roman"/>
          <w:sz w:val="32"/>
          <w:szCs w:val="32"/>
          <w:shd w:val="pct10" w:color="auto" w:fill="FFFFFF"/>
        </w:rPr>
      </w:pPr>
    </w:p>
    <w:p w14:paraId="244F76BB">
      <w:pPr>
        <w:pageBreakBefore w:val="0"/>
        <w:widowControl w:val="0"/>
        <w:kinsoku/>
        <w:wordWrap/>
        <w:overflowPunct/>
        <w:topLinePunct w:val="0"/>
        <w:bidi w:val="0"/>
        <w:spacing w:line="576" w:lineRule="exact"/>
        <w:ind w:firstLine="640" w:firstLineChars="200"/>
        <w:jc w:val="both"/>
        <w:rPr>
          <w:rFonts w:ascii="Times New Roman" w:hAnsi="Times New Roman" w:eastAsia="仿宋_GB2312" w:cs="Times New Roman"/>
          <w:color w:val="auto"/>
          <w:sz w:val="32"/>
          <w:szCs w:val="32"/>
        </w:rPr>
      </w:pPr>
    </w:p>
    <w:p w14:paraId="0C1EA545">
      <w:pPr>
        <w:pageBreakBefore w:val="0"/>
        <w:widowControl w:val="0"/>
        <w:kinsoku/>
        <w:wordWrap/>
        <w:overflowPunct/>
        <w:topLinePunct w:val="0"/>
        <w:bidi w:val="0"/>
        <w:spacing w:line="576" w:lineRule="exact"/>
        <w:ind w:firstLine="640" w:firstLineChars="200"/>
        <w:jc w:val="center"/>
        <w:rPr>
          <w:rFonts w:ascii="Times New Roman" w:hAnsi="Times New Roman" w:eastAsia="仿宋" w:cs="Times New Roman"/>
          <w:color w:val="auto"/>
          <w:sz w:val="32"/>
          <w:szCs w:val="32"/>
        </w:rPr>
      </w:pPr>
      <w:r>
        <w:rPr>
          <w:rFonts w:ascii="Times New Roman" w:hAnsi="Times New Roman" w:eastAsia="仿宋_GB2312" w:cs="Times New Roman"/>
          <w:color w:val="auto"/>
          <w:sz w:val="32"/>
          <w:szCs w:val="32"/>
        </w:rPr>
        <w:t>（图3：支出决算结构图）（饼状图）</w:t>
      </w:r>
    </w:p>
    <w:p w14:paraId="3B10FFC5">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p>
    <w:p w14:paraId="7402C274">
      <w:pPr>
        <w:pageBreakBefore w:val="0"/>
        <w:widowControl w:val="0"/>
        <w:kinsoku/>
        <w:wordWrap/>
        <w:overflowPunct/>
        <w:topLinePunct w:val="0"/>
        <w:bidi w:val="0"/>
        <w:spacing w:line="576" w:lineRule="exact"/>
        <w:ind w:firstLine="640" w:firstLineChars="200"/>
        <w:outlineLvl w:val="1"/>
        <w:rPr>
          <w:rStyle w:val="21"/>
          <w:rFonts w:ascii="Times New Roman" w:hAnsi="Times New Roman" w:eastAsia="黑体" w:cs="Times New Roman"/>
          <w:b w:val="0"/>
        </w:rPr>
      </w:pPr>
      <w:bookmarkStart w:id="43" w:name="_Toc15377208"/>
      <w:bookmarkStart w:id="44" w:name="_Toc26843615"/>
      <w:bookmarkStart w:id="45" w:name="_Toc15396606"/>
      <w:r>
        <w:rPr>
          <w:rFonts w:ascii="Times New Roman" w:hAnsi="Times New Roman" w:eastAsia="黑体" w:cs="Times New Roman"/>
          <w:sz w:val="32"/>
          <w:szCs w:val="32"/>
        </w:rPr>
        <w:t>四、财</w:t>
      </w:r>
      <w:r>
        <w:rPr>
          <w:rStyle w:val="21"/>
          <w:rFonts w:ascii="Times New Roman" w:hAnsi="Times New Roman" w:eastAsia="黑体" w:cs="Times New Roman"/>
          <w:b w:val="0"/>
        </w:rPr>
        <w:t>政拨款收入支出决算总体情况说明</w:t>
      </w:r>
      <w:bookmarkEnd w:id="43"/>
      <w:bookmarkEnd w:id="44"/>
      <w:bookmarkEnd w:id="45"/>
    </w:p>
    <w:p w14:paraId="0903B655">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r>
        <w:rPr>
          <w:rFonts w:hint="eastAsia" w:ascii="Times New Roman" w:cs="Times New Roman"/>
          <w:color w:val="auto"/>
          <w:sz w:val="32"/>
          <w:szCs w:val="32"/>
          <w:lang w:val="en-US" w:eastAsia="zh-CN"/>
        </w:rPr>
        <w:t>202</w:t>
      </w:r>
      <w:r>
        <w:rPr>
          <w:rFonts w:hint="eastAsia" w:cs="Times New Roman"/>
          <w:color w:val="auto"/>
          <w:sz w:val="32"/>
          <w:szCs w:val="32"/>
          <w:lang w:val="en-US" w:eastAsia="zh-CN"/>
        </w:rPr>
        <w:t>4</w:t>
      </w:r>
      <w:r>
        <w:rPr>
          <w:rFonts w:hint="eastAsia" w:ascii="Times New Roman" w:cs="Times New Roman"/>
          <w:color w:val="auto"/>
          <w:sz w:val="32"/>
          <w:szCs w:val="32"/>
          <w:lang w:val="en-US" w:eastAsia="zh-CN"/>
        </w:rPr>
        <w:t>年</w:t>
      </w:r>
      <w:r>
        <w:rPr>
          <w:rFonts w:ascii="Times New Roman" w:hAnsi="Times New Roman" w:eastAsia="仿宋_GB2312" w:cs="Times New Roman"/>
          <w:color w:val="auto"/>
          <w:sz w:val="32"/>
          <w:szCs w:val="32"/>
          <w:lang w:val="en-US" w:eastAsia="zh-CN"/>
        </w:rPr>
        <w:t>财政拨款收、支总计</w:t>
      </w:r>
      <w:r>
        <w:rPr>
          <w:rFonts w:hint="eastAsia" w:eastAsia="仿宋_GB2312" w:cs="Times New Roman"/>
          <w:color w:val="auto"/>
          <w:spacing w:val="-2"/>
          <w:kern w:val="2"/>
          <w:sz w:val="32"/>
          <w:szCs w:val="32"/>
          <w:lang w:val="en-US" w:eastAsia="zh-CN" w:bidi="ar-SA"/>
        </w:rPr>
        <w:t>423.74</w:t>
      </w:r>
      <w:r>
        <w:rPr>
          <w:rFonts w:ascii="Times New Roman" w:hAnsi="Times New Roman" w:eastAsia="仿宋_GB2312" w:cs="Times New Roman"/>
          <w:color w:val="auto"/>
          <w:sz w:val="32"/>
          <w:szCs w:val="32"/>
          <w:lang w:val="en-US" w:eastAsia="zh-CN"/>
        </w:rPr>
        <w:t>万元。与</w:t>
      </w:r>
      <w:r>
        <w:rPr>
          <w:rFonts w:hint="eastAsia" w:ascii="Times New Roman" w:cs="Times New Roman"/>
          <w:color w:val="auto"/>
          <w:sz w:val="32"/>
          <w:szCs w:val="32"/>
          <w:lang w:val="en-US" w:eastAsia="zh-CN"/>
        </w:rPr>
        <w:t>202</w:t>
      </w:r>
      <w:r>
        <w:rPr>
          <w:rFonts w:hint="eastAsia" w:cs="Times New Roman"/>
          <w:color w:val="auto"/>
          <w:sz w:val="32"/>
          <w:szCs w:val="32"/>
          <w:lang w:val="en-US" w:eastAsia="zh-CN"/>
        </w:rPr>
        <w:t>3</w:t>
      </w:r>
      <w:r>
        <w:rPr>
          <w:rFonts w:hint="eastAsia" w:ascii="Times New Roman" w:cs="Times New Roman"/>
          <w:color w:val="auto"/>
          <w:sz w:val="32"/>
          <w:szCs w:val="32"/>
          <w:lang w:val="en-US" w:eastAsia="zh-CN"/>
        </w:rPr>
        <w:t>年</w:t>
      </w:r>
      <w:r>
        <w:rPr>
          <w:rFonts w:ascii="Times New Roman" w:hAnsi="Times New Roman" w:eastAsia="仿宋_GB2312" w:cs="Times New Roman"/>
          <w:color w:val="auto"/>
          <w:sz w:val="32"/>
          <w:szCs w:val="32"/>
          <w:lang w:val="en-US" w:eastAsia="zh-CN"/>
        </w:rPr>
        <w:t>相比，财政拨款收、支总计</w:t>
      </w:r>
      <w:r>
        <w:rPr>
          <w:rFonts w:ascii="Times New Roman" w:hAnsi="Times New Roman" w:eastAsia="仿宋_GB2312" w:cs="Times New Roman"/>
          <w:sz w:val="32"/>
          <w:szCs w:val="32"/>
        </w:rPr>
        <w:t>各</w:t>
      </w:r>
      <w:r>
        <w:rPr>
          <w:rFonts w:hint="eastAsia" w:eastAsia="仿宋_GB2312" w:cs="Times New Roman"/>
          <w:sz w:val="32"/>
          <w:szCs w:val="32"/>
          <w:lang w:val="en-US" w:eastAsia="zh-CN"/>
        </w:rPr>
        <w:t>减少111.3</w:t>
      </w:r>
      <w:r>
        <w:rPr>
          <w:rFonts w:ascii="Times New Roman" w:hAnsi="Times New Roman" w:eastAsia="仿宋_GB2312" w:cs="Times New Roman"/>
          <w:sz w:val="32"/>
          <w:szCs w:val="32"/>
        </w:rPr>
        <w:t>万元，</w:t>
      </w:r>
      <w:r>
        <w:rPr>
          <w:rFonts w:hint="eastAsia" w:eastAsia="仿宋_GB2312" w:cs="Times New Roman"/>
          <w:sz w:val="32"/>
          <w:szCs w:val="32"/>
          <w:lang w:val="en-US" w:eastAsia="zh-CN"/>
        </w:rPr>
        <w:t>减少34.44</w:t>
      </w:r>
      <w:r>
        <w:rPr>
          <w:rFonts w:ascii="Times New Roman" w:hAnsi="Times New Roman" w:eastAsia="仿宋_GB2312" w:cs="Times New Roman"/>
          <w:sz w:val="32"/>
          <w:szCs w:val="32"/>
        </w:rPr>
        <w:t>%。</w:t>
      </w:r>
      <w:r>
        <w:rPr>
          <w:rFonts w:ascii="Times New Roman" w:hAnsi="Times New Roman" w:eastAsia="仿宋_GB2312" w:cs="Times New Roman"/>
          <w:color w:val="auto"/>
          <w:sz w:val="32"/>
          <w:szCs w:val="32"/>
          <w:lang w:val="en-US" w:eastAsia="zh-CN"/>
        </w:rPr>
        <w:t>主要变动原因</w:t>
      </w:r>
      <w:r>
        <w:rPr>
          <w:rFonts w:hint="eastAsia" w:ascii="Times New Roman" w:cs="Times New Roman"/>
          <w:color w:val="auto"/>
          <w:sz w:val="32"/>
          <w:szCs w:val="32"/>
          <w:lang w:val="en-US" w:eastAsia="zh-CN"/>
        </w:rPr>
        <w:t>是</w:t>
      </w:r>
      <w:r>
        <w:rPr>
          <w:rFonts w:hint="eastAsia" w:eastAsia="仿宋_GB2312" w:cs="Times New Roman"/>
          <w:color w:val="auto"/>
          <w:sz w:val="32"/>
          <w:szCs w:val="32"/>
          <w:lang w:val="en-US" w:eastAsia="zh-CN"/>
        </w:rPr>
        <w:t>本年度较上年度项目减少</w:t>
      </w:r>
      <w:r>
        <w:rPr>
          <w:rFonts w:hint="eastAsia" w:ascii="仿宋" w:eastAsia="仿宋"/>
          <w:color w:val="auto"/>
          <w:sz w:val="32"/>
          <w:szCs w:val="32"/>
        </w:rPr>
        <w:t>。</w:t>
      </w:r>
    </w:p>
    <w:p w14:paraId="2DE3A058">
      <w:pPr>
        <w:pStyle w:val="6"/>
        <w:pageBreakBefore w:val="0"/>
        <w:widowControl w:val="0"/>
        <w:kinsoku/>
        <w:wordWrap/>
        <w:overflowPunct/>
        <w:topLinePunct w:val="0"/>
        <w:bidi w:val="0"/>
        <w:spacing w:line="576" w:lineRule="exact"/>
        <w:rPr>
          <w:rFonts w:ascii="Times New Roman" w:hAnsi="Times New Roman" w:eastAsia="仿宋_GB2312" w:cs="Times New Roman"/>
          <w:color w:val="auto"/>
          <w:sz w:val="32"/>
          <w:szCs w:val="32"/>
        </w:rPr>
      </w:pPr>
      <w:r>
        <w:rPr>
          <w:rFonts w:hint="eastAsia" w:ascii="Times New Roman" w:hAnsi="Times New Roman" w:eastAsia="仿宋" w:cs="Times New Roman"/>
          <w:sz w:val="32"/>
          <w:szCs w:val="32"/>
          <w:lang w:eastAsia="zh-CN"/>
        </w:rPr>
        <w:drawing>
          <wp:anchor distT="0" distB="0" distL="114300" distR="114300" simplePos="0" relativeHeight="251660288" behindDoc="0" locked="0" layoutInCell="1" allowOverlap="1">
            <wp:simplePos x="0" y="0"/>
            <wp:positionH relativeFrom="column">
              <wp:posOffset>80645</wp:posOffset>
            </wp:positionH>
            <wp:positionV relativeFrom="paragraph">
              <wp:posOffset>170180</wp:posOffset>
            </wp:positionV>
            <wp:extent cx="4841875" cy="2466975"/>
            <wp:effectExtent l="4445" t="4445" r="11430" b="508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Times New Roman" w:hAnsi="Times New Roman" w:eastAsia="仿宋_GB2312" w:cs="Times New Roman"/>
          <w:color w:val="auto"/>
          <w:sz w:val="32"/>
          <w:szCs w:val="32"/>
        </w:rPr>
        <w:t>（图4：财政拨款收、支决算总计变动情况）（柱状图）</w:t>
      </w:r>
      <w:bookmarkStart w:id="46" w:name="_Toc15377209"/>
      <w:bookmarkStart w:id="47" w:name="_Toc15396607"/>
      <w:bookmarkStart w:id="48" w:name="_Toc26843616"/>
    </w:p>
    <w:p w14:paraId="65ACAFE0">
      <w:pPr>
        <w:pStyle w:val="6"/>
        <w:pageBreakBefore w:val="0"/>
        <w:widowControl w:val="0"/>
        <w:kinsoku/>
        <w:wordWrap/>
        <w:overflowPunct/>
        <w:topLinePunct w:val="0"/>
        <w:bidi w:val="0"/>
        <w:spacing w:line="576" w:lineRule="exact"/>
        <w:rPr>
          <w:rFonts w:ascii="Times New Roman" w:hAnsi="Times New Roman" w:eastAsia="仿宋_GB2312" w:cs="Times New Roman"/>
          <w:color w:val="auto"/>
          <w:sz w:val="32"/>
          <w:szCs w:val="32"/>
        </w:rPr>
      </w:pPr>
    </w:p>
    <w:p w14:paraId="4E31AB34">
      <w:pPr>
        <w:pStyle w:val="6"/>
        <w:pageBreakBefore w:val="0"/>
        <w:widowControl w:val="0"/>
        <w:kinsoku/>
        <w:wordWrap/>
        <w:overflowPunct/>
        <w:topLinePunct w:val="0"/>
        <w:bidi w:val="0"/>
        <w:spacing w:line="576" w:lineRule="exact"/>
        <w:rPr>
          <w:rFonts w:ascii="Times New Roman" w:hAnsi="Times New Roman" w:eastAsia="仿宋_GB2312" w:cs="Times New Roman"/>
          <w:color w:val="auto"/>
          <w:sz w:val="32"/>
          <w:szCs w:val="32"/>
        </w:rPr>
      </w:pPr>
    </w:p>
    <w:p w14:paraId="33D1245B">
      <w:pPr>
        <w:pageBreakBefore w:val="0"/>
        <w:widowControl w:val="0"/>
        <w:kinsoku/>
        <w:wordWrap/>
        <w:overflowPunct/>
        <w:topLinePunct w:val="0"/>
        <w:bidi w:val="0"/>
        <w:spacing w:line="576" w:lineRule="exact"/>
        <w:ind w:firstLine="640" w:firstLineChars="200"/>
        <w:outlineLvl w:val="1"/>
        <w:rPr>
          <w:rStyle w:val="21"/>
          <w:rFonts w:ascii="Times New Roman" w:hAnsi="Times New Roman" w:eastAsia="黑体" w:cs="Times New Roman"/>
          <w:b w:val="0"/>
        </w:rPr>
      </w:pPr>
      <w:r>
        <w:rPr>
          <w:rFonts w:ascii="Times New Roman" w:hAnsi="Times New Roman" w:eastAsia="黑体" w:cs="Times New Roman"/>
          <w:sz w:val="32"/>
          <w:szCs w:val="32"/>
        </w:rPr>
        <w:t>五、</w:t>
      </w:r>
      <w:r>
        <w:rPr>
          <w:rFonts w:ascii="Times New Roman" w:hAnsi="Times New Roman" w:eastAsia="黑体" w:cs="Times New Roman"/>
          <w:b/>
          <w:sz w:val="32"/>
          <w:szCs w:val="32"/>
        </w:rPr>
        <w:t>一</w:t>
      </w:r>
      <w:r>
        <w:rPr>
          <w:rStyle w:val="21"/>
          <w:rFonts w:ascii="Times New Roman" w:hAnsi="Times New Roman" w:eastAsia="黑体" w:cs="Times New Roman"/>
          <w:b w:val="0"/>
        </w:rPr>
        <w:t>般公共预算财政拨款支出决算情况说明</w:t>
      </w:r>
      <w:bookmarkEnd w:id="46"/>
      <w:bookmarkEnd w:id="47"/>
      <w:bookmarkEnd w:id="48"/>
    </w:p>
    <w:p w14:paraId="2D1D3498">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b/>
          <w:sz w:val="32"/>
          <w:szCs w:val="32"/>
        </w:rPr>
      </w:pPr>
      <w:bookmarkStart w:id="49" w:name="_Toc15377210"/>
      <w:r>
        <w:rPr>
          <w:rFonts w:ascii="Times New Roman" w:hAnsi="Times New Roman" w:eastAsia="仿宋" w:cs="Times New Roman"/>
          <w:b/>
          <w:sz w:val="32"/>
          <w:szCs w:val="32"/>
        </w:rPr>
        <w:t>（一）一般公共预算财政拨款支出决算总体情况</w:t>
      </w:r>
      <w:bookmarkEnd w:id="49"/>
    </w:p>
    <w:p w14:paraId="0314E1A0">
      <w:pPr>
        <w:pageBreakBefore w:val="0"/>
        <w:widowControl w:val="0"/>
        <w:kinsoku/>
        <w:wordWrap/>
        <w:overflowPunct/>
        <w:topLinePunct w:val="0"/>
        <w:bidi w:val="0"/>
        <w:spacing w:line="576" w:lineRule="exact"/>
        <w:ind w:firstLine="640" w:firstLineChars="200"/>
        <w:rPr>
          <w:rFonts w:ascii="Times New Roman" w:hAnsi="Times New Roman" w:eastAsia="仿宋" w:cs="Times New Roman"/>
          <w:sz w:val="32"/>
          <w:szCs w:val="32"/>
        </w:rPr>
      </w:pPr>
      <w:r>
        <w:rPr>
          <w:rFonts w:hint="eastAsia" w:eastAsia="仿宋_GB2312" w:cs="Times New Roman"/>
          <w:sz w:val="32"/>
          <w:szCs w:val="32"/>
          <w:lang w:eastAsia="zh-CN"/>
        </w:rPr>
        <w:t>202</w:t>
      </w:r>
      <w:r>
        <w:rPr>
          <w:rFonts w:hint="eastAsia" w:eastAsia="仿宋_GB2312" w:cs="Times New Roman"/>
          <w:sz w:val="32"/>
          <w:szCs w:val="32"/>
          <w:lang w:val="en-US" w:eastAsia="zh-CN"/>
        </w:rPr>
        <w:t>4</w:t>
      </w:r>
      <w:r>
        <w:rPr>
          <w:rFonts w:hint="eastAsia" w:eastAsia="仿宋_GB2312" w:cs="Times New Roman"/>
          <w:sz w:val="32"/>
          <w:szCs w:val="32"/>
          <w:lang w:eastAsia="zh-CN"/>
        </w:rPr>
        <w:t>年</w:t>
      </w:r>
      <w:r>
        <w:rPr>
          <w:rFonts w:ascii="Times New Roman" w:hAnsi="Times New Roman" w:eastAsia="仿宋_GB2312" w:cs="Times New Roman"/>
          <w:sz w:val="32"/>
          <w:szCs w:val="32"/>
        </w:rPr>
        <w:t>一般公共预算财政拨款支出</w:t>
      </w:r>
      <w:r>
        <w:rPr>
          <w:rFonts w:hint="eastAsia" w:eastAsia="仿宋_GB2312" w:cs="Times New Roman"/>
          <w:sz w:val="32"/>
          <w:szCs w:val="32"/>
          <w:lang w:val="en-US" w:eastAsia="zh-CN"/>
        </w:rPr>
        <w:t>211.87</w:t>
      </w:r>
      <w:r>
        <w:rPr>
          <w:rFonts w:ascii="Times New Roman" w:hAnsi="Times New Roman" w:eastAsia="仿宋_GB2312" w:cs="Times New Roman"/>
          <w:sz w:val="32"/>
          <w:szCs w:val="32"/>
        </w:rPr>
        <w:t>万元，占本年支出合计的100%。与</w:t>
      </w:r>
      <w:r>
        <w:rPr>
          <w:rFonts w:hint="eastAsia" w:eastAsia="仿宋_GB2312" w:cs="Times New Roman"/>
          <w:sz w:val="32"/>
          <w:szCs w:val="32"/>
          <w:lang w:eastAsia="zh-CN"/>
        </w:rPr>
        <w:t>202</w:t>
      </w:r>
      <w:r>
        <w:rPr>
          <w:rFonts w:hint="eastAsia" w:eastAsia="仿宋_GB2312" w:cs="Times New Roman"/>
          <w:sz w:val="32"/>
          <w:szCs w:val="32"/>
          <w:lang w:val="en-US" w:eastAsia="zh-CN"/>
        </w:rPr>
        <w:t>4</w:t>
      </w:r>
      <w:r>
        <w:rPr>
          <w:rFonts w:hint="eastAsia" w:eastAsia="仿宋_GB2312" w:cs="Times New Roman"/>
          <w:sz w:val="32"/>
          <w:szCs w:val="32"/>
          <w:lang w:eastAsia="zh-CN"/>
        </w:rPr>
        <w:t>年</w:t>
      </w:r>
      <w:r>
        <w:rPr>
          <w:rFonts w:ascii="Times New Roman" w:hAnsi="Times New Roman" w:eastAsia="仿宋_GB2312" w:cs="Times New Roman"/>
          <w:sz w:val="32"/>
          <w:szCs w:val="32"/>
        </w:rPr>
        <w:t>相比，一般公共预算财政拨款支出</w:t>
      </w:r>
      <w:r>
        <w:rPr>
          <w:rFonts w:hint="eastAsia" w:eastAsia="仿宋_GB2312" w:cs="Times New Roman"/>
          <w:sz w:val="32"/>
          <w:szCs w:val="32"/>
          <w:lang w:val="en-US" w:eastAsia="zh-CN"/>
        </w:rPr>
        <w:t>减少111.3</w:t>
      </w:r>
      <w:r>
        <w:rPr>
          <w:rFonts w:ascii="Times New Roman" w:hAnsi="Times New Roman" w:eastAsia="仿宋_GB2312" w:cs="Times New Roman"/>
          <w:sz w:val="32"/>
          <w:szCs w:val="32"/>
        </w:rPr>
        <w:t>万元，增长</w:t>
      </w:r>
      <w:r>
        <w:rPr>
          <w:rFonts w:hint="eastAsia" w:eastAsia="仿宋_GB2312" w:cs="Times New Roman"/>
          <w:sz w:val="32"/>
          <w:szCs w:val="32"/>
          <w:lang w:val="en-US" w:eastAsia="zh-CN"/>
        </w:rPr>
        <w:t>34.44</w:t>
      </w:r>
      <w:r>
        <w:rPr>
          <w:rFonts w:ascii="Times New Roman" w:hAnsi="Times New Roman" w:eastAsia="仿宋_GB2312" w:cs="Times New Roman"/>
          <w:sz w:val="32"/>
          <w:szCs w:val="32"/>
        </w:rPr>
        <w:t>%。主要变动原因</w:t>
      </w:r>
      <w:r>
        <w:rPr>
          <w:rFonts w:hint="eastAsia" w:ascii="Times New Roman" w:cs="Times New Roman"/>
          <w:sz w:val="32"/>
          <w:szCs w:val="32"/>
          <w:lang w:val="en-US" w:eastAsia="zh-CN"/>
        </w:rPr>
        <w:t>是</w:t>
      </w:r>
      <w:r>
        <w:rPr>
          <w:rFonts w:hint="eastAsia" w:ascii="仿宋" w:eastAsia="仿宋"/>
          <w:color w:val="000000"/>
          <w:sz w:val="32"/>
          <w:szCs w:val="32"/>
          <w:lang w:val="en-US" w:eastAsia="zh-CN"/>
        </w:rPr>
        <w:t>2024年</w:t>
      </w:r>
      <w:r>
        <w:rPr>
          <w:rFonts w:hint="eastAsia" w:eastAsia="仿宋_GB2312" w:cs="Times New Roman"/>
          <w:color w:val="auto"/>
          <w:sz w:val="32"/>
          <w:szCs w:val="32"/>
          <w:lang w:val="en-US" w:eastAsia="zh-CN"/>
        </w:rPr>
        <w:t>较上年度项目减少</w:t>
      </w:r>
      <w:r>
        <w:rPr>
          <w:rFonts w:ascii="Times New Roman" w:hAnsi="Times New Roman" w:eastAsia="仿宋_GB2312" w:cs="Times New Roman"/>
          <w:sz w:val="32"/>
          <w:szCs w:val="32"/>
          <w:lang w:val="en-US" w:eastAsia="zh-CN"/>
        </w:rPr>
        <w:t>。</w:t>
      </w:r>
    </w:p>
    <w:p w14:paraId="035FE4DC">
      <w:pPr>
        <w:pageBreakBefore w:val="0"/>
        <w:widowControl w:val="0"/>
        <w:kinsoku/>
        <w:wordWrap/>
        <w:overflowPunct/>
        <w:topLinePunct w:val="0"/>
        <w:bidi w:val="0"/>
        <w:spacing w:line="576" w:lineRule="exact"/>
        <w:rPr>
          <w:rFonts w:ascii="Times New Roman" w:hAnsi="Times New Roman" w:eastAsia="仿宋" w:cs="Times New Roman"/>
          <w:color w:val="FF0000"/>
          <w:sz w:val="32"/>
          <w:szCs w:val="32"/>
        </w:rPr>
      </w:pPr>
      <w:r>
        <w:rPr>
          <w:rFonts w:hint="eastAsia" w:ascii="Times New Roman" w:hAnsi="Times New Roman" w:eastAsia="仿宋" w:cs="Times New Roman"/>
          <w:sz w:val="32"/>
          <w:szCs w:val="32"/>
          <w:lang w:eastAsia="zh-CN"/>
        </w:rPr>
        <w:drawing>
          <wp:anchor distT="0" distB="0" distL="114300" distR="114300" simplePos="0" relativeHeight="251660288" behindDoc="0" locked="0" layoutInCell="1" allowOverlap="1">
            <wp:simplePos x="0" y="0"/>
            <wp:positionH relativeFrom="column">
              <wp:posOffset>175895</wp:posOffset>
            </wp:positionH>
            <wp:positionV relativeFrom="paragraph">
              <wp:posOffset>113030</wp:posOffset>
            </wp:positionV>
            <wp:extent cx="4841875" cy="2466975"/>
            <wp:effectExtent l="4445" t="4445" r="11430" b="508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CFDD315">
      <w:pPr>
        <w:pageBreakBefore w:val="0"/>
        <w:widowControl w:val="0"/>
        <w:kinsoku/>
        <w:wordWrap/>
        <w:overflowPunct/>
        <w:topLinePunct w:val="0"/>
        <w:bidi w:val="0"/>
        <w:spacing w:line="576" w:lineRule="exact"/>
        <w:rPr>
          <w:rFonts w:ascii="Times New Roman" w:hAnsi="Times New Roman" w:eastAsia="仿宋" w:cs="Times New Roman"/>
          <w:sz w:val="32"/>
          <w:szCs w:val="32"/>
        </w:rPr>
      </w:pPr>
      <w:r>
        <w:rPr>
          <w:rFonts w:ascii="Times New Roman" w:hAnsi="Times New Roman" w:eastAsia="仿宋" w:cs="Times New Roman"/>
          <w:color w:val="auto"/>
          <w:sz w:val="32"/>
          <w:szCs w:val="32"/>
        </w:rPr>
        <w:t>（图5：一般公共预算财政拨款支出决算变动情况</w:t>
      </w:r>
      <w:r>
        <w:rPr>
          <w:rFonts w:hint="eastAsia" w:eastAsia="仿宋" w:cs="Times New Roman"/>
          <w:color w:val="auto"/>
          <w:sz w:val="32"/>
          <w:szCs w:val="32"/>
          <w:lang w:eastAsia="zh-CN"/>
        </w:rPr>
        <w:t>）（</w:t>
      </w:r>
      <w:r>
        <w:rPr>
          <w:rFonts w:ascii="Times New Roman" w:hAnsi="Times New Roman" w:eastAsia="仿宋" w:cs="Times New Roman"/>
          <w:color w:val="auto"/>
          <w:sz w:val="32"/>
          <w:szCs w:val="32"/>
        </w:rPr>
        <w:t>柱状图）</w:t>
      </w:r>
    </w:p>
    <w:p w14:paraId="60567627">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b/>
          <w:sz w:val="32"/>
          <w:szCs w:val="32"/>
        </w:rPr>
      </w:pPr>
      <w:bookmarkStart w:id="50" w:name="_Toc15377211"/>
      <w:r>
        <w:rPr>
          <w:rFonts w:ascii="Times New Roman" w:hAnsi="Times New Roman" w:eastAsia="仿宋" w:cs="Times New Roman"/>
          <w:b/>
          <w:sz w:val="32"/>
          <w:szCs w:val="32"/>
        </w:rPr>
        <w:t>（二）一般公共预算财政拨款支出决算结构情况</w:t>
      </w:r>
      <w:bookmarkEnd w:id="50"/>
    </w:p>
    <w:p w14:paraId="32698939">
      <w:pPr>
        <w:pageBreakBefore w:val="0"/>
        <w:widowControl w:val="0"/>
        <w:kinsoku/>
        <w:wordWrap/>
        <w:overflowPunct/>
        <w:topLinePunct w:val="0"/>
        <w:bidi w:val="0"/>
        <w:spacing w:line="576" w:lineRule="exact"/>
        <w:ind w:firstLine="640"/>
        <w:rPr>
          <w:rFonts w:ascii="Times New Roman" w:hAnsi="Times New Roman" w:eastAsia="仿宋" w:cs="Times New Roman"/>
          <w:sz w:val="32"/>
          <w:szCs w:val="32"/>
        </w:rPr>
      </w:pPr>
      <w:r>
        <w:rPr>
          <w:rFonts w:hint="eastAsia" w:eastAsia="仿宋" w:cs="Times New Roman"/>
          <w:sz w:val="32"/>
          <w:szCs w:val="32"/>
          <w:lang w:eastAsia="zh-CN"/>
        </w:rPr>
        <w:t>202</w:t>
      </w:r>
      <w:r>
        <w:rPr>
          <w:rFonts w:hint="eastAsia" w:eastAsia="仿宋" w:cs="Times New Roman"/>
          <w:sz w:val="32"/>
          <w:szCs w:val="32"/>
          <w:lang w:val="en-US" w:eastAsia="zh-CN"/>
        </w:rPr>
        <w:t>4</w:t>
      </w:r>
      <w:r>
        <w:rPr>
          <w:rFonts w:hint="eastAsia" w:eastAsia="仿宋" w:cs="Times New Roman"/>
          <w:sz w:val="32"/>
          <w:szCs w:val="32"/>
          <w:lang w:eastAsia="zh-CN"/>
        </w:rPr>
        <w:t>年</w:t>
      </w:r>
      <w:r>
        <w:rPr>
          <w:rFonts w:ascii="Times New Roman" w:hAnsi="Times New Roman" w:eastAsia="仿宋" w:cs="Times New Roman"/>
          <w:sz w:val="32"/>
          <w:szCs w:val="32"/>
        </w:rPr>
        <w:t>一般公共预算财政拨款支出</w:t>
      </w:r>
      <w:r>
        <w:rPr>
          <w:rFonts w:hint="eastAsia" w:eastAsia="仿宋" w:cs="Times New Roman"/>
          <w:sz w:val="32"/>
          <w:szCs w:val="32"/>
          <w:lang w:val="en-US" w:eastAsia="zh-CN"/>
        </w:rPr>
        <w:t>211.87</w:t>
      </w:r>
      <w:r>
        <w:rPr>
          <w:rFonts w:ascii="Times New Roman" w:hAnsi="Times New Roman" w:eastAsia="仿宋" w:cs="Times New Roman"/>
          <w:sz w:val="32"/>
          <w:szCs w:val="32"/>
        </w:rPr>
        <w:t>万元，主要用于以下方面</w:t>
      </w:r>
      <w:r>
        <w:rPr>
          <w:rFonts w:hint="eastAsia" w:eastAsia="仿宋" w:cs="Times New Roman"/>
          <w:sz w:val="32"/>
          <w:szCs w:val="32"/>
          <w:lang w:eastAsia="zh-CN"/>
        </w:rPr>
        <w:t>：</w:t>
      </w:r>
      <w:r>
        <w:rPr>
          <w:rFonts w:hint="eastAsia" w:ascii="Times New Roman" w:hAnsi="Times New Roman" w:eastAsia="仿宋" w:cs="Times New Roman"/>
          <w:sz w:val="32"/>
          <w:szCs w:val="32"/>
        </w:rPr>
        <w:t>社会保障和就业（类）支出</w:t>
      </w:r>
      <w:r>
        <w:rPr>
          <w:rFonts w:hint="eastAsia" w:eastAsia="仿宋" w:cs="Times New Roman"/>
          <w:sz w:val="32"/>
          <w:szCs w:val="32"/>
          <w:lang w:val="en-US" w:eastAsia="zh-CN"/>
        </w:rPr>
        <w:t>31.13</w:t>
      </w:r>
      <w:r>
        <w:rPr>
          <w:rFonts w:hint="eastAsia" w:ascii="Times New Roman" w:hAnsi="Times New Roman" w:eastAsia="仿宋" w:cs="Times New Roman"/>
          <w:sz w:val="32"/>
          <w:szCs w:val="32"/>
        </w:rPr>
        <w:t>万元，占</w:t>
      </w:r>
      <w:r>
        <w:rPr>
          <w:rFonts w:hint="eastAsia" w:eastAsia="仿宋" w:cs="Times New Roman"/>
          <w:sz w:val="32"/>
          <w:szCs w:val="32"/>
          <w:lang w:val="en-US" w:eastAsia="zh-CN"/>
        </w:rPr>
        <w:t>14.69</w:t>
      </w:r>
      <w:r>
        <w:rPr>
          <w:rFonts w:hint="eastAsia" w:ascii="Times New Roman" w:hAnsi="Times New Roman" w:eastAsia="仿宋" w:cs="Times New Roman"/>
          <w:sz w:val="32"/>
          <w:szCs w:val="32"/>
        </w:rPr>
        <w:t>%；卫生健康支出</w:t>
      </w:r>
      <w:r>
        <w:rPr>
          <w:rFonts w:hint="eastAsia" w:eastAsia="仿宋" w:cs="Times New Roman"/>
          <w:sz w:val="32"/>
          <w:szCs w:val="32"/>
          <w:lang w:val="en-US" w:eastAsia="zh-CN"/>
        </w:rPr>
        <w:t>11.87</w:t>
      </w:r>
      <w:r>
        <w:rPr>
          <w:rFonts w:hint="eastAsia" w:ascii="Times New Roman" w:hAnsi="Times New Roman" w:eastAsia="仿宋" w:cs="Times New Roman"/>
          <w:sz w:val="32"/>
          <w:szCs w:val="32"/>
        </w:rPr>
        <w:t>万元，占</w:t>
      </w:r>
      <w:r>
        <w:rPr>
          <w:rFonts w:hint="eastAsia" w:eastAsia="仿宋" w:cs="Times New Roman"/>
          <w:sz w:val="32"/>
          <w:szCs w:val="32"/>
          <w:lang w:val="en-US" w:eastAsia="zh-CN"/>
        </w:rPr>
        <w:t>5.6</w:t>
      </w:r>
      <w:r>
        <w:rPr>
          <w:rFonts w:hint="eastAsia" w:ascii="Times New Roman" w:hAnsi="Times New Roman" w:eastAsia="仿宋" w:cs="Times New Roman"/>
          <w:sz w:val="32"/>
          <w:szCs w:val="32"/>
        </w:rPr>
        <w:t>%；农林水支出</w:t>
      </w:r>
      <w:r>
        <w:rPr>
          <w:rFonts w:hint="eastAsia" w:eastAsia="仿宋" w:cs="Times New Roman"/>
          <w:sz w:val="32"/>
          <w:szCs w:val="32"/>
          <w:lang w:val="en-US" w:eastAsia="zh-CN"/>
        </w:rPr>
        <w:t>15</w:t>
      </w:r>
      <w:r>
        <w:rPr>
          <w:rFonts w:hint="eastAsia" w:ascii="Times New Roman" w:hAnsi="Times New Roman" w:eastAsia="仿宋" w:cs="Times New Roman"/>
          <w:sz w:val="32"/>
          <w:szCs w:val="32"/>
        </w:rPr>
        <w:t>万元，占</w:t>
      </w:r>
      <w:r>
        <w:rPr>
          <w:rFonts w:hint="eastAsia" w:eastAsia="仿宋" w:cs="Times New Roman"/>
          <w:sz w:val="32"/>
          <w:szCs w:val="32"/>
          <w:lang w:val="en-US" w:eastAsia="zh-CN"/>
        </w:rPr>
        <w:t>7.08</w:t>
      </w:r>
      <w:r>
        <w:rPr>
          <w:rFonts w:hint="eastAsia" w:ascii="Times New Roman" w:hAnsi="Times New Roman" w:eastAsia="仿宋" w:cs="Times New Roman"/>
          <w:sz w:val="32"/>
          <w:szCs w:val="32"/>
        </w:rPr>
        <w:t>%；商业服务业等支出</w:t>
      </w:r>
      <w:r>
        <w:rPr>
          <w:rFonts w:hint="eastAsia" w:eastAsia="仿宋" w:cs="Times New Roman"/>
          <w:sz w:val="32"/>
          <w:szCs w:val="32"/>
          <w:lang w:val="en-US" w:eastAsia="zh-CN"/>
        </w:rPr>
        <w:t>141.03</w:t>
      </w:r>
      <w:r>
        <w:rPr>
          <w:rFonts w:hint="eastAsia" w:ascii="Times New Roman" w:hAnsi="Times New Roman" w:eastAsia="仿宋" w:cs="Times New Roman"/>
          <w:sz w:val="32"/>
          <w:szCs w:val="32"/>
        </w:rPr>
        <w:t>万元，占</w:t>
      </w:r>
      <w:r>
        <w:rPr>
          <w:rFonts w:hint="eastAsia" w:eastAsia="仿宋" w:cs="Times New Roman"/>
          <w:sz w:val="32"/>
          <w:szCs w:val="32"/>
          <w:lang w:val="en-US" w:eastAsia="zh-CN"/>
        </w:rPr>
        <w:t>66.56</w:t>
      </w:r>
      <w:r>
        <w:rPr>
          <w:rFonts w:hint="eastAsia" w:ascii="Times New Roman" w:hAnsi="Times New Roman" w:eastAsia="仿宋" w:cs="Times New Roman"/>
          <w:sz w:val="32"/>
          <w:szCs w:val="32"/>
        </w:rPr>
        <w:t>%；住房保障支出</w:t>
      </w:r>
      <w:r>
        <w:rPr>
          <w:rFonts w:hint="eastAsia" w:eastAsia="仿宋" w:cs="Times New Roman"/>
          <w:sz w:val="32"/>
          <w:szCs w:val="32"/>
          <w:lang w:val="en-US" w:eastAsia="zh-CN"/>
        </w:rPr>
        <w:t>12.84</w:t>
      </w:r>
      <w:r>
        <w:rPr>
          <w:rFonts w:hint="eastAsia" w:ascii="Times New Roman" w:hAnsi="Times New Roman" w:eastAsia="仿宋" w:cs="Times New Roman"/>
          <w:sz w:val="32"/>
          <w:szCs w:val="32"/>
        </w:rPr>
        <w:t>万元，占</w:t>
      </w:r>
      <w:r>
        <w:rPr>
          <w:rFonts w:hint="eastAsia" w:eastAsia="仿宋" w:cs="Times New Roman"/>
          <w:sz w:val="32"/>
          <w:szCs w:val="32"/>
          <w:lang w:val="en-US" w:eastAsia="zh-CN"/>
        </w:rPr>
        <w:t>6.06</w:t>
      </w:r>
      <w:r>
        <w:rPr>
          <w:rFonts w:hint="eastAsia" w:ascii="Times New Roman" w:hAnsi="Times New Roman" w:eastAsia="仿宋" w:cs="Times New Roman"/>
          <w:sz w:val="32"/>
          <w:szCs w:val="32"/>
        </w:rPr>
        <w:t>%。</w:t>
      </w:r>
    </w:p>
    <w:p w14:paraId="46126361">
      <w:pPr>
        <w:pageBreakBefore w:val="0"/>
        <w:widowControl w:val="0"/>
        <w:kinsoku/>
        <w:wordWrap/>
        <w:overflowPunct/>
        <w:topLinePunct w:val="0"/>
        <w:bidi w:val="0"/>
        <w:spacing w:line="576" w:lineRule="exact"/>
        <w:ind w:firstLine="64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drawing>
          <wp:anchor distT="0" distB="0" distL="114300" distR="114300" simplePos="0" relativeHeight="251659264" behindDoc="0" locked="0" layoutInCell="1" allowOverlap="1">
            <wp:simplePos x="0" y="0"/>
            <wp:positionH relativeFrom="column">
              <wp:posOffset>227330</wp:posOffset>
            </wp:positionH>
            <wp:positionV relativeFrom="paragraph">
              <wp:posOffset>83185</wp:posOffset>
            </wp:positionV>
            <wp:extent cx="4586605" cy="2671445"/>
            <wp:effectExtent l="4445" t="4445" r="19050" b="10160"/>
            <wp:wrapNone/>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AA2DC86">
      <w:pPr>
        <w:pStyle w:val="6"/>
        <w:jc w:val="distribute"/>
        <w:rPr>
          <w:rFonts w:ascii="Times New Roman" w:hAnsi="Times New Roman" w:eastAsia="仿宋" w:cs="Times New Roman"/>
          <w:sz w:val="32"/>
          <w:szCs w:val="32"/>
        </w:rPr>
      </w:pPr>
    </w:p>
    <w:p w14:paraId="3C2DDB1A">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668B55ED">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720172EE">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0714E6F8">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14E94E71">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7E67EE1E">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709AE36D">
      <w:pPr>
        <w:pageBreakBefore w:val="0"/>
        <w:widowControl w:val="0"/>
        <w:kinsoku/>
        <w:wordWrap/>
        <w:overflowPunct/>
        <w:topLinePunct w:val="0"/>
        <w:bidi w:val="0"/>
        <w:spacing w:line="576" w:lineRule="exact"/>
        <w:rPr>
          <w:rFonts w:ascii="Times New Roman" w:hAnsi="Times New Roman" w:eastAsia="仿宋" w:cs="Times New Roman"/>
          <w:sz w:val="32"/>
          <w:szCs w:val="32"/>
        </w:rPr>
      </w:pPr>
      <w:r>
        <w:rPr>
          <w:rFonts w:ascii="Times New Roman" w:hAnsi="Times New Roman" w:eastAsia="仿宋" w:cs="Times New Roman"/>
          <w:color w:val="auto"/>
          <w:sz w:val="32"/>
          <w:szCs w:val="32"/>
        </w:rPr>
        <w:t>（图6：一般公共预算财政拨款支出决算结构）（饼状图）</w:t>
      </w:r>
    </w:p>
    <w:p w14:paraId="37B6CF64">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b/>
          <w:sz w:val="32"/>
          <w:szCs w:val="32"/>
        </w:rPr>
      </w:pPr>
      <w:bookmarkStart w:id="51" w:name="_Toc15377212"/>
      <w:r>
        <w:rPr>
          <w:rFonts w:ascii="Times New Roman" w:hAnsi="Times New Roman" w:eastAsia="仿宋" w:cs="Times New Roman"/>
          <w:b/>
          <w:sz w:val="32"/>
          <w:szCs w:val="32"/>
        </w:rPr>
        <w:t>（三）一般公共预算财政拨款支出决算具体情况</w:t>
      </w:r>
      <w:bookmarkEnd w:id="51"/>
    </w:p>
    <w:p w14:paraId="3EDA15CF">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sz w:val="32"/>
          <w:szCs w:val="32"/>
        </w:rPr>
      </w:pPr>
      <w:bookmarkStart w:id="52" w:name="_Toc15377444"/>
      <w:bookmarkStart w:id="53" w:name="_Toc15378460"/>
      <w:bookmarkStart w:id="54" w:name="_Toc15377213"/>
      <w:r>
        <w:rPr>
          <w:rFonts w:hint="eastAsia" w:eastAsia="仿宋" w:cs="Times New Roman"/>
          <w:b/>
          <w:sz w:val="32"/>
          <w:szCs w:val="32"/>
          <w:lang w:eastAsia="zh-CN"/>
        </w:rPr>
        <w:t>202</w:t>
      </w:r>
      <w:r>
        <w:rPr>
          <w:rFonts w:hint="eastAsia" w:eastAsia="仿宋" w:cs="Times New Roman"/>
          <w:b/>
          <w:sz w:val="32"/>
          <w:szCs w:val="32"/>
          <w:lang w:val="en-US" w:eastAsia="zh-CN"/>
        </w:rPr>
        <w:t>4</w:t>
      </w:r>
      <w:r>
        <w:rPr>
          <w:rFonts w:hint="eastAsia" w:eastAsia="仿宋" w:cs="Times New Roman"/>
          <w:b/>
          <w:sz w:val="32"/>
          <w:szCs w:val="32"/>
          <w:lang w:eastAsia="zh-CN"/>
        </w:rPr>
        <w:t>年</w:t>
      </w:r>
      <w:r>
        <w:rPr>
          <w:rFonts w:ascii="Times New Roman" w:hAnsi="Times New Roman" w:eastAsia="仿宋" w:cs="Times New Roman"/>
          <w:b/>
          <w:sz w:val="32"/>
          <w:szCs w:val="32"/>
        </w:rPr>
        <w:t>一般公共预算支出决算数为</w:t>
      </w:r>
      <w:r>
        <w:rPr>
          <w:rFonts w:hint="eastAsia" w:eastAsia="仿宋" w:cs="Times New Roman"/>
          <w:b/>
          <w:sz w:val="32"/>
          <w:szCs w:val="32"/>
          <w:lang w:val="en-US" w:eastAsia="zh-CN"/>
        </w:rPr>
        <w:t>211.87万元</w:t>
      </w:r>
      <w:r>
        <w:rPr>
          <w:rFonts w:ascii="Times New Roman" w:hAnsi="Times New Roman" w:eastAsia="仿宋" w:cs="Times New Roman"/>
          <w:sz w:val="32"/>
          <w:szCs w:val="32"/>
        </w:rPr>
        <w:t>，</w:t>
      </w:r>
      <w:r>
        <w:rPr>
          <w:rStyle w:val="18"/>
          <w:rFonts w:ascii="Times New Roman" w:hAnsi="Times New Roman" w:eastAsia="仿宋" w:cs="Times New Roman"/>
          <w:bCs/>
          <w:sz w:val="32"/>
          <w:szCs w:val="32"/>
        </w:rPr>
        <w:t>完成预算100%。其中：</w:t>
      </w:r>
      <w:bookmarkEnd w:id="52"/>
      <w:bookmarkEnd w:id="53"/>
      <w:bookmarkEnd w:id="54"/>
    </w:p>
    <w:p w14:paraId="286B131A">
      <w:pPr>
        <w:pageBreakBefore w:val="0"/>
        <w:widowControl w:val="0"/>
        <w:kinsoku/>
        <w:wordWrap/>
        <w:overflowPunct/>
        <w:topLinePunct w:val="0"/>
        <w:bidi w:val="0"/>
        <w:spacing w:line="576" w:lineRule="exact"/>
        <w:ind w:firstLine="643" w:firstLineChars="200"/>
        <w:rPr>
          <w:rStyle w:val="18"/>
          <w:rFonts w:ascii="Times New Roman" w:hAnsi="Times New Roman" w:eastAsia="仿宋" w:cs="Times New Roman"/>
          <w:b w:val="0"/>
          <w:bCs/>
          <w:sz w:val="32"/>
          <w:szCs w:val="32"/>
        </w:rPr>
      </w:pPr>
      <w:r>
        <w:rPr>
          <w:rStyle w:val="18"/>
          <w:rFonts w:hint="eastAsia" w:eastAsia="仿宋" w:cs="Times New Roman"/>
          <w:bCs/>
          <w:sz w:val="32"/>
          <w:szCs w:val="32"/>
          <w:lang w:val="en-US" w:eastAsia="zh-CN"/>
        </w:rPr>
        <w:t>1</w:t>
      </w:r>
      <w:r>
        <w:rPr>
          <w:rStyle w:val="18"/>
          <w:rFonts w:ascii="Times New Roman" w:hAnsi="Times New Roman" w:eastAsia="仿宋" w:cs="Times New Roman"/>
          <w:bCs/>
          <w:sz w:val="32"/>
          <w:szCs w:val="32"/>
        </w:rPr>
        <w:t>.社会保障和就业（208）行政事业单位养老（05），</w:t>
      </w:r>
      <w:r>
        <w:rPr>
          <w:rStyle w:val="18"/>
          <w:rFonts w:ascii="Times New Roman" w:hAnsi="Times New Roman" w:eastAsia="仿宋" w:cs="Times New Roman"/>
          <w:b w:val="0"/>
          <w:bCs/>
          <w:sz w:val="32"/>
          <w:szCs w:val="32"/>
        </w:rPr>
        <w:t>支出决算为</w:t>
      </w:r>
      <w:r>
        <w:rPr>
          <w:rStyle w:val="18"/>
          <w:rFonts w:hint="eastAsia" w:eastAsia="仿宋" w:cs="Times New Roman"/>
          <w:b w:val="0"/>
          <w:bCs/>
          <w:sz w:val="32"/>
          <w:szCs w:val="32"/>
          <w:lang w:val="en-US" w:eastAsia="zh-CN"/>
        </w:rPr>
        <w:t>24.46</w:t>
      </w:r>
      <w:r>
        <w:rPr>
          <w:rStyle w:val="18"/>
          <w:rFonts w:ascii="Times New Roman" w:hAnsi="Times New Roman" w:eastAsia="仿宋" w:cs="Times New Roman"/>
          <w:b w:val="0"/>
          <w:bCs/>
          <w:sz w:val="32"/>
          <w:szCs w:val="32"/>
        </w:rPr>
        <w:t>万元，完成预算100%。</w:t>
      </w:r>
    </w:p>
    <w:p w14:paraId="1F86B021">
      <w:pPr>
        <w:pStyle w:val="6"/>
        <w:pageBreakBefore w:val="0"/>
        <w:widowControl w:val="0"/>
        <w:kinsoku/>
        <w:wordWrap/>
        <w:overflowPunct/>
        <w:topLinePunct w:val="0"/>
        <w:bidi w:val="0"/>
        <w:spacing w:line="576" w:lineRule="exact"/>
        <w:ind w:firstLine="600" w:firstLineChars="200"/>
        <w:rPr>
          <w:rStyle w:val="18"/>
          <w:rFonts w:ascii="Times New Roman" w:hAnsi="Times New Roman" w:eastAsia="仿宋" w:cs="Times New Roman"/>
          <w:b w:val="0"/>
          <w:bCs/>
          <w:sz w:val="32"/>
          <w:szCs w:val="32"/>
        </w:rPr>
      </w:pPr>
      <w:r>
        <w:rPr>
          <w:rFonts w:hint="eastAsia" w:ascii="Times New Roman" w:cs="Times New Roman"/>
          <w:lang w:val="en-US" w:eastAsia="zh-CN"/>
        </w:rPr>
        <w:t>1</w:t>
      </w:r>
      <w:r>
        <w:rPr>
          <w:rFonts w:ascii="Times New Roman" w:hAnsi="Times New Roman" w:cs="Times New Roman"/>
        </w:rPr>
        <w:t>.1机关事业单位基本养老保险缴费（05）：</w:t>
      </w:r>
      <w:r>
        <w:rPr>
          <w:rStyle w:val="18"/>
          <w:rFonts w:ascii="Times New Roman" w:hAnsi="Times New Roman" w:eastAsia="仿宋" w:cs="Times New Roman"/>
          <w:b w:val="0"/>
          <w:bCs/>
          <w:sz w:val="32"/>
          <w:szCs w:val="32"/>
        </w:rPr>
        <w:t>支出决算为</w:t>
      </w:r>
      <w:r>
        <w:rPr>
          <w:rStyle w:val="18"/>
          <w:rFonts w:hint="eastAsia" w:ascii="Times New Roman" w:eastAsia="仿宋" w:cs="Times New Roman"/>
          <w:b w:val="0"/>
          <w:bCs/>
          <w:sz w:val="32"/>
          <w:szCs w:val="32"/>
          <w:lang w:val="en-US" w:eastAsia="zh-CN"/>
        </w:rPr>
        <w:t>16.31</w:t>
      </w:r>
      <w:r>
        <w:rPr>
          <w:rStyle w:val="18"/>
          <w:rFonts w:ascii="Times New Roman" w:hAnsi="Times New Roman" w:eastAsia="仿宋" w:cs="Times New Roman"/>
          <w:b w:val="0"/>
          <w:bCs/>
          <w:sz w:val="32"/>
          <w:szCs w:val="32"/>
        </w:rPr>
        <w:t>万元，完成预算100%。</w:t>
      </w:r>
    </w:p>
    <w:p w14:paraId="03112FAE">
      <w:pPr>
        <w:pStyle w:val="6"/>
        <w:pageBreakBefore w:val="0"/>
        <w:widowControl w:val="0"/>
        <w:kinsoku/>
        <w:wordWrap/>
        <w:overflowPunct/>
        <w:topLinePunct w:val="0"/>
        <w:bidi w:val="0"/>
        <w:spacing w:line="576" w:lineRule="exact"/>
        <w:ind w:firstLine="640" w:firstLineChars="200"/>
        <w:rPr>
          <w:rStyle w:val="18"/>
          <w:rFonts w:ascii="Times New Roman" w:hAnsi="Times New Roman" w:eastAsia="仿宋" w:cs="Times New Roman"/>
          <w:b w:val="0"/>
          <w:bCs/>
          <w:sz w:val="32"/>
          <w:szCs w:val="32"/>
        </w:rPr>
      </w:pPr>
      <w:r>
        <w:rPr>
          <w:rStyle w:val="18"/>
          <w:rFonts w:hint="eastAsia" w:ascii="Times New Roman" w:eastAsia="仿宋" w:cs="Times New Roman"/>
          <w:b w:val="0"/>
          <w:bCs/>
          <w:sz w:val="32"/>
          <w:szCs w:val="32"/>
          <w:lang w:val="en-US" w:eastAsia="zh-CN"/>
        </w:rPr>
        <w:t>1</w:t>
      </w:r>
      <w:r>
        <w:rPr>
          <w:rStyle w:val="18"/>
          <w:rFonts w:ascii="Times New Roman" w:hAnsi="Times New Roman" w:eastAsia="仿宋" w:cs="Times New Roman"/>
          <w:b w:val="0"/>
          <w:bCs/>
          <w:sz w:val="32"/>
          <w:szCs w:val="32"/>
        </w:rPr>
        <w:t>.2</w:t>
      </w:r>
      <w:r>
        <w:rPr>
          <w:rFonts w:ascii="Times New Roman" w:hAnsi="Times New Roman" w:cs="Times New Roman"/>
        </w:rPr>
        <w:t>机关事业单位职业年金缴费（06）：</w:t>
      </w:r>
      <w:r>
        <w:rPr>
          <w:rStyle w:val="18"/>
          <w:rFonts w:ascii="Times New Roman" w:hAnsi="Times New Roman" w:eastAsia="仿宋" w:cs="Times New Roman"/>
          <w:b w:val="0"/>
          <w:bCs/>
          <w:sz w:val="32"/>
          <w:szCs w:val="32"/>
        </w:rPr>
        <w:t>支出决算为</w:t>
      </w:r>
      <w:r>
        <w:rPr>
          <w:rStyle w:val="18"/>
          <w:rFonts w:hint="eastAsia" w:ascii="Times New Roman" w:eastAsia="仿宋" w:cs="Times New Roman"/>
          <w:b w:val="0"/>
          <w:bCs/>
          <w:sz w:val="32"/>
          <w:szCs w:val="32"/>
          <w:lang w:val="en-US" w:eastAsia="zh-CN"/>
        </w:rPr>
        <w:t>8.15</w:t>
      </w:r>
      <w:r>
        <w:rPr>
          <w:rStyle w:val="18"/>
          <w:rFonts w:ascii="Times New Roman" w:hAnsi="Times New Roman" w:eastAsia="仿宋" w:cs="Times New Roman"/>
          <w:b w:val="0"/>
          <w:bCs/>
          <w:sz w:val="32"/>
          <w:szCs w:val="32"/>
        </w:rPr>
        <w:t>万元，完成预算100%。</w:t>
      </w:r>
    </w:p>
    <w:p w14:paraId="4B2B2A95">
      <w:pPr>
        <w:pageBreakBefore w:val="0"/>
        <w:widowControl w:val="0"/>
        <w:kinsoku/>
        <w:wordWrap/>
        <w:overflowPunct/>
        <w:topLinePunct w:val="0"/>
        <w:bidi w:val="0"/>
        <w:spacing w:line="576" w:lineRule="exact"/>
        <w:ind w:firstLine="643" w:firstLineChars="200"/>
        <w:rPr>
          <w:rStyle w:val="18"/>
          <w:rFonts w:ascii="Times New Roman" w:hAnsi="Times New Roman" w:eastAsia="仿宋" w:cs="Times New Roman"/>
          <w:b w:val="0"/>
          <w:bCs/>
          <w:sz w:val="32"/>
          <w:szCs w:val="32"/>
        </w:rPr>
      </w:pPr>
      <w:r>
        <w:rPr>
          <w:rStyle w:val="18"/>
          <w:rFonts w:hint="eastAsia" w:eastAsia="仿宋" w:cs="Times New Roman"/>
          <w:bCs/>
          <w:sz w:val="32"/>
          <w:szCs w:val="32"/>
          <w:lang w:val="en-US" w:eastAsia="zh-CN"/>
        </w:rPr>
        <w:t>2</w:t>
      </w:r>
      <w:r>
        <w:rPr>
          <w:rStyle w:val="18"/>
          <w:rFonts w:ascii="Times New Roman" w:hAnsi="Times New Roman" w:eastAsia="仿宋" w:cs="Times New Roman"/>
          <w:bCs/>
          <w:sz w:val="32"/>
          <w:szCs w:val="32"/>
        </w:rPr>
        <w:t>.社会保障和就业（208）</w:t>
      </w:r>
      <w:r>
        <w:rPr>
          <w:rStyle w:val="18"/>
          <w:rFonts w:hint="eastAsia" w:eastAsia="仿宋" w:cs="Times New Roman"/>
          <w:bCs/>
          <w:sz w:val="32"/>
          <w:szCs w:val="32"/>
          <w:lang w:val="en-US" w:eastAsia="zh-CN"/>
        </w:rPr>
        <w:t>抚恤</w:t>
      </w:r>
      <w:r>
        <w:rPr>
          <w:rStyle w:val="18"/>
          <w:rFonts w:ascii="Times New Roman" w:hAnsi="Times New Roman" w:eastAsia="仿宋" w:cs="Times New Roman"/>
          <w:bCs/>
          <w:sz w:val="32"/>
          <w:szCs w:val="32"/>
        </w:rPr>
        <w:t>（0</w:t>
      </w:r>
      <w:r>
        <w:rPr>
          <w:rStyle w:val="18"/>
          <w:rFonts w:hint="eastAsia" w:eastAsia="仿宋" w:cs="Times New Roman"/>
          <w:bCs/>
          <w:sz w:val="32"/>
          <w:szCs w:val="32"/>
          <w:lang w:val="en-US" w:eastAsia="zh-CN"/>
        </w:rPr>
        <w:t>8</w:t>
      </w:r>
      <w:r>
        <w:rPr>
          <w:rStyle w:val="18"/>
          <w:rFonts w:ascii="Times New Roman" w:hAnsi="Times New Roman" w:eastAsia="仿宋" w:cs="Times New Roman"/>
          <w:bCs/>
          <w:sz w:val="32"/>
          <w:szCs w:val="32"/>
        </w:rPr>
        <w:t>）</w:t>
      </w:r>
      <w:r>
        <w:rPr>
          <w:rStyle w:val="18"/>
          <w:rFonts w:hint="eastAsia" w:eastAsia="仿宋" w:cs="Times New Roman"/>
          <w:bCs/>
          <w:sz w:val="32"/>
          <w:szCs w:val="32"/>
          <w:lang w:val="en-US" w:eastAsia="zh-CN"/>
        </w:rPr>
        <w:t>死亡抚恤（01）</w:t>
      </w:r>
      <w:r>
        <w:rPr>
          <w:rStyle w:val="18"/>
          <w:rFonts w:ascii="Times New Roman" w:hAnsi="Times New Roman" w:eastAsia="仿宋" w:cs="Times New Roman"/>
          <w:bCs/>
          <w:sz w:val="32"/>
          <w:szCs w:val="32"/>
        </w:rPr>
        <w:t>，</w:t>
      </w:r>
      <w:r>
        <w:rPr>
          <w:rStyle w:val="18"/>
          <w:rFonts w:ascii="Times New Roman" w:hAnsi="Times New Roman" w:eastAsia="仿宋" w:cs="Times New Roman"/>
          <w:b w:val="0"/>
          <w:bCs/>
          <w:sz w:val="32"/>
          <w:szCs w:val="32"/>
        </w:rPr>
        <w:t>支出决算为</w:t>
      </w:r>
      <w:r>
        <w:rPr>
          <w:rStyle w:val="18"/>
          <w:rFonts w:hint="eastAsia" w:eastAsia="仿宋" w:cs="Times New Roman"/>
          <w:b w:val="0"/>
          <w:bCs/>
          <w:sz w:val="32"/>
          <w:szCs w:val="32"/>
          <w:lang w:val="en-US" w:eastAsia="zh-CN"/>
        </w:rPr>
        <w:t>6.67</w:t>
      </w:r>
      <w:r>
        <w:rPr>
          <w:rStyle w:val="18"/>
          <w:rFonts w:ascii="Times New Roman" w:hAnsi="Times New Roman" w:eastAsia="仿宋" w:cs="Times New Roman"/>
          <w:b w:val="0"/>
          <w:bCs/>
          <w:sz w:val="32"/>
          <w:szCs w:val="32"/>
        </w:rPr>
        <w:t>万元，完成预算100%。</w:t>
      </w:r>
    </w:p>
    <w:p w14:paraId="231821E4">
      <w:pPr>
        <w:pageBreakBefore w:val="0"/>
        <w:widowControl w:val="0"/>
        <w:kinsoku/>
        <w:wordWrap/>
        <w:overflowPunct/>
        <w:topLinePunct w:val="0"/>
        <w:bidi w:val="0"/>
        <w:spacing w:line="576" w:lineRule="exact"/>
        <w:ind w:firstLine="643" w:firstLineChars="200"/>
        <w:rPr>
          <w:rStyle w:val="18"/>
          <w:rFonts w:ascii="Times New Roman" w:hAnsi="Times New Roman" w:eastAsia="仿宋" w:cs="Times New Roman"/>
          <w:b w:val="0"/>
          <w:bCs/>
          <w:sz w:val="32"/>
          <w:szCs w:val="32"/>
        </w:rPr>
      </w:pPr>
      <w:r>
        <w:rPr>
          <w:rStyle w:val="18"/>
          <w:rFonts w:hint="eastAsia" w:eastAsia="仿宋" w:cs="Times New Roman"/>
          <w:bCs/>
          <w:sz w:val="32"/>
          <w:szCs w:val="32"/>
          <w:lang w:val="en-US" w:eastAsia="zh-CN"/>
        </w:rPr>
        <w:t>3</w:t>
      </w:r>
      <w:r>
        <w:rPr>
          <w:rStyle w:val="18"/>
          <w:rFonts w:ascii="Times New Roman" w:hAnsi="Times New Roman" w:eastAsia="仿宋" w:cs="Times New Roman"/>
          <w:bCs/>
          <w:sz w:val="32"/>
          <w:szCs w:val="32"/>
        </w:rPr>
        <w:t>.</w:t>
      </w:r>
      <w:r>
        <w:rPr>
          <w:rFonts w:ascii="Times New Roman" w:hAnsi="Times New Roman" w:eastAsia="仿宋" w:cs="Times New Roman"/>
          <w:b/>
          <w:bCs/>
          <w:sz w:val="32"/>
          <w:szCs w:val="32"/>
        </w:rPr>
        <w:t>卫生健康</w:t>
      </w:r>
      <w:r>
        <w:rPr>
          <w:rStyle w:val="18"/>
          <w:rFonts w:ascii="Times New Roman" w:hAnsi="Times New Roman" w:eastAsia="仿宋" w:cs="Times New Roman"/>
          <w:bCs/>
          <w:sz w:val="32"/>
          <w:szCs w:val="32"/>
        </w:rPr>
        <w:t>（210）行政事业单位医疗（11）</w:t>
      </w:r>
      <w:r>
        <w:rPr>
          <w:rStyle w:val="18"/>
          <w:rFonts w:hint="eastAsia" w:eastAsia="仿宋" w:cs="Times New Roman"/>
          <w:bCs/>
          <w:sz w:val="32"/>
          <w:szCs w:val="32"/>
          <w:lang w:eastAsia="zh-CN"/>
        </w:rPr>
        <w:t>：</w:t>
      </w:r>
      <w:r>
        <w:rPr>
          <w:rStyle w:val="18"/>
          <w:rFonts w:ascii="Times New Roman" w:hAnsi="Times New Roman" w:eastAsia="仿宋" w:cs="Times New Roman"/>
          <w:b w:val="0"/>
          <w:bCs/>
          <w:sz w:val="32"/>
          <w:szCs w:val="32"/>
        </w:rPr>
        <w:t>支出决算为</w:t>
      </w:r>
      <w:r>
        <w:rPr>
          <w:rStyle w:val="18"/>
          <w:rFonts w:hint="eastAsia" w:eastAsia="仿宋" w:cs="Times New Roman"/>
          <w:b w:val="0"/>
          <w:bCs/>
          <w:sz w:val="32"/>
          <w:szCs w:val="32"/>
          <w:lang w:val="en-US" w:eastAsia="zh-CN"/>
        </w:rPr>
        <w:t>11.87</w:t>
      </w:r>
      <w:r>
        <w:rPr>
          <w:rStyle w:val="18"/>
          <w:rFonts w:ascii="Times New Roman" w:hAnsi="Times New Roman" w:eastAsia="仿宋" w:cs="Times New Roman"/>
          <w:b w:val="0"/>
          <w:bCs/>
          <w:sz w:val="32"/>
          <w:szCs w:val="32"/>
        </w:rPr>
        <w:t>万元，完成预算100%。</w:t>
      </w:r>
    </w:p>
    <w:p w14:paraId="012A6C86">
      <w:pPr>
        <w:pStyle w:val="6"/>
        <w:pageBreakBefore w:val="0"/>
        <w:widowControl w:val="0"/>
        <w:kinsoku/>
        <w:wordWrap/>
        <w:overflowPunct/>
        <w:topLinePunct w:val="0"/>
        <w:bidi w:val="0"/>
        <w:spacing w:line="576" w:lineRule="exact"/>
        <w:ind w:firstLine="600" w:firstLineChars="200"/>
        <w:rPr>
          <w:rStyle w:val="18"/>
          <w:rFonts w:ascii="Times New Roman" w:hAnsi="Times New Roman" w:eastAsia="仿宋" w:cs="Times New Roman"/>
          <w:b w:val="0"/>
          <w:bCs/>
          <w:sz w:val="32"/>
          <w:szCs w:val="32"/>
        </w:rPr>
      </w:pPr>
      <w:r>
        <w:rPr>
          <w:rFonts w:hint="eastAsia" w:ascii="Times New Roman" w:cs="Times New Roman"/>
          <w:lang w:val="en-US" w:eastAsia="zh-CN"/>
        </w:rPr>
        <w:t>3</w:t>
      </w:r>
      <w:r>
        <w:rPr>
          <w:rFonts w:ascii="Times New Roman" w:hAnsi="Times New Roman" w:cs="Times New Roman"/>
        </w:rPr>
        <w:t>.1行政单位医疗（01）：</w:t>
      </w:r>
      <w:r>
        <w:rPr>
          <w:rStyle w:val="18"/>
          <w:rFonts w:ascii="Times New Roman" w:hAnsi="Times New Roman" w:eastAsia="仿宋" w:cs="Times New Roman"/>
          <w:b w:val="0"/>
          <w:bCs/>
          <w:sz w:val="32"/>
          <w:szCs w:val="32"/>
        </w:rPr>
        <w:t>支出决算为</w:t>
      </w:r>
      <w:r>
        <w:rPr>
          <w:rStyle w:val="18"/>
          <w:rFonts w:hint="eastAsia" w:ascii="Times New Roman" w:eastAsia="仿宋" w:cs="Times New Roman"/>
          <w:b w:val="0"/>
          <w:bCs/>
          <w:sz w:val="32"/>
          <w:szCs w:val="32"/>
          <w:lang w:val="en-US" w:eastAsia="zh-CN"/>
        </w:rPr>
        <w:t>7.78</w:t>
      </w:r>
      <w:r>
        <w:rPr>
          <w:rStyle w:val="18"/>
          <w:rFonts w:ascii="Times New Roman" w:hAnsi="Times New Roman" w:eastAsia="仿宋" w:cs="Times New Roman"/>
          <w:b w:val="0"/>
          <w:bCs/>
          <w:sz w:val="32"/>
          <w:szCs w:val="32"/>
        </w:rPr>
        <w:t>万元，完成预算100%。</w:t>
      </w:r>
    </w:p>
    <w:p w14:paraId="1A5B343F">
      <w:pPr>
        <w:pStyle w:val="6"/>
        <w:pageBreakBefore w:val="0"/>
        <w:widowControl w:val="0"/>
        <w:kinsoku/>
        <w:wordWrap/>
        <w:overflowPunct/>
        <w:topLinePunct w:val="0"/>
        <w:bidi w:val="0"/>
        <w:spacing w:line="576" w:lineRule="exact"/>
        <w:ind w:firstLine="640" w:firstLineChars="200"/>
        <w:rPr>
          <w:rStyle w:val="18"/>
          <w:rFonts w:ascii="Times New Roman" w:hAnsi="Times New Roman" w:eastAsia="仿宋" w:cs="Times New Roman"/>
          <w:b w:val="0"/>
          <w:bCs/>
          <w:sz w:val="32"/>
          <w:szCs w:val="32"/>
        </w:rPr>
      </w:pPr>
      <w:r>
        <w:rPr>
          <w:rStyle w:val="18"/>
          <w:rFonts w:hint="eastAsia" w:ascii="Times New Roman" w:eastAsia="仿宋" w:cs="Times New Roman"/>
          <w:b w:val="0"/>
          <w:bCs/>
          <w:sz w:val="32"/>
          <w:szCs w:val="32"/>
          <w:lang w:val="en-US" w:eastAsia="zh-CN"/>
        </w:rPr>
        <w:t>3</w:t>
      </w:r>
      <w:r>
        <w:rPr>
          <w:rStyle w:val="18"/>
          <w:rFonts w:ascii="Times New Roman" w:hAnsi="Times New Roman" w:eastAsia="仿宋" w:cs="Times New Roman"/>
          <w:b w:val="0"/>
          <w:bCs/>
          <w:sz w:val="32"/>
          <w:szCs w:val="32"/>
        </w:rPr>
        <w:t>.</w:t>
      </w:r>
      <w:r>
        <w:rPr>
          <w:rStyle w:val="18"/>
          <w:rFonts w:hint="eastAsia" w:ascii="Times New Roman" w:eastAsia="仿宋" w:cs="Times New Roman"/>
          <w:b w:val="0"/>
          <w:bCs/>
          <w:sz w:val="32"/>
          <w:szCs w:val="32"/>
          <w:lang w:val="en-US" w:eastAsia="zh-CN"/>
        </w:rPr>
        <w:t>2</w:t>
      </w:r>
      <w:r>
        <w:rPr>
          <w:rStyle w:val="18"/>
          <w:rFonts w:ascii="Times New Roman" w:hAnsi="Times New Roman" w:eastAsia="仿宋" w:cs="Times New Roman"/>
          <w:b w:val="0"/>
          <w:bCs/>
          <w:sz w:val="32"/>
          <w:szCs w:val="32"/>
        </w:rPr>
        <w:t>公务员医疗补助（03）：支出决算为</w:t>
      </w:r>
      <w:r>
        <w:rPr>
          <w:rStyle w:val="18"/>
          <w:rFonts w:hint="eastAsia" w:ascii="Times New Roman" w:eastAsia="仿宋" w:cs="Times New Roman"/>
          <w:b w:val="0"/>
          <w:bCs/>
          <w:sz w:val="32"/>
          <w:szCs w:val="32"/>
          <w:lang w:val="en-US" w:eastAsia="zh-CN"/>
        </w:rPr>
        <w:t>4.09</w:t>
      </w:r>
      <w:r>
        <w:rPr>
          <w:rStyle w:val="18"/>
          <w:rFonts w:ascii="Times New Roman" w:hAnsi="Times New Roman" w:eastAsia="仿宋" w:cs="Times New Roman"/>
          <w:b w:val="0"/>
          <w:bCs/>
          <w:sz w:val="32"/>
          <w:szCs w:val="32"/>
        </w:rPr>
        <w:t>万元，完成预算100%。</w:t>
      </w:r>
    </w:p>
    <w:p w14:paraId="270F393E">
      <w:pPr>
        <w:pageBreakBefore w:val="0"/>
        <w:widowControl w:val="0"/>
        <w:kinsoku/>
        <w:wordWrap/>
        <w:overflowPunct/>
        <w:topLinePunct w:val="0"/>
        <w:bidi w:val="0"/>
        <w:spacing w:line="576" w:lineRule="exact"/>
        <w:ind w:firstLine="643" w:firstLineChars="200"/>
        <w:rPr>
          <w:rStyle w:val="18"/>
          <w:rFonts w:ascii="Times New Roman" w:hAnsi="Times New Roman" w:eastAsia="仿宋" w:cs="Times New Roman"/>
          <w:b w:val="0"/>
          <w:bCs/>
          <w:sz w:val="32"/>
          <w:szCs w:val="32"/>
        </w:rPr>
      </w:pPr>
      <w:r>
        <w:rPr>
          <w:rStyle w:val="18"/>
          <w:rFonts w:hint="eastAsia" w:eastAsia="仿宋" w:cs="Times New Roman"/>
          <w:bCs/>
          <w:sz w:val="32"/>
          <w:szCs w:val="32"/>
          <w:lang w:val="en-US" w:eastAsia="zh-CN"/>
        </w:rPr>
        <w:t>4</w:t>
      </w:r>
      <w:r>
        <w:rPr>
          <w:rStyle w:val="18"/>
          <w:rFonts w:ascii="Times New Roman" w:hAnsi="Times New Roman" w:eastAsia="仿宋" w:cs="Times New Roman"/>
          <w:bCs/>
          <w:sz w:val="32"/>
          <w:szCs w:val="32"/>
        </w:rPr>
        <w:t>.</w:t>
      </w:r>
      <w:r>
        <w:rPr>
          <w:rFonts w:hint="eastAsia" w:ascii="Times New Roman" w:hAnsi="Times New Roman" w:eastAsia="仿宋" w:cs="Times New Roman"/>
          <w:b/>
          <w:bCs/>
          <w:sz w:val="32"/>
          <w:szCs w:val="32"/>
        </w:rPr>
        <w:t>农林水支出</w:t>
      </w:r>
      <w:r>
        <w:rPr>
          <w:rFonts w:hint="eastAsia" w:ascii="Times New Roman" w:hAnsi="Times New Roman" w:eastAsia="仿宋" w:cs="Times New Roman"/>
          <w:b/>
          <w:bCs/>
          <w:sz w:val="32"/>
          <w:szCs w:val="32"/>
          <w:lang w:eastAsia="zh-CN"/>
        </w:rPr>
        <w:t>（</w:t>
      </w:r>
      <w:r>
        <w:rPr>
          <w:rStyle w:val="18"/>
          <w:rFonts w:hint="eastAsia" w:ascii="Times New Roman" w:hAnsi="Times New Roman" w:eastAsia="仿宋" w:cs="Times New Roman"/>
          <w:bCs/>
          <w:sz w:val="32"/>
          <w:szCs w:val="32"/>
          <w:lang w:val="en-US" w:eastAsia="zh-CN"/>
        </w:rPr>
        <w:t>213</w:t>
      </w:r>
      <w:r>
        <w:rPr>
          <w:rStyle w:val="18"/>
          <w:rFonts w:ascii="Times New Roman" w:hAnsi="Times New Roman" w:eastAsia="仿宋" w:cs="Times New Roman"/>
          <w:bCs/>
          <w:sz w:val="32"/>
          <w:szCs w:val="32"/>
        </w:rPr>
        <w:t>）</w:t>
      </w:r>
      <w:r>
        <w:rPr>
          <w:rStyle w:val="18"/>
          <w:rFonts w:hint="eastAsia" w:ascii="Times New Roman" w:hAnsi="Times New Roman" w:eastAsia="仿宋" w:cs="Times New Roman"/>
          <w:bCs/>
          <w:sz w:val="32"/>
          <w:szCs w:val="32"/>
        </w:rPr>
        <w:t>农业农村</w:t>
      </w:r>
      <w:r>
        <w:rPr>
          <w:rStyle w:val="18"/>
          <w:rFonts w:ascii="Times New Roman" w:hAnsi="Times New Roman" w:eastAsia="仿宋" w:cs="Times New Roman"/>
          <w:bCs/>
          <w:sz w:val="32"/>
          <w:szCs w:val="32"/>
        </w:rPr>
        <w:t>（</w:t>
      </w:r>
      <w:r>
        <w:rPr>
          <w:rStyle w:val="18"/>
          <w:rFonts w:hint="eastAsia" w:ascii="Times New Roman" w:hAnsi="Times New Roman" w:eastAsia="仿宋" w:cs="Times New Roman"/>
          <w:bCs/>
          <w:sz w:val="32"/>
          <w:szCs w:val="32"/>
          <w:lang w:val="en-US" w:eastAsia="zh-CN"/>
        </w:rPr>
        <w:t>01</w:t>
      </w:r>
      <w:r>
        <w:rPr>
          <w:rStyle w:val="18"/>
          <w:rFonts w:ascii="Times New Roman" w:hAnsi="Times New Roman" w:eastAsia="仿宋" w:cs="Times New Roman"/>
          <w:bCs/>
          <w:sz w:val="32"/>
          <w:szCs w:val="32"/>
        </w:rPr>
        <w:t>）</w:t>
      </w:r>
      <w:r>
        <w:rPr>
          <w:rStyle w:val="18"/>
          <w:rFonts w:hint="eastAsia" w:ascii="Times New Roman" w:hAnsi="Times New Roman" w:eastAsia="仿宋" w:cs="Times New Roman"/>
          <w:bCs/>
          <w:sz w:val="32"/>
          <w:szCs w:val="32"/>
        </w:rPr>
        <w:t>其他农业农村支出（</w:t>
      </w:r>
      <w:r>
        <w:rPr>
          <w:rStyle w:val="18"/>
          <w:rFonts w:hint="eastAsia" w:eastAsia="仿宋" w:cs="Times New Roman"/>
          <w:bCs/>
          <w:sz w:val="32"/>
          <w:szCs w:val="32"/>
          <w:lang w:val="en-US" w:eastAsia="zh-CN"/>
        </w:rPr>
        <w:t>99</w:t>
      </w:r>
      <w:r>
        <w:rPr>
          <w:rStyle w:val="18"/>
          <w:rFonts w:hint="eastAsia" w:ascii="Times New Roman" w:hAnsi="Times New Roman" w:eastAsia="仿宋" w:cs="Times New Roman"/>
          <w:bCs/>
          <w:sz w:val="32"/>
          <w:szCs w:val="32"/>
        </w:rPr>
        <w:t>）</w:t>
      </w:r>
      <w:r>
        <w:rPr>
          <w:rStyle w:val="18"/>
          <w:rFonts w:hint="eastAsia" w:eastAsia="仿宋" w:cs="Times New Roman"/>
          <w:bCs/>
          <w:sz w:val="32"/>
          <w:szCs w:val="32"/>
          <w:lang w:eastAsia="zh-CN"/>
        </w:rPr>
        <w:t>：</w:t>
      </w:r>
      <w:r>
        <w:rPr>
          <w:rStyle w:val="18"/>
          <w:rFonts w:ascii="Times New Roman" w:hAnsi="Times New Roman" w:eastAsia="仿宋" w:cs="Times New Roman"/>
          <w:b w:val="0"/>
          <w:bCs/>
          <w:sz w:val="32"/>
          <w:szCs w:val="32"/>
        </w:rPr>
        <w:t>支出决算为</w:t>
      </w:r>
      <w:r>
        <w:rPr>
          <w:rStyle w:val="18"/>
          <w:rFonts w:hint="eastAsia" w:eastAsia="仿宋" w:cs="Times New Roman"/>
          <w:b w:val="0"/>
          <w:bCs/>
          <w:sz w:val="32"/>
          <w:szCs w:val="32"/>
          <w:lang w:val="en-US" w:eastAsia="zh-CN"/>
        </w:rPr>
        <w:t>15</w:t>
      </w:r>
      <w:r>
        <w:rPr>
          <w:rStyle w:val="18"/>
          <w:rFonts w:ascii="Times New Roman" w:hAnsi="Times New Roman" w:eastAsia="仿宋" w:cs="Times New Roman"/>
          <w:b w:val="0"/>
          <w:bCs/>
          <w:sz w:val="32"/>
          <w:szCs w:val="32"/>
        </w:rPr>
        <w:t>万元，完成预算100%。</w:t>
      </w:r>
    </w:p>
    <w:p w14:paraId="08D75198">
      <w:pPr>
        <w:pageBreakBefore w:val="0"/>
        <w:widowControl w:val="0"/>
        <w:kinsoku/>
        <w:wordWrap/>
        <w:overflowPunct/>
        <w:topLinePunct w:val="0"/>
        <w:bidi w:val="0"/>
        <w:spacing w:line="576" w:lineRule="exact"/>
        <w:ind w:firstLine="643" w:firstLineChars="200"/>
        <w:rPr>
          <w:rStyle w:val="18"/>
          <w:rFonts w:ascii="Times New Roman" w:hAnsi="Times New Roman" w:eastAsia="仿宋" w:cs="Times New Roman"/>
          <w:b w:val="0"/>
          <w:bCs/>
          <w:sz w:val="32"/>
          <w:szCs w:val="32"/>
        </w:rPr>
      </w:pPr>
      <w:r>
        <w:rPr>
          <w:rStyle w:val="18"/>
          <w:rFonts w:hint="eastAsia" w:eastAsia="仿宋" w:cs="Times New Roman"/>
          <w:bCs/>
          <w:sz w:val="32"/>
          <w:szCs w:val="32"/>
          <w:lang w:val="en-US" w:eastAsia="zh-CN"/>
        </w:rPr>
        <w:t>5</w:t>
      </w:r>
      <w:r>
        <w:rPr>
          <w:rStyle w:val="18"/>
          <w:rFonts w:ascii="Times New Roman" w:hAnsi="Times New Roman" w:eastAsia="仿宋" w:cs="Times New Roman"/>
          <w:bCs/>
          <w:sz w:val="32"/>
          <w:szCs w:val="32"/>
        </w:rPr>
        <w:t>.</w:t>
      </w:r>
      <w:r>
        <w:rPr>
          <w:rFonts w:hint="eastAsia" w:ascii="Times New Roman" w:hAnsi="Times New Roman" w:eastAsia="仿宋" w:cs="Times New Roman"/>
          <w:b/>
          <w:bCs/>
          <w:sz w:val="32"/>
          <w:szCs w:val="32"/>
        </w:rPr>
        <w:t>商业服务业等支出</w:t>
      </w:r>
      <w:r>
        <w:rPr>
          <w:rFonts w:hint="eastAsia" w:ascii="Times New Roman" w:hAnsi="Times New Roman" w:eastAsia="仿宋" w:cs="Times New Roman"/>
          <w:b/>
          <w:bCs/>
          <w:sz w:val="32"/>
          <w:szCs w:val="32"/>
          <w:lang w:eastAsia="zh-CN"/>
        </w:rPr>
        <w:t>（</w:t>
      </w:r>
      <w:r>
        <w:rPr>
          <w:rFonts w:hint="eastAsia" w:ascii="Times New Roman" w:hAnsi="Times New Roman" w:eastAsia="仿宋" w:cs="Times New Roman"/>
          <w:b/>
          <w:bCs/>
          <w:sz w:val="32"/>
          <w:szCs w:val="32"/>
          <w:lang w:val="en-US" w:eastAsia="zh-CN"/>
        </w:rPr>
        <w:t>216</w:t>
      </w:r>
      <w:r>
        <w:rPr>
          <w:rStyle w:val="18"/>
          <w:rFonts w:ascii="Times New Roman" w:hAnsi="Times New Roman" w:eastAsia="仿宋" w:cs="Times New Roman"/>
          <w:bCs/>
          <w:sz w:val="32"/>
          <w:szCs w:val="32"/>
        </w:rPr>
        <w:t>）</w:t>
      </w:r>
      <w:r>
        <w:rPr>
          <w:rStyle w:val="18"/>
          <w:rFonts w:hint="eastAsia" w:ascii="Times New Roman" w:hAnsi="Times New Roman" w:eastAsia="仿宋" w:cs="Times New Roman"/>
          <w:bCs/>
          <w:sz w:val="32"/>
          <w:szCs w:val="32"/>
        </w:rPr>
        <w:t>商业流通事务</w:t>
      </w:r>
      <w:r>
        <w:rPr>
          <w:rStyle w:val="18"/>
          <w:rFonts w:ascii="Times New Roman" w:hAnsi="Times New Roman" w:eastAsia="仿宋" w:cs="Times New Roman"/>
          <w:bCs/>
          <w:sz w:val="32"/>
          <w:szCs w:val="32"/>
        </w:rPr>
        <w:t>（</w:t>
      </w:r>
      <w:r>
        <w:rPr>
          <w:rStyle w:val="18"/>
          <w:rFonts w:hint="eastAsia" w:ascii="Times New Roman" w:hAnsi="Times New Roman" w:eastAsia="仿宋" w:cs="Times New Roman"/>
          <w:bCs/>
          <w:sz w:val="32"/>
          <w:szCs w:val="32"/>
          <w:lang w:val="en-US" w:eastAsia="zh-CN"/>
        </w:rPr>
        <w:t>02</w:t>
      </w:r>
      <w:r>
        <w:rPr>
          <w:rStyle w:val="18"/>
          <w:rFonts w:ascii="Times New Roman" w:hAnsi="Times New Roman" w:eastAsia="仿宋" w:cs="Times New Roman"/>
          <w:bCs/>
          <w:sz w:val="32"/>
          <w:szCs w:val="32"/>
        </w:rPr>
        <w:t>）</w:t>
      </w:r>
      <w:r>
        <w:rPr>
          <w:rFonts w:hint="eastAsia" w:ascii="Times New Roman" w:hAnsi="Times New Roman" w:cs="Times New Roman"/>
        </w:rPr>
        <w:t xml:space="preserve"> </w:t>
      </w:r>
      <w:r>
        <w:rPr>
          <w:rStyle w:val="18"/>
          <w:rFonts w:hint="eastAsia" w:ascii="Times New Roman" w:hAnsi="Times New Roman" w:eastAsia="仿宋" w:cs="Times New Roman"/>
          <w:bCs/>
          <w:sz w:val="32"/>
          <w:szCs w:val="32"/>
        </w:rPr>
        <w:t>行政运行</w:t>
      </w:r>
      <w:r>
        <w:rPr>
          <w:rStyle w:val="18"/>
          <w:rFonts w:ascii="Times New Roman" w:hAnsi="Times New Roman" w:eastAsia="仿宋" w:cs="Times New Roman"/>
          <w:bCs/>
          <w:sz w:val="32"/>
          <w:szCs w:val="32"/>
        </w:rPr>
        <w:t>（01）</w:t>
      </w:r>
      <w:r>
        <w:rPr>
          <w:rStyle w:val="18"/>
          <w:rFonts w:hint="eastAsia" w:eastAsia="仿宋" w:cs="Times New Roman"/>
          <w:bCs/>
          <w:sz w:val="32"/>
          <w:szCs w:val="32"/>
          <w:lang w:eastAsia="zh-CN"/>
        </w:rPr>
        <w:t>：</w:t>
      </w:r>
      <w:r>
        <w:rPr>
          <w:rStyle w:val="18"/>
          <w:rFonts w:ascii="Times New Roman" w:hAnsi="Times New Roman" w:eastAsia="仿宋" w:cs="Times New Roman"/>
          <w:b w:val="0"/>
          <w:bCs/>
          <w:sz w:val="32"/>
          <w:szCs w:val="32"/>
        </w:rPr>
        <w:t>支出决算为</w:t>
      </w:r>
      <w:r>
        <w:rPr>
          <w:rStyle w:val="18"/>
          <w:rFonts w:hint="eastAsia" w:eastAsia="仿宋" w:cs="Times New Roman"/>
          <w:b w:val="0"/>
          <w:bCs/>
          <w:sz w:val="32"/>
          <w:szCs w:val="32"/>
          <w:lang w:val="en-US" w:eastAsia="zh-CN"/>
        </w:rPr>
        <w:t>141.03</w:t>
      </w:r>
      <w:r>
        <w:rPr>
          <w:rStyle w:val="18"/>
          <w:rFonts w:ascii="Times New Roman" w:hAnsi="Times New Roman" w:eastAsia="仿宋" w:cs="Times New Roman"/>
          <w:b w:val="0"/>
          <w:bCs/>
          <w:sz w:val="32"/>
          <w:szCs w:val="32"/>
        </w:rPr>
        <w:t>万元，完成预算100%。</w:t>
      </w:r>
    </w:p>
    <w:p w14:paraId="3F31085F">
      <w:pPr>
        <w:pageBreakBefore w:val="0"/>
        <w:widowControl w:val="0"/>
        <w:kinsoku/>
        <w:wordWrap/>
        <w:overflowPunct/>
        <w:topLinePunct w:val="0"/>
        <w:bidi w:val="0"/>
        <w:spacing w:line="576" w:lineRule="exact"/>
        <w:ind w:firstLine="643" w:firstLineChars="200"/>
        <w:rPr>
          <w:rStyle w:val="18"/>
          <w:rFonts w:ascii="Times New Roman" w:hAnsi="Times New Roman" w:eastAsia="仿宋" w:cs="Times New Roman"/>
          <w:b w:val="0"/>
          <w:bCs/>
          <w:sz w:val="32"/>
          <w:szCs w:val="32"/>
        </w:rPr>
      </w:pPr>
      <w:r>
        <w:rPr>
          <w:rStyle w:val="18"/>
          <w:rFonts w:hint="eastAsia" w:eastAsia="仿宋" w:cs="Times New Roman"/>
          <w:bCs/>
          <w:sz w:val="32"/>
          <w:szCs w:val="32"/>
          <w:lang w:val="en-US" w:eastAsia="zh-CN"/>
        </w:rPr>
        <w:t>6</w:t>
      </w:r>
      <w:r>
        <w:rPr>
          <w:rStyle w:val="18"/>
          <w:rFonts w:ascii="Times New Roman" w:hAnsi="Times New Roman" w:eastAsia="仿宋" w:cs="Times New Roman"/>
          <w:bCs/>
          <w:sz w:val="32"/>
          <w:szCs w:val="32"/>
        </w:rPr>
        <w:t>.</w:t>
      </w:r>
      <w:r>
        <w:rPr>
          <w:rFonts w:ascii="Times New Roman" w:hAnsi="Times New Roman" w:eastAsia="仿宋" w:cs="Times New Roman"/>
          <w:b/>
          <w:bCs/>
          <w:sz w:val="32"/>
          <w:szCs w:val="32"/>
        </w:rPr>
        <w:t>住房保障</w:t>
      </w:r>
      <w:r>
        <w:rPr>
          <w:rStyle w:val="18"/>
          <w:rFonts w:ascii="Times New Roman" w:hAnsi="Times New Roman" w:eastAsia="仿宋" w:cs="Times New Roman"/>
          <w:bCs/>
          <w:sz w:val="32"/>
          <w:szCs w:val="32"/>
        </w:rPr>
        <w:t>（221）住房改革（02）住房公积金（01）</w:t>
      </w:r>
      <w:r>
        <w:rPr>
          <w:rStyle w:val="18"/>
          <w:rFonts w:hint="eastAsia" w:eastAsia="仿宋" w:cs="Times New Roman"/>
          <w:bCs/>
          <w:sz w:val="32"/>
          <w:szCs w:val="32"/>
          <w:lang w:eastAsia="zh-CN"/>
        </w:rPr>
        <w:t>：</w:t>
      </w:r>
      <w:r>
        <w:rPr>
          <w:rStyle w:val="18"/>
          <w:rFonts w:ascii="Times New Roman" w:hAnsi="Times New Roman" w:eastAsia="仿宋" w:cs="Times New Roman"/>
          <w:b w:val="0"/>
          <w:bCs/>
          <w:sz w:val="32"/>
          <w:szCs w:val="32"/>
        </w:rPr>
        <w:t>支出决算为</w:t>
      </w:r>
      <w:r>
        <w:rPr>
          <w:rStyle w:val="18"/>
          <w:rFonts w:hint="eastAsia" w:eastAsia="仿宋" w:cs="Times New Roman"/>
          <w:b w:val="0"/>
          <w:bCs/>
          <w:sz w:val="32"/>
          <w:szCs w:val="32"/>
          <w:lang w:val="en-US" w:eastAsia="zh-CN"/>
        </w:rPr>
        <w:t>12.84</w:t>
      </w:r>
      <w:r>
        <w:rPr>
          <w:rStyle w:val="18"/>
          <w:rFonts w:ascii="Times New Roman" w:hAnsi="Times New Roman" w:eastAsia="仿宋" w:cs="Times New Roman"/>
          <w:b w:val="0"/>
          <w:bCs/>
          <w:sz w:val="32"/>
          <w:szCs w:val="32"/>
        </w:rPr>
        <w:t>万元，完成预算100%。</w:t>
      </w:r>
    </w:p>
    <w:p w14:paraId="7674D726">
      <w:pPr>
        <w:pageBreakBefore w:val="0"/>
        <w:widowControl w:val="0"/>
        <w:tabs>
          <w:tab w:val="right" w:pos="8306"/>
        </w:tabs>
        <w:kinsoku/>
        <w:wordWrap/>
        <w:overflowPunct/>
        <w:topLinePunct w:val="0"/>
        <w:bidi w:val="0"/>
        <w:spacing w:line="576" w:lineRule="exact"/>
        <w:ind w:firstLine="640"/>
        <w:outlineLvl w:val="1"/>
        <w:rPr>
          <w:rStyle w:val="21"/>
          <w:rFonts w:ascii="Times New Roman" w:hAnsi="Times New Roman" w:cs="Times New Roman"/>
        </w:rPr>
      </w:pPr>
      <w:bookmarkStart w:id="55" w:name="_Toc15377214"/>
      <w:bookmarkStart w:id="56" w:name="_Toc15396608"/>
      <w:bookmarkStart w:id="57" w:name="_Toc26843617"/>
      <w:r>
        <w:rPr>
          <w:rFonts w:ascii="Times New Roman" w:hAnsi="Times New Roman" w:eastAsia="黑体" w:cs="Times New Roman"/>
          <w:color w:val="auto"/>
          <w:sz w:val="32"/>
          <w:szCs w:val="32"/>
        </w:rPr>
        <w:t>六</w:t>
      </w:r>
      <w:r>
        <w:rPr>
          <w:rFonts w:ascii="Times New Roman" w:hAnsi="Times New Roman" w:eastAsia="黑体" w:cs="Times New Roman"/>
          <w:b/>
          <w:color w:val="auto"/>
          <w:sz w:val="32"/>
          <w:szCs w:val="32"/>
        </w:rPr>
        <w:t>、一</w:t>
      </w:r>
      <w:r>
        <w:rPr>
          <w:rStyle w:val="21"/>
          <w:rFonts w:ascii="Times New Roman" w:hAnsi="Times New Roman" w:eastAsia="黑体" w:cs="Times New Roman"/>
          <w:b w:val="0"/>
          <w:color w:val="auto"/>
        </w:rPr>
        <w:t>般公共预算财政拨款基本支出决算情况说明</w:t>
      </w:r>
      <w:bookmarkEnd w:id="55"/>
      <w:bookmarkEnd w:id="56"/>
      <w:r>
        <w:rPr>
          <w:rStyle w:val="21"/>
          <w:rFonts w:ascii="Times New Roman" w:hAnsi="Times New Roman" w:eastAsia="黑体" w:cs="Times New Roman"/>
          <w:b w:val="0"/>
        </w:rPr>
        <w:tab/>
      </w:r>
      <w:bookmarkEnd w:id="57"/>
    </w:p>
    <w:p w14:paraId="106DE30E">
      <w:pPr>
        <w:pageBreakBefore w:val="0"/>
        <w:widowControl w:val="0"/>
        <w:kinsoku/>
        <w:wordWrap/>
        <w:overflowPunct/>
        <w:topLinePunct w:val="0"/>
        <w:bidi w:val="0"/>
        <w:spacing w:line="576" w:lineRule="exact"/>
        <w:ind w:firstLine="645"/>
        <w:rPr>
          <w:rFonts w:ascii="Times New Roman" w:hAnsi="Times New Roman" w:eastAsia="仿宋_GB2312" w:cs="Times New Roman"/>
          <w:sz w:val="32"/>
          <w:szCs w:val="32"/>
        </w:rPr>
      </w:pPr>
      <w:r>
        <w:rPr>
          <w:rFonts w:hint="eastAsia" w:eastAsia="仿宋_GB2312" w:cs="Times New Roman"/>
          <w:sz w:val="32"/>
          <w:szCs w:val="32"/>
          <w:lang w:eastAsia="zh-CN"/>
        </w:rPr>
        <w:t>202</w:t>
      </w:r>
      <w:r>
        <w:rPr>
          <w:rFonts w:hint="eastAsia" w:eastAsia="仿宋_GB2312" w:cs="Times New Roman"/>
          <w:sz w:val="32"/>
          <w:szCs w:val="32"/>
          <w:lang w:val="en-US" w:eastAsia="zh-CN"/>
        </w:rPr>
        <w:t>4</w:t>
      </w:r>
      <w:r>
        <w:rPr>
          <w:rFonts w:hint="eastAsia" w:eastAsia="仿宋_GB2312" w:cs="Times New Roman"/>
          <w:sz w:val="32"/>
          <w:szCs w:val="32"/>
          <w:lang w:eastAsia="zh-CN"/>
        </w:rPr>
        <w:t>年</w:t>
      </w:r>
      <w:r>
        <w:rPr>
          <w:rFonts w:ascii="Times New Roman" w:hAnsi="Times New Roman" w:eastAsia="仿宋_GB2312" w:cs="Times New Roman"/>
          <w:sz w:val="32"/>
          <w:szCs w:val="32"/>
        </w:rPr>
        <w:t>一般公共预算财政拨款基本支出</w:t>
      </w:r>
      <w:r>
        <w:rPr>
          <w:rFonts w:hint="eastAsia" w:eastAsia="仿宋_GB2312" w:cs="Times New Roman"/>
          <w:sz w:val="32"/>
          <w:szCs w:val="32"/>
          <w:lang w:val="en-US" w:eastAsia="zh-CN"/>
        </w:rPr>
        <w:t>196.87</w:t>
      </w:r>
      <w:r>
        <w:rPr>
          <w:rFonts w:ascii="Times New Roman" w:hAnsi="Times New Roman" w:eastAsia="仿宋_GB2312" w:cs="Times New Roman"/>
          <w:sz w:val="32"/>
          <w:szCs w:val="32"/>
        </w:rPr>
        <w:t>万元，其中：</w:t>
      </w:r>
    </w:p>
    <w:p w14:paraId="05377BD3">
      <w:pPr>
        <w:pageBreakBefore w:val="0"/>
        <w:widowControl w:val="0"/>
        <w:kinsoku/>
        <w:wordWrap/>
        <w:overflowPunct/>
        <w:topLinePunct w:val="0"/>
        <w:bidi w:val="0"/>
        <w:spacing w:line="576" w:lineRule="exact"/>
        <w:ind w:firstLine="645"/>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人员经费</w:t>
      </w:r>
      <w:r>
        <w:rPr>
          <w:rFonts w:hint="eastAsia" w:eastAsia="仿宋_GB2312" w:cs="Times New Roman"/>
          <w:sz w:val="32"/>
          <w:szCs w:val="32"/>
          <w:lang w:val="en-US" w:eastAsia="zh-CN"/>
        </w:rPr>
        <w:t>185.55</w:t>
      </w:r>
      <w:r>
        <w:rPr>
          <w:rFonts w:hint="eastAsia" w:ascii="Times New Roman" w:hAnsi="Times New Roman" w:eastAsia="仿宋_GB2312" w:cs="Times New Roman"/>
          <w:sz w:val="32"/>
          <w:szCs w:val="32"/>
        </w:rPr>
        <w:t>万元，主要包括：基本工资</w:t>
      </w:r>
      <w:r>
        <w:rPr>
          <w:rFonts w:hint="eastAsia" w:eastAsia="仿宋_GB2312" w:cs="Times New Roman"/>
          <w:sz w:val="32"/>
          <w:szCs w:val="32"/>
          <w:lang w:val="en-US" w:eastAsia="zh-CN"/>
        </w:rPr>
        <w:t>33.04</w:t>
      </w:r>
      <w:r>
        <w:rPr>
          <w:rFonts w:hint="eastAsia" w:ascii="Times New Roman" w:hAnsi="Times New Roman" w:eastAsia="仿宋_GB2312" w:cs="Times New Roman"/>
          <w:sz w:val="32"/>
          <w:szCs w:val="32"/>
        </w:rPr>
        <w:t>万元、津贴补贴</w:t>
      </w:r>
      <w:r>
        <w:rPr>
          <w:rFonts w:hint="eastAsia" w:eastAsia="仿宋_GB2312" w:cs="Times New Roman"/>
          <w:sz w:val="32"/>
          <w:szCs w:val="32"/>
          <w:lang w:val="en-US" w:eastAsia="zh-CN"/>
        </w:rPr>
        <w:t>39.49</w:t>
      </w:r>
      <w:r>
        <w:rPr>
          <w:rFonts w:hint="eastAsia" w:ascii="Times New Roman" w:hAnsi="Times New Roman" w:eastAsia="仿宋_GB2312" w:cs="Times New Roman"/>
          <w:sz w:val="32"/>
          <w:szCs w:val="32"/>
        </w:rPr>
        <w:t>万元、奖金</w:t>
      </w:r>
      <w:r>
        <w:rPr>
          <w:rFonts w:hint="eastAsia" w:eastAsia="仿宋_GB2312" w:cs="Times New Roman"/>
          <w:sz w:val="32"/>
          <w:szCs w:val="32"/>
          <w:lang w:val="en-US" w:eastAsia="zh-CN"/>
        </w:rPr>
        <w:t>39.61</w:t>
      </w:r>
      <w:r>
        <w:rPr>
          <w:rFonts w:hint="eastAsia" w:ascii="Times New Roman" w:hAnsi="Times New Roman" w:eastAsia="仿宋_GB2312" w:cs="Times New Roman"/>
          <w:sz w:val="32"/>
          <w:szCs w:val="32"/>
        </w:rPr>
        <w:t>万元、机关事业单位基本养老保险缴费</w:t>
      </w:r>
      <w:r>
        <w:rPr>
          <w:rFonts w:hint="eastAsia" w:eastAsia="仿宋_GB2312" w:cs="Times New Roman"/>
          <w:sz w:val="32"/>
          <w:szCs w:val="32"/>
          <w:lang w:val="en-US" w:eastAsia="zh-CN"/>
        </w:rPr>
        <w:t>16.31</w:t>
      </w:r>
      <w:r>
        <w:rPr>
          <w:rFonts w:hint="eastAsia" w:ascii="Times New Roman" w:hAnsi="Times New Roman" w:eastAsia="仿宋_GB2312" w:cs="Times New Roman"/>
          <w:sz w:val="32"/>
          <w:szCs w:val="32"/>
        </w:rPr>
        <w:t>万元、职业年金缴费</w:t>
      </w:r>
      <w:r>
        <w:rPr>
          <w:rFonts w:hint="eastAsia" w:eastAsia="仿宋_GB2312" w:cs="Times New Roman"/>
          <w:sz w:val="32"/>
          <w:szCs w:val="32"/>
          <w:lang w:val="en-US" w:eastAsia="zh-CN"/>
        </w:rPr>
        <w:t>8.15</w:t>
      </w:r>
      <w:r>
        <w:rPr>
          <w:rFonts w:hint="eastAsia" w:ascii="Times New Roman" w:hAnsi="Times New Roman" w:eastAsia="仿宋_GB2312" w:cs="Times New Roman"/>
          <w:sz w:val="32"/>
          <w:szCs w:val="32"/>
        </w:rPr>
        <w:t>万元、职工基本医疗保险缴费</w:t>
      </w:r>
      <w:r>
        <w:rPr>
          <w:rFonts w:hint="eastAsia" w:eastAsia="仿宋_GB2312" w:cs="Times New Roman"/>
          <w:sz w:val="32"/>
          <w:szCs w:val="32"/>
          <w:lang w:val="en-US" w:eastAsia="zh-CN"/>
        </w:rPr>
        <w:t>7.78</w:t>
      </w:r>
      <w:r>
        <w:rPr>
          <w:rFonts w:hint="eastAsia" w:ascii="Times New Roman" w:hAnsi="Times New Roman" w:eastAsia="仿宋_GB2312" w:cs="Times New Roman"/>
          <w:sz w:val="32"/>
          <w:szCs w:val="32"/>
        </w:rPr>
        <w:t>万元、公务员医疗补助缴费</w:t>
      </w:r>
      <w:r>
        <w:rPr>
          <w:rFonts w:hint="eastAsia" w:eastAsia="仿宋_GB2312" w:cs="Times New Roman"/>
          <w:sz w:val="32"/>
          <w:szCs w:val="32"/>
          <w:lang w:val="en-US" w:eastAsia="zh-CN"/>
        </w:rPr>
        <w:t>4.09</w:t>
      </w:r>
      <w:r>
        <w:rPr>
          <w:rFonts w:hint="eastAsia" w:ascii="Times New Roman" w:hAnsi="Times New Roman" w:eastAsia="仿宋_GB2312" w:cs="Times New Roman"/>
          <w:sz w:val="32"/>
          <w:szCs w:val="32"/>
        </w:rPr>
        <w:t>万元、其他社会保障缴费</w:t>
      </w:r>
      <w:r>
        <w:rPr>
          <w:rFonts w:hint="eastAsia" w:eastAsia="仿宋_GB2312" w:cs="Times New Roman"/>
          <w:sz w:val="32"/>
          <w:szCs w:val="32"/>
          <w:lang w:val="en-US" w:eastAsia="zh-CN"/>
        </w:rPr>
        <w:t>1.82</w:t>
      </w:r>
      <w:r>
        <w:rPr>
          <w:rFonts w:hint="eastAsia" w:ascii="Times New Roman" w:hAnsi="Times New Roman" w:eastAsia="仿宋_GB2312" w:cs="Times New Roman"/>
          <w:sz w:val="32"/>
          <w:szCs w:val="32"/>
        </w:rPr>
        <w:t>万元、住房公积金</w:t>
      </w:r>
      <w:r>
        <w:rPr>
          <w:rFonts w:hint="eastAsia" w:eastAsia="仿宋_GB2312" w:cs="Times New Roman"/>
          <w:sz w:val="32"/>
          <w:szCs w:val="32"/>
          <w:lang w:val="en-US" w:eastAsia="zh-CN"/>
        </w:rPr>
        <w:t>12.84</w:t>
      </w:r>
      <w:r>
        <w:rPr>
          <w:rFonts w:hint="eastAsia" w:ascii="Times New Roman" w:hAnsi="Times New Roman" w:eastAsia="仿宋_GB2312" w:cs="Times New Roman"/>
          <w:sz w:val="32"/>
          <w:szCs w:val="32"/>
        </w:rPr>
        <w:t>万元、生活补助</w:t>
      </w:r>
      <w:r>
        <w:rPr>
          <w:rFonts w:hint="eastAsia" w:eastAsia="仿宋_GB2312" w:cs="Times New Roman"/>
          <w:sz w:val="32"/>
          <w:szCs w:val="32"/>
          <w:lang w:val="en-US" w:eastAsia="zh-CN"/>
        </w:rPr>
        <w:t>15.74</w:t>
      </w:r>
      <w:r>
        <w:rPr>
          <w:rFonts w:hint="eastAsia" w:ascii="Times New Roman" w:hAnsi="Times New Roman" w:eastAsia="仿宋_GB2312" w:cs="Times New Roman"/>
          <w:sz w:val="32"/>
          <w:szCs w:val="32"/>
        </w:rPr>
        <w:t>万元、抚恤金</w:t>
      </w:r>
      <w:r>
        <w:rPr>
          <w:rFonts w:hint="eastAsia" w:eastAsia="仿宋_GB2312" w:cs="Times New Roman"/>
          <w:sz w:val="32"/>
          <w:szCs w:val="32"/>
          <w:lang w:val="en-US" w:eastAsia="zh-CN"/>
        </w:rPr>
        <w:t>6.67</w:t>
      </w:r>
      <w:r>
        <w:rPr>
          <w:rFonts w:hint="eastAsia" w:ascii="Times New Roman" w:hAnsi="Times New Roman" w:eastAsia="仿宋_GB2312" w:cs="Times New Roman"/>
          <w:sz w:val="32"/>
          <w:szCs w:val="32"/>
        </w:rPr>
        <w:t>万元。</w:t>
      </w:r>
    </w:p>
    <w:p w14:paraId="4F4BF481">
      <w:pPr>
        <w:pageBreakBefore w:val="0"/>
        <w:widowControl w:val="0"/>
        <w:kinsoku/>
        <w:wordWrap/>
        <w:overflowPunct/>
        <w:topLinePunct w:val="0"/>
        <w:bidi w:val="0"/>
        <w:spacing w:line="576" w:lineRule="exact"/>
        <w:ind w:firstLine="645"/>
        <w:rPr>
          <w:rFonts w:hint="eastAsia" w:ascii="Times New Roman" w:hAnsi="Times New Roman" w:eastAsia="仿宋_GB2312" w:cs="Times New Roman"/>
          <w:sz w:val="32"/>
          <w:szCs w:val="32"/>
        </w:rPr>
      </w:pPr>
      <w:r>
        <w:rPr>
          <w:rFonts w:hint="eastAsia" w:asci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175895</wp:posOffset>
            </wp:positionH>
            <wp:positionV relativeFrom="page">
              <wp:posOffset>5233035</wp:posOffset>
            </wp:positionV>
            <wp:extent cx="4906645" cy="3445510"/>
            <wp:effectExtent l="4445" t="4445" r="22860" b="1714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6D1DBE8F">
      <w:pPr>
        <w:pageBreakBefore w:val="0"/>
        <w:widowControl w:val="0"/>
        <w:kinsoku/>
        <w:wordWrap/>
        <w:overflowPunct/>
        <w:topLinePunct w:val="0"/>
        <w:bidi w:val="0"/>
        <w:spacing w:line="576" w:lineRule="exact"/>
        <w:ind w:firstLine="645"/>
        <w:rPr>
          <w:rFonts w:hint="eastAsia" w:ascii="Times New Roman" w:hAnsi="Times New Roman" w:eastAsia="仿宋_GB2312" w:cs="Times New Roman"/>
          <w:sz w:val="32"/>
          <w:szCs w:val="32"/>
        </w:rPr>
      </w:pPr>
    </w:p>
    <w:p w14:paraId="26CADB36">
      <w:pPr>
        <w:spacing w:line="600" w:lineRule="exact"/>
        <w:ind w:firstLine="640"/>
        <w:rPr>
          <w:rFonts w:hint="eastAsia" w:ascii="仿宋" w:eastAsia="仿宋"/>
          <w:color w:val="000000"/>
          <w:sz w:val="32"/>
          <w:szCs w:val="32"/>
        </w:rPr>
      </w:pPr>
      <w:r>
        <w:rPr>
          <w:rFonts w:hint="eastAsia" w:ascii="仿宋" w:eastAsia="仿宋"/>
          <w:color w:val="000000"/>
          <w:sz w:val="32"/>
          <w:szCs w:val="32"/>
        </w:rPr>
        <w:t>公用经费</w:t>
      </w:r>
      <w:r>
        <w:rPr>
          <w:rFonts w:hint="eastAsia" w:ascii="仿宋" w:eastAsia="仿宋"/>
          <w:color w:val="000000"/>
          <w:sz w:val="32"/>
          <w:szCs w:val="32"/>
          <w:lang w:val="en-US" w:eastAsia="zh-CN"/>
        </w:rPr>
        <w:t>11.32</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3.66</w:t>
      </w:r>
      <w:r>
        <w:rPr>
          <w:rFonts w:hint="eastAsia" w:ascii="仿宋" w:eastAsia="仿宋"/>
          <w:color w:val="000000"/>
          <w:sz w:val="32"/>
          <w:szCs w:val="32"/>
        </w:rPr>
        <w:t>万元、水费0.1万元、邮电费</w:t>
      </w:r>
      <w:r>
        <w:rPr>
          <w:rFonts w:hint="eastAsia" w:ascii="仿宋" w:eastAsia="仿宋"/>
          <w:color w:val="000000"/>
          <w:sz w:val="32"/>
          <w:szCs w:val="32"/>
          <w:lang w:val="en-US" w:eastAsia="zh-CN"/>
        </w:rPr>
        <w:t>0.85</w:t>
      </w:r>
      <w:r>
        <w:rPr>
          <w:rFonts w:hint="eastAsia" w:ascii="仿宋" w:eastAsia="仿宋"/>
          <w:color w:val="000000"/>
          <w:sz w:val="32"/>
          <w:szCs w:val="32"/>
        </w:rPr>
        <w:t>万元、差旅费</w:t>
      </w:r>
      <w:r>
        <w:rPr>
          <w:rFonts w:hint="eastAsia" w:ascii="仿宋" w:eastAsia="仿宋"/>
          <w:color w:val="000000"/>
          <w:sz w:val="32"/>
          <w:szCs w:val="32"/>
          <w:lang w:val="en-US" w:eastAsia="zh-CN"/>
        </w:rPr>
        <w:t>3.98</w:t>
      </w:r>
      <w:r>
        <w:rPr>
          <w:rFonts w:hint="eastAsia" w:ascii="仿宋" w:eastAsia="仿宋"/>
          <w:color w:val="000000"/>
          <w:sz w:val="32"/>
          <w:szCs w:val="32"/>
        </w:rPr>
        <w:t>万元、</w:t>
      </w:r>
      <w:r>
        <w:rPr>
          <w:rFonts w:hint="eastAsia" w:ascii="仿宋" w:eastAsia="仿宋"/>
          <w:color w:val="000000"/>
          <w:sz w:val="32"/>
          <w:szCs w:val="32"/>
          <w:lang w:eastAsia="zh-CN"/>
        </w:rPr>
        <w:t>劳务费</w:t>
      </w:r>
      <w:r>
        <w:rPr>
          <w:rFonts w:hint="eastAsia" w:ascii="仿宋" w:eastAsia="仿宋"/>
          <w:color w:val="000000"/>
          <w:sz w:val="32"/>
          <w:szCs w:val="32"/>
          <w:lang w:val="en-US" w:eastAsia="zh-CN"/>
        </w:rPr>
        <w:t>0.24、</w:t>
      </w:r>
      <w:r>
        <w:rPr>
          <w:rFonts w:hint="eastAsia" w:ascii="仿宋" w:eastAsia="仿宋"/>
          <w:color w:val="000000"/>
          <w:sz w:val="32"/>
          <w:szCs w:val="32"/>
        </w:rPr>
        <w:t>其他交通费用</w:t>
      </w:r>
      <w:r>
        <w:rPr>
          <w:rFonts w:hint="eastAsia" w:ascii="仿宋" w:eastAsia="仿宋"/>
          <w:color w:val="000000"/>
          <w:sz w:val="32"/>
          <w:szCs w:val="32"/>
          <w:lang w:val="en-US" w:eastAsia="zh-CN"/>
        </w:rPr>
        <w:t>2.49</w:t>
      </w:r>
      <w:r>
        <w:rPr>
          <w:rFonts w:hint="eastAsia" w:ascii="仿宋" w:eastAsia="仿宋"/>
          <w:color w:val="000000"/>
          <w:sz w:val="32"/>
          <w:szCs w:val="32"/>
        </w:rPr>
        <w:t>万元。</w:t>
      </w:r>
    </w:p>
    <w:p w14:paraId="480DB568">
      <w:pPr>
        <w:spacing w:line="600" w:lineRule="exact"/>
        <w:ind w:firstLine="640"/>
        <w:rPr>
          <w:rFonts w:ascii="Times New Roman" w:hAnsi="Times New Roman" w:cs="Times New Roman"/>
        </w:rPr>
      </w:pPr>
    </w:p>
    <w:p w14:paraId="5A7A2102">
      <w:pPr>
        <w:pageBreakBefore w:val="0"/>
        <w:widowControl w:val="0"/>
        <w:kinsoku/>
        <w:wordWrap/>
        <w:overflowPunct/>
        <w:topLinePunct w:val="0"/>
        <w:bidi w:val="0"/>
        <w:spacing w:line="576" w:lineRule="exact"/>
        <w:ind w:firstLine="640"/>
        <w:outlineLvl w:val="1"/>
        <w:rPr>
          <w:rFonts w:ascii="Times New Roman" w:hAnsi="Times New Roman" w:eastAsia="黑体" w:cs="Times New Roman"/>
          <w:sz w:val="32"/>
          <w:szCs w:val="32"/>
        </w:rPr>
      </w:pPr>
      <w:bookmarkStart w:id="58" w:name="_Toc15377215"/>
      <w:bookmarkStart w:id="59" w:name="_Toc15396609"/>
      <w:bookmarkStart w:id="60" w:name="_Toc26843618"/>
    </w:p>
    <w:p w14:paraId="74D31A41">
      <w:pPr>
        <w:pageBreakBefore w:val="0"/>
        <w:widowControl w:val="0"/>
        <w:kinsoku/>
        <w:wordWrap/>
        <w:overflowPunct/>
        <w:topLinePunct w:val="0"/>
        <w:bidi w:val="0"/>
        <w:spacing w:line="576" w:lineRule="exact"/>
        <w:ind w:firstLine="640"/>
        <w:outlineLvl w:val="1"/>
        <w:rPr>
          <w:rStyle w:val="21"/>
          <w:rFonts w:ascii="Times New Roman" w:hAnsi="Times New Roman" w:eastAsia="黑体" w:cs="Times New Roman"/>
          <w:b w:val="0"/>
        </w:rPr>
      </w:pPr>
      <w:r>
        <w:rPr>
          <w:rFonts w:hint="eastAsia" w:ascii="仿宋" w:eastAsia="仿宋"/>
          <w:color w:val="000000"/>
          <w:sz w:val="32"/>
          <w:szCs w:val="32"/>
          <w:lang w:eastAsia="zh-CN"/>
        </w:rPr>
        <w:drawing>
          <wp:anchor distT="0" distB="0" distL="114300" distR="114300" simplePos="0" relativeHeight="251661312" behindDoc="0" locked="0" layoutInCell="1" allowOverlap="1">
            <wp:simplePos x="0" y="0"/>
            <wp:positionH relativeFrom="column">
              <wp:posOffset>318135</wp:posOffset>
            </wp:positionH>
            <wp:positionV relativeFrom="page">
              <wp:posOffset>2457450</wp:posOffset>
            </wp:positionV>
            <wp:extent cx="4868545" cy="3216275"/>
            <wp:effectExtent l="4445" t="4445" r="22860" b="1778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Times New Roman" w:hAnsi="Times New Roman" w:eastAsia="黑体" w:cs="Times New Roman"/>
          <w:sz w:val="32"/>
          <w:szCs w:val="32"/>
        </w:rPr>
        <w:t>七、</w:t>
      </w:r>
      <w:r>
        <w:rPr>
          <w:rStyle w:val="21"/>
          <w:rFonts w:ascii="Times New Roman" w:hAnsi="Times New Roman" w:eastAsia="黑体" w:cs="Times New Roman"/>
        </w:rPr>
        <w:t>“</w:t>
      </w:r>
      <w:r>
        <w:rPr>
          <w:rStyle w:val="21"/>
          <w:rFonts w:ascii="Times New Roman" w:hAnsi="Times New Roman" w:eastAsia="黑体" w:cs="Times New Roman"/>
          <w:b w:val="0"/>
        </w:rPr>
        <w:t>三公”经费财政拨款支出决算情况说明</w:t>
      </w:r>
      <w:bookmarkEnd w:id="58"/>
      <w:bookmarkEnd w:id="59"/>
      <w:bookmarkEnd w:id="60"/>
    </w:p>
    <w:p w14:paraId="0D7B6B0A">
      <w:pPr>
        <w:pageBreakBefore w:val="0"/>
        <w:widowControl w:val="0"/>
        <w:kinsoku/>
        <w:wordWrap/>
        <w:overflowPunct/>
        <w:topLinePunct w:val="0"/>
        <w:bidi w:val="0"/>
        <w:spacing w:line="576" w:lineRule="exact"/>
        <w:ind w:firstLine="640"/>
        <w:outlineLvl w:val="2"/>
        <w:rPr>
          <w:rFonts w:ascii="Times New Roman" w:hAnsi="Times New Roman" w:eastAsia="仿宋" w:cs="Times New Roman"/>
          <w:b/>
          <w:sz w:val="32"/>
          <w:szCs w:val="32"/>
        </w:rPr>
      </w:pPr>
      <w:bookmarkStart w:id="61" w:name="_Toc15377216"/>
      <w:r>
        <w:rPr>
          <w:rFonts w:ascii="Times New Roman" w:hAnsi="Times New Roman" w:eastAsia="仿宋" w:cs="Times New Roman"/>
          <w:b/>
          <w:sz w:val="32"/>
          <w:szCs w:val="32"/>
        </w:rPr>
        <w:t>（一）“三公”经费财政拨款支出决算总体情况说明</w:t>
      </w:r>
      <w:bookmarkEnd w:id="61"/>
    </w:p>
    <w:p w14:paraId="15FCCD73">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r>
        <w:rPr>
          <w:rFonts w:hint="eastAsia" w:eastAsia="仿宋_GB2312" w:cs="Times New Roman"/>
          <w:sz w:val="32"/>
          <w:szCs w:val="32"/>
          <w:lang w:eastAsia="zh-CN"/>
        </w:rPr>
        <w:t>20</w:t>
      </w:r>
      <w:r>
        <w:rPr>
          <w:rFonts w:hint="eastAsia" w:eastAsia="仿宋_GB2312" w:cs="Times New Roman"/>
          <w:sz w:val="32"/>
          <w:szCs w:val="32"/>
          <w:lang w:val="en-US" w:eastAsia="zh-CN"/>
        </w:rPr>
        <w:t>4</w:t>
      </w:r>
      <w:r>
        <w:rPr>
          <w:rFonts w:hint="eastAsia" w:eastAsia="仿宋_GB2312" w:cs="Times New Roman"/>
          <w:sz w:val="32"/>
          <w:szCs w:val="32"/>
          <w:lang w:eastAsia="zh-CN"/>
        </w:rPr>
        <w:t>年</w:t>
      </w:r>
      <w:r>
        <w:rPr>
          <w:rFonts w:ascii="Times New Roman" w:hAnsi="Times New Roman" w:eastAsia="仿宋_GB2312" w:cs="Times New Roman"/>
          <w:sz w:val="32"/>
          <w:szCs w:val="32"/>
        </w:rPr>
        <w:t>“三公”经费财政拨款支出决算为</w:t>
      </w:r>
      <w:r>
        <w:rPr>
          <w:rFonts w:hint="eastAsia" w:eastAsia="仿宋_GB2312" w:cs="Times New Roman"/>
          <w:sz w:val="32"/>
          <w:szCs w:val="32"/>
          <w:lang w:val="en-US" w:eastAsia="zh-CN"/>
        </w:rPr>
        <w:t>0</w:t>
      </w:r>
      <w:r>
        <w:rPr>
          <w:rFonts w:ascii="Times New Roman" w:hAnsi="Times New Roman" w:eastAsia="仿宋_GB2312" w:cs="Times New Roman"/>
          <w:sz w:val="32"/>
          <w:szCs w:val="32"/>
        </w:rPr>
        <w:t>万元，完成预算</w:t>
      </w:r>
      <w:r>
        <w:rPr>
          <w:rFonts w:hint="eastAsia" w:eastAsia="仿宋_GB2312" w:cs="Times New Roman"/>
          <w:sz w:val="32"/>
          <w:szCs w:val="32"/>
          <w:lang w:val="en-US" w:eastAsia="zh-CN"/>
        </w:rPr>
        <w:t>0</w:t>
      </w:r>
      <w:r>
        <w:rPr>
          <w:rFonts w:ascii="Times New Roman" w:hAnsi="Times New Roman" w:eastAsia="仿宋_GB2312" w:cs="Times New Roman"/>
          <w:sz w:val="32"/>
          <w:szCs w:val="32"/>
        </w:rPr>
        <w:t>%。</w:t>
      </w:r>
    </w:p>
    <w:p w14:paraId="782C3FBB">
      <w:pPr>
        <w:pageBreakBefore w:val="0"/>
        <w:widowControl w:val="0"/>
        <w:kinsoku/>
        <w:wordWrap/>
        <w:overflowPunct/>
        <w:topLinePunct w:val="0"/>
        <w:bidi w:val="0"/>
        <w:spacing w:line="576" w:lineRule="exact"/>
        <w:ind w:firstLine="640"/>
        <w:outlineLvl w:val="2"/>
        <w:rPr>
          <w:rFonts w:ascii="Times New Roman" w:hAnsi="Times New Roman" w:eastAsia="仿宋" w:cs="Times New Roman"/>
          <w:b/>
          <w:sz w:val="32"/>
          <w:szCs w:val="32"/>
        </w:rPr>
      </w:pPr>
      <w:bookmarkStart w:id="62" w:name="_Toc15377217"/>
      <w:r>
        <w:rPr>
          <w:rFonts w:ascii="Times New Roman" w:hAnsi="Times New Roman" w:eastAsia="仿宋" w:cs="Times New Roman"/>
          <w:b/>
          <w:sz w:val="32"/>
          <w:szCs w:val="32"/>
        </w:rPr>
        <w:t>（二）</w:t>
      </w:r>
      <w:bookmarkStart w:id="63" w:name="OLE_LINK2"/>
      <w:r>
        <w:rPr>
          <w:rFonts w:ascii="Times New Roman" w:hAnsi="Times New Roman" w:eastAsia="仿宋" w:cs="Times New Roman"/>
          <w:b/>
          <w:sz w:val="32"/>
          <w:szCs w:val="32"/>
        </w:rPr>
        <w:t>“三公”经费财政拨款支出</w:t>
      </w:r>
      <w:bookmarkEnd w:id="63"/>
      <w:r>
        <w:rPr>
          <w:rFonts w:ascii="Times New Roman" w:hAnsi="Times New Roman" w:eastAsia="仿宋" w:cs="Times New Roman"/>
          <w:b/>
          <w:sz w:val="32"/>
          <w:szCs w:val="32"/>
        </w:rPr>
        <w:t>决算具体情况说明</w:t>
      </w:r>
      <w:bookmarkEnd w:id="62"/>
    </w:p>
    <w:p w14:paraId="433EC8DF">
      <w:pPr>
        <w:pageBreakBefore w:val="0"/>
        <w:widowControl w:val="0"/>
        <w:kinsoku/>
        <w:wordWrap/>
        <w:overflowPunct/>
        <w:topLinePunct w:val="0"/>
        <w:bidi w:val="0"/>
        <w:spacing w:line="576" w:lineRule="exact"/>
        <w:ind w:firstLine="640"/>
        <w:rPr>
          <w:rFonts w:ascii="Times New Roman" w:hAnsi="Times New Roman" w:eastAsia="仿宋" w:cs="Times New Roman"/>
          <w:sz w:val="32"/>
          <w:szCs w:val="32"/>
        </w:rPr>
      </w:pPr>
      <w:r>
        <w:rPr>
          <w:rFonts w:hint="eastAsia" w:eastAsia="仿宋_GB2312" w:cs="Times New Roman"/>
          <w:sz w:val="32"/>
          <w:szCs w:val="32"/>
          <w:lang w:eastAsia="zh-CN"/>
        </w:rPr>
        <w:t>202</w:t>
      </w:r>
      <w:r>
        <w:rPr>
          <w:rFonts w:hint="eastAsia" w:eastAsia="仿宋_GB2312" w:cs="Times New Roman"/>
          <w:sz w:val="32"/>
          <w:szCs w:val="32"/>
          <w:lang w:val="en-US" w:eastAsia="zh-CN"/>
        </w:rPr>
        <w:t>4</w:t>
      </w:r>
      <w:r>
        <w:rPr>
          <w:rFonts w:hint="eastAsia" w:eastAsia="仿宋_GB2312" w:cs="Times New Roman"/>
          <w:sz w:val="32"/>
          <w:szCs w:val="32"/>
          <w:lang w:eastAsia="zh-CN"/>
        </w:rPr>
        <w:t>年因公出国（境）费支出0元，较202</w:t>
      </w:r>
      <w:r>
        <w:rPr>
          <w:rFonts w:hint="eastAsia" w:eastAsia="仿宋_GB2312" w:cs="Times New Roman"/>
          <w:sz w:val="32"/>
          <w:szCs w:val="32"/>
          <w:lang w:val="en-US" w:eastAsia="zh-CN"/>
        </w:rPr>
        <w:t>3</w:t>
      </w:r>
      <w:r>
        <w:rPr>
          <w:rFonts w:hint="eastAsia" w:eastAsia="仿宋_GB2312" w:cs="Times New Roman"/>
          <w:sz w:val="32"/>
          <w:szCs w:val="32"/>
          <w:lang w:eastAsia="zh-CN"/>
        </w:rPr>
        <w:t>年0元对比，持平。202</w:t>
      </w:r>
      <w:r>
        <w:rPr>
          <w:rFonts w:hint="eastAsia" w:eastAsia="仿宋_GB2312" w:cs="Times New Roman"/>
          <w:sz w:val="32"/>
          <w:szCs w:val="32"/>
          <w:lang w:val="en-US" w:eastAsia="zh-CN"/>
        </w:rPr>
        <w:t>4</w:t>
      </w:r>
      <w:r>
        <w:rPr>
          <w:rFonts w:hint="eastAsia" w:eastAsia="仿宋_GB2312" w:cs="Times New Roman"/>
          <w:sz w:val="32"/>
          <w:szCs w:val="32"/>
          <w:lang w:eastAsia="zh-CN"/>
        </w:rPr>
        <w:t>年公务用车购置及运行维护费0万元，其中：公务用车购置费支出0元，较202</w:t>
      </w:r>
      <w:r>
        <w:rPr>
          <w:rFonts w:hint="eastAsia" w:eastAsia="仿宋_GB2312" w:cs="Times New Roman"/>
          <w:sz w:val="32"/>
          <w:szCs w:val="32"/>
          <w:lang w:val="en-US" w:eastAsia="zh-CN"/>
        </w:rPr>
        <w:t>3</w:t>
      </w:r>
      <w:r>
        <w:rPr>
          <w:rFonts w:hint="eastAsia" w:eastAsia="仿宋_GB2312" w:cs="Times New Roman"/>
          <w:sz w:val="32"/>
          <w:szCs w:val="32"/>
          <w:lang w:eastAsia="zh-CN"/>
        </w:rPr>
        <w:t>年0元对比，持平；公务用车运行维护费支出0万元，较202</w:t>
      </w:r>
      <w:r>
        <w:rPr>
          <w:rFonts w:hint="eastAsia" w:eastAsia="仿宋_GB2312" w:cs="Times New Roman"/>
          <w:sz w:val="32"/>
          <w:szCs w:val="32"/>
          <w:lang w:val="en-US" w:eastAsia="zh-CN"/>
        </w:rPr>
        <w:t>3</w:t>
      </w:r>
      <w:r>
        <w:rPr>
          <w:rFonts w:hint="eastAsia" w:eastAsia="仿宋_GB2312" w:cs="Times New Roman"/>
          <w:sz w:val="32"/>
          <w:szCs w:val="32"/>
          <w:lang w:eastAsia="zh-CN"/>
        </w:rPr>
        <w:t>年0元对比，持平；公务接待费支出0万元，较202</w:t>
      </w:r>
      <w:r>
        <w:rPr>
          <w:rFonts w:hint="eastAsia" w:eastAsia="仿宋_GB2312" w:cs="Times New Roman"/>
          <w:sz w:val="32"/>
          <w:szCs w:val="32"/>
          <w:lang w:val="en-US" w:eastAsia="zh-CN"/>
        </w:rPr>
        <w:t>3</w:t>
      </w:r>
      <w:r>
        <w:rPr>
          <w:rFonts w:hint="eastAsia" w:eastAsia="仿宋_GB2312" w:cs="Times New Roman"/>
          <w:sz w:val="32"/>
          <w:szCs w:val="32"/>
          <w:lang w:eastAsia="zh-CN"/>
        </w:rPr>
        <w:t>年0元对比，持平。</w:t>
      </w:r>
      <w:r>
        <w:rPr>
          <w:rFonts w:ascii="Times New Roman" w:hAnsi="Times New Roman" w:eastAsia="仿宋" w:cs="Times New Roman"/>
          <w:sz w:val="32"/>
          <w:szCs w:val="32"/>
        </w:rPr>
        <w:t>具体情况如下：</w:t>
      </w:r>
    </w:p>
    <w:tbl>
      <w:tblPr>
        <w:tblStyle w:val="16"/>
        <w:tblpPr w:leftFromText="180" w:rightFromText="180" w:vertAnchor="text" w:horzAnchor="page" w:tblpX="1904" w:tblpY="379"/>
        <w:tblOverlap w:val="never"/>
        <w:tblW w:w="8537" w:type="dxa"/>
        <w:tblInd w:w="0" w:type="dxa"/>
        <w:tblLayout w:type="fixed"/>
        <w:tblCellMar>
          <w:top w:w="0" w:type="dxa"/>
          <w:left w:w="108" w:type="dxa"/>
          <w:bottom w:w="0" w:type="dxa"/>
          <w:right w:w="108" w:type="dxa"/>
        </w:tblCellMar>
      </w:tblPr>
      <w:tblGrid>
        <w:gridCol w:w="3216"/>
        <w:gridCol w:w="1384"/>
        <w:gridCol w:w="1314"/>
        <w:gridCol w:w="1609"/>
        <w:gridCol w:w="1014"/>
      </w:tblGrid>
      <w:tr w14:paraId="2B9CE6E6">
        <w:tblPrEx>
          <w:tblCellMar>
            <w:top w:w="0" w:type="dxa"/>
            <w:left w:w="108" w:type="dxa"/>
            <w:bottom w:w="0" w:type="dxa"/>
            <w:right w:w="108" w:type="dxa"/>
          </w:tblCellMar>
        </w:tblPrEx>
        <w:trPr>
          <w:trHeight w:val="1040" w:hRule="atLeast"/>
        </w:trPr>
        <w:tc>
          <w:tcPr>
            <w:tcW w:w="3216" w:type="dxa"/>
            <w:tcBorders>
              <w:top w:val="single" w:color="auto" w:sz="4" w:space="0"/>
              <w:left w:val="single" w:color="auto" w:sz="4" w:space="0"/>
              <w:bottom w:val="single" w:color="auto" w:sz="4" w:space="0"/>
              <w:right w:val="single" w:color="auto" w:sz="4" w:space="0"/>
            </w:tcBorders>
            <w:vAlign w:val="center"/>
          </w:tcPr>
          <w:p w14:paraId="665E8E4D">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　</w:t>
            </w:r>
          </w:p>
        </w:tc>
        <w:tc>
          <w:tcPr>
            <w:tcW w:w="1384" w:type="dxa"/>
            <w:tcBorders>
              <w:top w:val="single" w:color="auto" w:sz="4" w:space="0"/>
              <w:left w:val="nil"/>
              <w:bottom w:val="single" w:color="auto" w:sz="4" w:space="0"/>
              <w:right w:val="single" w:color="auto" w:sz="4" w:space="0"/>
            </w:tcBorders>
            <w:vAlign w:val="center"/>
          </w:tcPr>
          <w:p w14:paraId="268FFD6B">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202</w:t>
            </w:r>
            <w:r>
              <w:rPr>
                <w:rFonts w:hint="eastAsia" w:ascii="仿宋_GB2312" w:hAnsi="宋体" w:cs="宋体"/>
                <w:color w:val="333333"/>
                <w:kern w:val="0"/>
                <w:sz w:val="21"/>
                <w:szCs w:val="21"/>
                <w:lang w:val="en-US" w:eastAsia="zh-CN"/>
              </w:rPr>
              <w:t>4</w:t>
            </w:r>
            <w:r>
              <w:rPr>
                <w:rFonts w:hint="eastAsia" w:ascii="仿宋_GB2312" w:hAnsi="宋体" w:eastAsia="仿宋_GB2312" w:cs="宋体"/>
                <w:color w:val="333333"/>
                <w:kern w:val="0"/>
                <w:sz w:val="21"/>
                <w:szCs w:val="21"/>
                <w:lang w:val="zh-CN"/>
              </w:rPr>
              <w:t>年</w:t>
            </w:r>
          </w:p>
        </w:tc>
        <w:tc>
          <w:tcPr>
            <w:tcW w:w="1314" w:type="dxa"/>
            <w:tcBorders>
              <w:top w:val="single" w:color="auto" w:sz="4" w:space="0"/>
              <w:left w:val="nil"/>
              <w:bottom w:val="single" w:color="auto" w:sz="4" w:space="0"/>
              <w:right w:val="single" w:color="auto" w:sz="4" w:space="0"/>
            </w:tcBorders>
            <w:vAlign w:val="center"/>
          </w:tcPr>
          <w:p w14:paraId="79C59C5C">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202</w:t>
            </w:r>
            <w:r>
              <w:rPr>
                <w:rFonts w:hint="eastAsia" w:ascii="仿宋_GB2312" w:hAnsi="宋体" w:cs="宋体"/>
                <w:color w:val="333333"/>
                <w:kern w:val="0"/>
                <w:sz w:val="21"/>
                <w:szCs w:val="21"/>
                <w:lang w:val="en-US" w:eastAsia="zh-CN"/>
              </w:rPr>
              <w:t>3</w:t>
            </w:r>
            <w:r>
              <w:rPr>
                <w:rFonts w:hint="eastAsia" w:ascii="仿宋_GB2312" w:hAnsi="宋体" w:eastAsia="仿宋_GB2312" w:cs="宋体"/>
                <w:color w:val="333333"/>
                <w:kern w:val="0"/>
                <w:sz w:val="21"/>
                <w:szCs w:val="21"/>
                <w:lang w:val="zh-CN"/>
              </w:rPr>
              <w:t>年</w:t>
            </w:r>
          </w:p>
        </w:tc>
        <w:tc>
          <w:tcPr>
            <w:tcW w:w="1609" w:type="dxa"/>
            <w:tcBorders>
              <w:top w:val="single" w:color="auto" w:sz="4" w:space="0"/>
              <w:left w:val="nil"/>
              <w:bottom w:val="single" w:color="auto" w:sz="4" w:space="0"/>
              <w:right w:val="single" w:color="auto" w:sz="4" w:space="0"/>
            </w:tcBorders>
            <w:vAlign w:val="center"/>
          </w:tcPr>
          <w:p w14:paraId="50EE9762">
            <w:pPr>
              <w:keepNext w:val="0"/>
              <w:keepLines w:val="0"/>
              <w:pageBreakBefore w:val="0"/>
              <w:widowControl/>
              <w:kinsoku/>
              <w:wordWrap/>
              <w:overflowPunct/>
              <w:topLinePunct w:val="0"/>
              <w:autoSpaceDE/>
              <w:autoSpaceDN/>
              <w:bidi w:val="0"/>
              <w:adjustRightInd/>
              <w:spacing w:line="560" w:lineRule="exact"/>
              <w:ind w:left="0" w:leftChars="0" w:firstLine="0" w:firstLineChars="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比上年增减</w:t>
            </w:r>
          </w:p>
        </w:tc>
        <w:tc>
          <w:tcPr>
            <w:tcW w:w="1014" w:type="dxa"/>
            <w:tcBorders>
              <w:top w:val="single" w:color="auto" w:sz="4" w:space="0"/>
              <w:left w:val="nil"/>
              <w:bottom w:val="single" w:color="auto" w:sz="4" w:space="0"/>
              <w:right w:val="single" w:color="auto" w:sz="4" w:space="0"/>
            </w:tcBorders>
            <w:vAlign w:val="center"/>
          </w:tcPr>
          <w:p w14:paraId="3DDC9562">
            <w:pPr>
              <w:keepNext w:val="0"/>
              <w:keepLines w:val="0"/>
              <w:pageBreakBefore w:val="0"/>
              <w:widowControl/>
              <w:kinsoku/>
              <w:wordWrap/>
              <w:overflowPunct/>
              <w:topLinePunct w:val="0"/>
              <w:autoSpaceDE/>
              <w:autoSpaceDN/>
              <w:bidi w:val="0"/>
              <w:adjustRightInd/>
              <w:spacing w:line="560" w:lineRule="exact"/>
              <w:ind w:left="0" w:leftChars="0" w:firstLine="0" w:firstLineChars="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增减％</w:t>
            </w:r>
          </w:p>
        </w:tc>
      </w:tr>
      <w:tr w14:paraId="13B20E38">
        <w:tblPrEx>
          <w:tblCellMar>
            <w:top w:w="0" w:type="dxa"/>
            <w:left w:w="108" w:type="dxa"/>
            <w:bottom w:w="0" w:type="dxa"/>
            <w:right w:w="108" w:type="dxa"/>
          </w:tblCellMar>
        </w:tblPrEx>
        <w:trPr>
          <w:trHeight w:val="525" w:hRule="atLeast"/>
        </w:trPr>
        <w:tc>
          <w:tcPr>
            <w:tcW w:w="3216" w:type="dxa"/>
            <w:tcBorders>
              <w:top w:val="nil"/>
              <w:left w:val="single" w:color="auto" w:sz="4" w:space="0"/>
              <w:bottom w:val="single" w:color="auto" w:sz="4" w:space="0"/>
              <w:right w:val="single" w:color="auto" w:sz="4" w:space="0"/>
            </w:tcBorders>
            <w:vAlign w:val="center"/>
          </w:tcPr>
          <w:p w14:paraId="0709C539">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“三公”经费支出</w:t>
            </w:r>
          </w:p>
        </w:tc>
        <w:tc>
          <w:tcPr>
            <w:tcW w:w="1384" w:type="dxa"/>
            <w:tcBorders>
              <w:top w:val="nil"/>
              <w:left w:val="nil"/>
              <w:bottom w:val="single" w:color="auto" w:sz="4" w:space="0"/>
              <w:right w:val="single" w:color="auto" w:sz="4" w:space="0"/>
            </w:tcBorders>
            <w:vAlign w:val="center"/>
          </w:tcPr>
          <w:p w14:paraId="77CF2F1E">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vAlign w:val="center"/>
          </w:tcPr>
          <w:p w14:paraId="7FC13111">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7768B914">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283864B0">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14:paraId="58B91968">
        <w:tblPrEx>
          <w:tblCellMar>
            <w:top w:w="0" w:type="dxa"/>
            <w:left w:w="108" w:type="dxa"/>
            <w:bottom w:w="0" w:type="dxa"/>
            <w:right w:w="108" w:type="dxa"/>
          </w:tblCellMar>
        </w:tblPrEx>
        <w:trPr>
          <w:trHeight w:val="525" w:hRule="atLeast"/>
        </w:trPr>
        <w:tc>
          <w:tcPr>
            <w:tcW w:w="3216" w:type="dxa"/>
            <w:tcBorders>
              <w:top w:val="nil"/>
              <w:left w:val="single" w:color="auto" w:sz="4" w:space="0"/>
              <w:bottom w:val="single" w:color="auto" w:sz="4" w:space="0"/>
              <w:right w:val="single" w:color="auto" w:sz="4" w:space="0"/>
            </w:tcBorders>
            <w:vAlign w:val="center"/>
          </w:tcPr>
          <w:p w14:paraId="235496CE">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因公出国（境）费</w:t>
            </w:r>
          </w:p>
        </w:tc>
        <w:tc>
          <w:tcPr>
            <w:tcW w:w="1384" w:type="dxa"/>
            <w:tcBorders>
              <w:top w:val="nil"/>
              <w:left w:val="nil"/>
              <w:bottom w:val="single" w:color="auto" w:sz="4" w:space="0"/>
              <w:right w:val="single" w:color="auto" w:sz="4" w:space="0"/>
            </w:tcBorders>
            <w:vAlign w:val="center"/>
          </w:tcPr>
          <w:p w14:paraId="660A8066">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vAlign w:val="center"/>
          </w:tcPr>
          <w:p w14:paraId="7975FE1C">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2C885AB3">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575B9B9F">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14:paraId="436E9230">
        <w:tblPrEx>
          <w:tblCellMar>
            <w:top w:w="0" w:type="dxa"/>
            <w:left w:w="108" w:type="dxa"/>
            <w:bottom w:w="0" w:type="dxa"/>
            <w:right w:w="108" w:type="dxa"/>
          </w:tblCellMar>
        </w:tblPrEx>
        <w:trPr>
          <w:trHeight w:val="1040" w:hRule="atLeast"/>
        </w:trPr>
        <w:tc>
          <w:tcPr>
            <w:tcW w:w="3216" w:type="dxa"/>
            <w:tcBorders>
              <w:top w:val="nil"/>
              <w:left w:val="single" w:color="auto" w:sz="4" w:space="0"/>
              <w:bottom w:val="single" w:color="auto" w:sz="4" w:space="0"/>
              <w:right w:val="single" w:color="auto" w:sz="4" w:space="0"/>
            </w:tcBorders>
            <w:vAlign w:val="center"/>
          </w:tcPr>
          <w:p w14:paraId="7DFE71F6">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公务用车购置及运行维护费</w:t>
            </w:r>
          </w:p>
        </w:tc>
        <w:tc>
          <w:tcPr>
            <w:tcW w:w="1384" w:type="dxa"/>
            <w:tcBorders>
              <w:top w:val="nil"/>
              <w:left w:val="nil"/>
              <w:bottom w:val="single" w:color="auto" w:sz="4" w:space="0"/>
              <w:right w:val="single" w:color="auto" w:sz="4" w:space="0"/>
            </w:tcBorders>
            <w:vAlign w:val="center"/>
          </w:tcPr>
          <w:p w14:paraId="1B5B547B">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vAlign w:val="center"/>
          </w:tcPr>
          <w:p w14:paraId="137ABD99">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4B432D94">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35BAB80A">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14:paraId="3241DCCE">
        <w:tblPrEx>
          <w:tblCellMar>
            <w:top w:w="0" w:type="dxa"/>
            <w:left w:w="108" w:type="dxa"/>
            <w:bottom w:w="0" w:type="dxa"/>
            <w:right w:w="108" w:type="dxa"/>
          </w:tblCellMar>
        </w:tblPrEx>
        <w:trPr>
          <w:trHeight w:val="994" w:hRule="atLeast"/>
        </w:trPr>
        <w:tc>
          <w:tcPr>
            <w:tcW w:w="3216" w:type="dxa"/>
            <w:tcBorders>
              <w:top w:val="nil"/>
              <w:left w:val="single" w:color="auto" w:sz="4" w:space="0"/>
              <w:bottom w:val="single" w:color="auto" w:sz="4" w:space="0"/>
              <w:right w:val="single" w:color="auto" w:sz="4" w:space="0"/>
            </w:tcBorders>
            <w:vAlign w:val="center"/>
          </w:tcPr>
          <w:p w14:paraId="7DD7928F">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其中：公务用车购置费</w:t>
            </w:r>
          </w:p>
        </w:tc>
        <w:tc>
          <w:tcPr>
            <w:tcW w:w="1384" w:type="dxa"/>
            <w:tcBorders>
              <w:top w:val="nil"/>
              <w:left w:val="nil"/>
              <w:bottom w:val="single" w:color="auto" w:sz="4" w:space="0"/>
              <w:right w:val="single" w:color="auto" w:sz="4" w:space="0"/>
            </w:tcBorders>
            <w:vAlign w:val="center"/>
          </w:tcPr>
          <w:p w14:paraId="577DA510">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vAlign w:val="center"/>
          </w:tcPr>
          <w:p w14:paraId="02D6DDB7">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24CF6E6E">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0B73F95B">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14:paraId="211D2525">
        <w:tblPrEx>
          <w:tblCellMar>
            <w:top w:w="0" w:type="dxa"/>
            <w:left w:w="108" w:type="dxa"/>
            <w:bottom w:w="0" w:type="dxa"/>
            <w:right w:w="108" w:type="dxa"/>
          </w:tblCellMar>
        </w:tblPrEx>
        <w:trPr>
          <w:trHeight w:val="994" w:hRule="atLeast"/>
        </w:trPr>
        <w:tc>
          <w:tcPr>
            <w:tcW w:w="3216" w:type="dxa"/>
            <w:tcBorders>
              <w:top w:val="nil"/>
              <w:left w:val="single" w:color="auto" w:sz="4" w:space="0"/>
              <w:bottom w:val="single" w:color="auto" w:sz="4" w:space="0"/>
              <w:right w:val="single" w:color="auto" w:sz="4" w:space="0"/>
            </w:tcBorders>
            <w:vAlign w:val="center"/>
          </w:tcPr>
          <w:p w14:paraId="2F823DEA">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公务用车运行维护费</w:t>
            </w:r>
          </w:p>
        </w:tc>
        <w:tc>
          <w:tcPr>
            <w:tcW w:w="1384" w:type="dxa"/>
            <w:tcBorders>
              <w:top w:val="nil"/>
              <w:left w:val="nil"/>
              <w:bottom w:val="single" w:color="auto" w:sz="4" w:space="0"/>
              <w:right w:val="single" w:color="auto" w:sz="4" w:space="0"/>
            </w:tcBorders>
            <w:vAlign w:val="center"/>
          </w:tcPr>
          <w:p w14:paraId="03CB4336">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vAlign w:val="center"/>
          </w:tcPr>
          <w:p w14:paraId="43199334">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726AE35E">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26FC3EAD">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14:paraId="3ABE216C">
        <w:tblPrEx>
          <w:tblCellMar>
            <w:top w:w="0" w:type="dxa"/>
            <w:left w:w="108" w:type="dxa"/>
            <w:bottom w:w="0" w:type="dxa"/>
            <w:right w:w="108" w:type="dxa"/>
          </w:tblCellMar>
        </w:tblPrEx>
        <w:trPr>
          <w:trHeight w:val="534" w:hRule="atLeast"/>
        </w:trPr>
        <w:tc>
          <w:tcPr>
            <w:tcW w:w="3216" w:type="dxa"/>
            <w:tcBorders>
              <w:top w:val="nil"/>
              <w:left w:val="single" w:color="auto" w:sz="4" w:space="0"/>
              <w:bottom w:val="single" w:color="auto" w:sz="4" w:space="0"/>
              <w:right w:val="single" w:color="auto" w:sz="4" w:space="0"/>
            </w:tcBorders>
            <w:vAlign w:val="center"/>
          </w:tcPr>
          <w:p w14:paraId="14F7936D">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公务接待费</w:t>
            </w:r>
          </w:p>
        </w:tc>
        <w:tc>
          <w:tcPr>
            <w:tcW w:w="1384" w:type="dxa"/>
            <w:tcBorders>
              <w:top w:val="nil"/>
              <w:left w:val="nil"/>
              <w:bottom w:val="single" w:color="auto" w:sz="4" w:space="0"/>
              <w:right w:val="single" w:color="auto" w:sz="4" w:space="0"/>
            </w:tcBorders>
            <w:vAlign w:val="center"/>
          </w:tcPr>
          <w:p w14:paraId="1CDA43C5">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vAlign w:val="center"/>
          </w:tcPr>
          <w:p w14:paraId="2FC3211B">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36B34603">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6A8E92A4">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bl>
    <w:p w14:paraId="2671F88E">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p>
    <w:p w14:paraId="783D0502">
      <w:pPr>
        <w:pageBreakBefore w:val="0"/>
        <w:widowControl w:val="0"/>
        <w:kinsoku/>
        <w:wordWrap/>
        <w:overflowPunct/>
        <w:topLinePunct w:val="0"/>
        <w:bidi w:val="0"/>
        <w:spacing w:line="576" w:lineRule="exact"/>
        <w:outlineLvl w:val="1"/>
        <w:rPr>
          <w:rFonts w:hint="default" w:ascii="Times New Roman" w:hAnsi="Times New Roman" w:eastAsia="黑体" w:cs="Times New Roman"/>
          <w:sz w:val="32"/>
          <w:szCs w:val="32"/>
          <w:lang w:val="en-US" w:eastAsia="zh-CN"/>
        </w:rPr>
      </w:pPr>
      <w:bookmarkStart w:id="64" w:name="_Toc15396610"/>
      <w:bookmarkStart w:id="65" w:name="_Toc15377218"/>
    </w:p>
    <w:p w14:paraId="23869C6C">
      <w:pPr>
        <w:pageBreakBefore w:val="0"/>
        <w:widowControl w:val="0"/>
        <w:kinsoku/>
        <w:wordWrap/>
        <w:overflowPunct/>
        <w:topLinePunct w:val="0"/>
        <w:bidi w:val="0"/>
        <w:spacing w:line="576" w:lineRule="exact"/>
        <w:ind w:firstLine="640"/>
        <w:outlineLvl w:val="1"/>
        <w:rPr>
          <w:rStyle w:val="21"/>
          <w:rFonts w:ascii="Times New Roman" w:hAnsi="Times New Roman" w:eastAsia="黑体" w:cs="Times New Roman"/>
        </w:rPr>
      </w:pPr>
      <w:bookmarkStart w:id="66" w:name="_Toc26843619"/>
      <w:r>
        <w:rPr>
          <w:rFonts w:ascii="Times New Roman" w:hAnsi="Times New Roman" w:eastAsia="黑体" w:cs="Times New Roman"/>
          <w:sz w:val="32"/>
          <w:szCs w:val="32"/>
        </w:rPr>
        <w:t>八、</w:t>
      </w:r>
      <w:r>
        <w:rPr>
          <w:rStyle w:val="21"/>
          <w:rFonts w:ascii="Times New Roman" w:hAnsi="Times New Roman" w:eastAsia="黑体" w:cs="Times New Roman"/>
          <w:b w:val="0"/>
        </w:rPr>
        <w:t>政府性基金预算支出决算情况说明</w:t>
      </w:r>
      <w:bookmarkEnd w:id="64"/>
      <w:bookmarkEnd w:id="65"/>
      <w:bookmarkEnd w:id="66"/>
    </w:p>
    <w:p w14:paraId="1697B20B">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r>
        <w:rPr>
          <w:rFonts w:hint="eastAsia" w:eastAsia="仿宋_GB2312" w:cs="Times New Roman"/>
          <w:sz w:val="32"/>
          <w:szCs w:val="32"/>
          <w:lang w:eastAsia="zh-CN"/>
        </w:rPr>
        <w:t>202</w:t>
      </w:r>
      <w:r>
        <w:rPr>
          <w:rFonts w:hint="eastAsia" w:eastAsia="仿宋_GB2312" w:cs="Times New Roman"/>
          <w:sz w:val="32"/>
          <w:szCs w:val="32"/>
          <w:lang w:val="en-US" w:eastAsia="zh-CN"/>
        </w:rPr>
        <w:t>4</w:t>
      </w:r>
      <w:r>
        <w:rPr>
          <w:rFonts w:hint="eastAsia" w:eastAsia="仿宋_GB2312" w:cs="Times New Roman"/>
          <w:sz w:val="32"/>
          <w:szCs w:val="32"/>
          <w:lang w:eastAsia="zh-CN"/>
        </w:rPr>
        <w:t>年</w:t>
      </w:r>
      <w:r>
        <w:rPr>
          <w:rFonts w:ascii="Times New Roman" w:hAnsi="Times New Roman" w:eastAsia="仿宋_GB2312" w:cs="Times New Roman"/>
          <w:sz w:val="32"/>
          <w:szCs w:val="32"/>
        </w:rPr>
        <w:t>政府性基金预算财政拨款支出0万元。</w:t>
      </w:r>
    </w:p>
    <w:p w14:paraId="30210FC8">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p>
    <w:p w14:paraId="7F01E042">
      <w:pPr>
        <w:pageBreakBefore w:val="0"/>
        <w:widowControl w:val="0"/>
        <w:numPr>
          <w:ilvl w:val="0"/>
          <w:numId w:val="2"/>
        </w:numPr>
        <w:kinsoku/>
        <w:wordWrap/>
        <w:overflowPunct/>
        <w:topLinePunct w:val="0"/>
        <w:bidi w:val="0"/>
        <w:spacing w:line="576" w:lineRule="exact"/>
        <w:ind w:left="0" w:firstLine="640"/>
        <w:outlineLvl w:val="1"/>
        <w:rPr>
          <w:rStyle w:val="21"/>
          <w:rFonts w:ascii="Times New Roman" w:hAnsi="Times New Roman" w:eastAsia="黑体" w:cs="Times New Roman"/>
          <w:b w:val="0"/>
        </w:rPr>
      </w:pPr>
      <w:bookmarkStart w:id="67" w:name="_Toc26843620"/>
      <w:bookmarkStart w:id="68" w:name="_Toc15377219"/>
      <w:bookmarkStart w:id="69" w:name="_Toc15396611"/>
      <w:r>
        <w:rPr>
          <w:rStyle w:val="21"/>
          <w:rFonts w:ascii="Times New Roman" w:hAnsi="Times New Roman" w:eastAsia="黑体" w:cs="Times New Roman"/>
          <w:b w:val="0"/>
        </w:rPr>
        <w:t>国有资本经营预算支出决算情况说明</w:t>
      </w:r>
      <w:bookmarkEnd w:id="67"/>
      <w:bookmarkEnd w:id="68"/>
      <w:bookmarkEnd w:id="69"/>
    </w:p>
    <w:p w14:paraId="74251696">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r>
        <w:rPr>
          <w:rFonts w:hint="eastAsia" w:eastAsia="仿宋_GB2312" w:cs="Times New Roman"/>
          <w:sz w:val="32"/>
          <w:szCs w:val="32"/>
          <w:lang w:eastAsia="zh-CN"/>
        </w:rPr>
        <w:t>202</w:t>
      </w:r>
      <w:r>
        <w:rPr>
          <w:rFonts w:hint="eastAsia" w:eastAsia="仿宋_GB2312" w:cs="Times New Roman"/>
          <w:sz w:val="32"/>
          <w:szCs w:val="32"/>
          <w:lang w:val="en-US" w:eastAsia="zh-CN"/>
        </w:rPr>
        <w:t>43</w:t>
      </w:r>
      <w:r>
        <w:rPr>
          <w:rFonts w:hint="eastAsia" w:eastAsia="仿宋_GB2312" w:cs="Times New Roman"/>
          <w:sz w:val="32"/>
          <w:szCs w:val="32"/>
          <w:lang w:eastAsia="zh-CN"/>
        </w:rPr>
        <w:t>年</w:t>
      </w:r>
      <w:r>
        <w:rPr>
          <w:rFonts w:ascii="Times New Roman" w:hAnsi="Times New Roman" w:eastAsia="仿宋_GB2312" w:cs="Times New Roman"/>
          <w:sz w:val="32"/>
          <w:szCs w:val="32"/>
        </w:rPr>
        <w:t>国有资本经营预算财政拨款支出0万元。</w:t>
      </w:r>
    </w:p>
    <w:p w14:paraId="0630DC51">
      <w:pPr>
        <w:pageBreakBefore w:val="0"/>
        <w:widowControl w:val="0"/>
        <w:kinsoku/>
        <w:wordWrap/>
        <w:overflowPunct/>
        <w:topLinePunct w:val="0"/>
        <w:bidi w:val="0"/>
        <w:spacing w:line="576" w:lineRule="exact"/>
        <w:jc w:val="center"/>
        <w:rPr>
          <w:rFonts w:ascii="Times New Roman" w:hAnsi="Times New Roman" w:eastAsia="方正小标宋简体" w:cs="Times New Roman"/>
          <w:sz w:val="44"/>
          <w:szCs w:val="44"/>
        </w:rPr>
      </w:pPr>
    </w:p>
    <w:p w14:paraId="324051D8">
      <w:pPr>
        <w:pageBreakBefore w:val="0"/>
        <w:widowControl w:val="0"/>
        <w:numPr>
          <w:ilvl w:val="0"/>
          <w:numId w:val="2"/>
        </w:numPr>
        <w:kinsoku/>
        <w:wordWrap/>
        <w:overflowPunct/>
        <w:topLinePunct w:val="0"/>
        <w:bidi w:val="0"/>
        <w:spacing w:line="576" w:lineRule="exact"/>
        <w:ind w:left="0" w:firstLine="640"/>
        <w:outlineLvl w:val="1"/>
        <w:rPr>
          <w:rStyle w:val="21"/>
          <w:rFonts w:ascii="Times New Roman" w:hAnsi="Times New Roman" w:eastAsia="黑体" w:cs="Times New Roman"/>
          <w:b w:val="0"/>
        </w:rPr>
      </w:pPr>
      <w:bookmarkStart w:id="70" w:name="_Toc15396612"/>
      <w:bookmarkStart w:id="71" w:name="_Toc26843621"/>
      <w:bookmarkStart w:id="72" w:name="_Toc15377221"/>
      <w:r>
        <w:rPr>
          <w:rStyle w:val="21"/>
          <w:rFonts w:ascii="Times New Roman" w:hAnsi="Times New Roman" w:eastAsia="黑体" w:cs="Times New Roman"/>
          <w:b w:val="0"/>
        </w:rPr>
        <w:t>其他重要事项的情况说明</w:t>
      </w:r>
      <w:bookmarkEnd w:id="70"/>
      <w:bookmarkEnd w:id="71"/>
      <w:bookmarkEnd w:id="72"/>
    </w:p>
    <w:p w14:paraId="3D4567D1">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sz w:val="32"/>
          <w:szCs w:val="32"/>
        </w:rPr>
      </w:pPr>
      <w:bookmarkStart w:id="73" w:name="_Toc15377222"/>
      <w:r>
        <w:rPr>
          <w:rFonts w:ascii="Times New Roman" w:hAnsi="Times New Roman" w:eastAsia="仿宋" w:cs="Times New Roman"/>
          <w:b/>
          <w:sz w:val="32"/>
          <w:szCs w:val="32"/>
        </w:rPr>
        <w:t>（一）机关运行经费支出情况</w:t>
      </w:r>
      <w:bookmarkEnd w:id="73"/>
    </w:p>
    <w:p w14:paraId="22581EFE">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hint="eastAsia" w:eastAsia="仿宋_GB2312" w:cs="Times New Roman"/>
          <w:sz w:val="32"/>
          <w:szCs w:val="32"/>
          <w:lang w:eastAsia="zh-CN"/>
        </w:rPr>
        <w:t>202</w:t>
      </w:r>
      <w:r>
        <w:rPr>
          <w:rFonts w:hint="eastAsia" w:eastAsia="仿宋_GB2312" w:cs="Times New Roman"/>
          <w:sz w:val="32"/>
          <w:szCs w:val="32"/>
          <w:lang w:val="en-US" w:eastAsia="zh-CN"/>
        </w:rPr>
        <w:t>4</w:t>
      </w:r>
      <w:r>
        <w:rPr>
          <w:rFonts w:hint="eastAsia" w:eastAsia="仿宋_GB2312" w:cs="Times New Roman"/>
          <w:sz w:val="32"/>
          <w:szCs w:val="32"/>
          <w:lang w:eastAsia="zh-CN"/>
        </w:rPr>
        <w:t>年，金川县供销合作社联合社运行经费支出</w:t>
      </w:r>
      <w:r>
        <w:rPr>
          <w:rFonts w:hint="eastAsia" w:eastAsia="仿宋_GB2312" w:cs="Times New Roman"/>
          <w:sz w:val="32"/>
          <w:szCs w:val="32"/>
          <w:lang w:val="en-US" w:eastAsia="zh-CN"/>
        </w:rPr>
        <w:t>11.32</w:t>
      </w:r>
      <w:r>
        <w:rPr>
          <w:rFonts w:hint="eastAsia" w:eastAsia="仿宋_GB2312" w:cs="Times New Roman"/>
          <w:sz w:val="32"/>
          <w:szCs w:val="32"/>
          <w:lang w:eastAsia="zh-CN"/>
        </w:rPr>
        <w:t>万元，比202</w:t>
      </w:r>
      <w:r>
        <w:rPr>
          <w:rFonts w:hint="eastAsia" w:eastAsia="仿宋_GB2312" w:cs="Times New Roman"/>
          <w:sz w:val="32"/>
          <w:szCs w:val="32"/>
          <w:lang w:val="en-US" w:eastAsia="zh-CN"/>
        </w:rPr>
        <w:t>3</w:t>
      </w:r>
      <w:r>
        <w:rPr>
          <w:rFonts w:hint="eastAsia" w:eastAsia="仿宋_GB2312" w:cs="Times New Roman"/>
          <w:sz w:val="32"/>
          <w:szCs w:val="32"/>
          <w:lang w:eastAsia="zh-CN"/>
        </w:rPr>
        <w:t>年减少</w:t>
      </w:r>
      <w:r>
        <w:rPr>
          <w:rFonts w:hint="eastAsia" w:eastAsia="仿宋_GB2312" w:cs="Times New Roman"/>
          <w:sz w:val="32"/>
          <w:szCs w:val="32"/>
          <w:lang w:val="en-US" w:eastAsia="zh-CN"/>
        </w:rPr>
        <w:t>0.02</w:t>
      </w:r>
      <w:r>
        <w:rPr>
          <w:rFonts w:hint="eastAsia" w:eastAsia="仿宋_GB2312" w:cs="Times New Roman"/>
          <w:sz w:val="32"/>
          <w:szCs w:val="32"/>
          <w:lang w:eastAsia="zh-CN"/>
        </w:rPr>
        <w:t>万元，下降</w:t>
      </w:r>
      <w:r>
        <w:rPr>
          <w:rFonts w:hint="eastAsia" w:eastAsia="仿宋_GB2312" w:cs="Times New Roman"/>
          <w:sz w:val="32"/>
          <w:szCs w:val="32"/>
          <w:lang w:val="en-US" w:eastAsia="zh-CN"/>
        </w:rPr>
        <w:t>0.18</w:t>
      </w:r>
      <w:r>
        <w:rPr>
          <w:rFonts w:hint="eastAsia" w:eastAsia="仿宋_GB2312" w:cs="Times New Roman"/>
          <w:sz w:val="32"/>
          <w:szCs w:val="32"/>
          <w:lang w:eastAsia="zh-CN"/>
        </w:rPr>
        <w:t>%。主要原因为</w:t>
      </w:r>
      <w:r>
        <w:rPr>
          <w:rFonts w:hint="eastAsia" w:eastAsia="仿宋_GB2312" w:cs="Times New Roman"/>
          <w:sz w:val="32"/>
          <w:szCs w:val="32"/>
          <w:lang w:val="en-US" w:eastAsia="zh-CN"/>
        </w:rPr>
        <w:t>节约成本，</w:t>
      </w:r>
      <w:r>
        <w:rPr>
          <w:rFonts w:hint="eastAsia" w:eastAsia="仿宋_GB2312" w:cs="Times New Roman"/>
          <w:sz w:val="32"/>
          <w:szCs w:val="32"/>
          <w:lang w:eastAsia="zh-CN"/>
        </w:rPr>
        <w:t>办公费等有所减少。</w:t>
      </w:r>
    </w:p>
    <w:p w14:paraId="71884C78">
      <w:pPr>
        <w:pageBreakBefore w:val="0"/>
        <w:widowControl w:val="0"/>
        <w:kinsoku/>
        <w:wordWrap/>
        <w:overflowPunct/>
        <w:topLinePunct w:val="0"/>
        <w:autoSpaceDE w:val="0"/>
        <w:autoSpaceDN w:val="0"/>
        <w:bidi w:val="0"/>
        <w:adjustRightInd w:val="0"/>
        <w:spacing w:line="576" w:lineRule="exact"/>
        <w:ind w:firstLine="643" w:firstLineChars="200"/>
        <w:jc w:val="left"/>
        <w:outlineLvl w:val="2"/>
        <w:rPr>
          <w:rFonts w:ascii="Times New Roman" w:hAnsi="Times New Roman" w:eastAsia="仿宋" w:cs="Times New Roman"/>
          <w:b/>
          <w:sz w:val="32"/>
          <w:szCs w:val="32"/>
        </w:rPr>
      </w:pPr>
      <w:bookmarkStart w:id="74" w:name="_Toc15377223"/>
      <w:r>
        <w:rPr>
          <w:rFonts w:ascii="Times New Roman" w:hAnsi="Times New Roman" w:eastAsia="仿宋" w:cs="Times New Roman"/>
          <w:b/>
          <w:sz w:val="32"/>
          <w:szCs w:val="32"/>
        </w:rPr>
        <w:t>（二）政府采购支出情况</w:t>
      </w:r>
      <w:bookmarkEnd w:id="74"/>
    </w:p>
    <w:p w14:paraId="28182AC9">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color w:val="4F81BD" w:themeColor="accent1"/>
          <w:sz w:val="32"/>
          <w:szCs w:val="32"/>
          <w:lang w:val="en-US" w:eastAsia="zh-CN"/>
          <w14:textFill>
            <w14:solidFill>
              <w14:schemeClr w14:val="accent1"/>
            </w14:solidFill>
          </w14:textFill>
        </w:rPr>
      </w:pPr>
      <w:r>
        <w:rPr>
          <w:rFonts w:hint="eastAsia" w:eastAsia="仿宋_GB2312" w:cs="Times New Roman"/>
          <w:sz w:val="32"/>
          <w:szCs w:val="32"/>
          <w:lang w:eastAsia="zh-CN"/>
        </w:rPr>
        <w:t>202</w:t>
      </w:r>
      <w:r>
        <w:rPr>
          <w:rFonts w:hint="eastAsia" w:eastAsia="仿宋_GB2312" w:cs="Times New Roman"/>
          <w:sz w:val="32"/>
          <w:szCs w:val="32"/>
          <w:lang w:val="en-US" w:eastAsia="zh-CN"/>
        </w:rPr>
        <w:t>4</w:t>
      </w:r>
      <w:r>
        <w:rPr>
          <w:rFonts w:hint="eastAsia" w:eastAsia="仿宋_GB2312" w:cs="Times New Roman"/>
          <w:sz w:val="32"/>
          <w:szCs w:val="32"/>
          <w:lang w:eastAsia="zh-CN"/>
        </w:rPr>
        <w:t>年，金川县供销合作社联合社采购支出总额</w:t>
      </w:r>
      <w:r>
        <w:rPr>
          <w:rFonts w:hint="eastAsia" w:eastAsia="仿宋_GB2312" w:cs="Times New Roman"/>
          <w:sz w:val="32"/>
          <w:szCs w:val="32"/>
          <w:lang w:val="en-US" w:eastAsia="zh-CN"/>
        </w:rPr>
        <w:t>0</w:t>
      </w:r>
      <w:r>
        <w:rPr>
          <w:rFonts w:hint="eastAsia" w:eastAsia="仿宋_GB2312" w:cs="Times New Roman"/>
          <w:sz w:val="32"/>
          <w:szCs w:val="32"/>
          <w:lang w:eastAsia="zh-CN"/>
        </w:rPr>
        <w:t>万元，其</w:t>
      </w:r>
      <w:r>
        <w:rPr>
          <w:rFonts w:ascii="Times New Roman" w:hAnsi="Times New Roman" w:eastAsia="仿宋_GB2312" w:cs="Times New Roman"/>
          <w:sz w:val="32"/>
          <w:szCs w:val="32"/>
        </w:rPr>
        <w:t>中：政府采购货物</w:t>
      </w:r>
      <w:r>
        <w:rPr>
          <w:rFonts w:hint="eastAsia" w:eastAsia="仿宋_GB2312" w:cs="Times New Roman"/>
          <w:sz w:val="32"/>
          <w:szCs w:val="32"/>
          <w:lang w:eastAsia="zh-CN"/>
        </w:rPr>
        <w:t>支付</w:t>
      </w:r>
      <w:r>
        <w:rPr>
          <w:rFonts w:hint="eastAsia" w:eastAsia="仿宋_GB2312" w:cs="Times New Roman"/>
          <w:sz w:val="32"/>
          <w:szCs w:val="32"/>
          <w:lang w:val="en-US" w:eastAsia="zh-CN"/>
        </w:rPr>
        <w:t>0</w:t>
      </w:r>
      <w:r>
        <w:rPr>
          <w:rFonts w:ascii="Times New Roman" w:hAnsi="Times New Roman" w:eastAsia="仿宋_GB2312" w:cs="Times New Roman"/>
          <w:sz w:val="32"/>
          <w:szCs w:val="32"/>
        </w:rPr>
        <w:t>万元、政府采购工程支出0万元、政府采购服务支出0万元。</w:t>
      </w:r>
    </w:p>
    <w:p w14:paraId="27CF418D">
      <w:pPr>
        <w:pageBreakBefore w:val="0"/>
        <w:widowControl w:val="0"/>
        <w:kinsoku/>
        <w:wordWrap/>
        <w:overflowPunct/>
        <w:topLinePunct w:val="0"/>
        <w:autoSpaceDE w:val="0"/>
        <w:autoSpaceDN w:val="0"/>
        <w:bidi w:val="0"/>
        <w:adjustRightInd w:val="0"/>
        <w:spacing w:line="576" w:lineRule="exact"/>
        <w:ind w:firstLine="643" w:firstLineChars="200"/>
        <w:jc w:val="left"/>
        <w:outlineLvl w:val="2"/>
        <w:rPr>
          <w:rFonts w:ascii="Times New Roman" w:hAnsi="Times New Roman" w:eastAsia="仿宋" w:cs="Times New Roman"/>
          <w:b/>
          <w:sz w:val="32"/>
          <w:szCs w:val="32"/>
        </w:rPr>
      </w:pPr>
      <w:bookmarkStart w:id="75" w:name="_Toc15377224"/>
      <w:r>
        <w:rPr>
          <w:rFonts w:ascii="Times New Roman" w:hAnsi="Times New Roman" w:eastAsia="仿宋" w:cs="Times New Roman"/>
          <w:b/>
          <w:sz w:val="32"/>
          <w:szCs w:val="32"/>
        </w:rPr>
        <w:t>（三）国有资产占有使用情况</w:t>
      </w:r>
      <w:bookmarkEnd w:id="75"/>
    </w:p>
    <w:p w14:paraId="043E3A59">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截至</w:t>
      </w:r>
      <w:r>
        <w:rPr>
          <w:rFonts w:hint="eastAsia" w:ascii="Times New Roman" w:hAnsi="Times New Roman" w:eastAsia="仿宋_GB2312" w:cs="Times New Roman"/>
          <w:sz w:val="32"/>
          <w:szCs w:val="32"/>
          <w:lang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eastAsia="zh-CN"/>
        </w:rPr>
        <w:t>年</w:t>
      </w:r>
      <w:r>
        <w:rPr>
          <w:rFonts w:ascii="Times New Roman" w:hAnsi="Times New Roman" w:eastAsia="仿宋_GB2312" w:cs="Times New Roman"/>
          <w:sz w:val="32"/>
          <w:szCs w:val="32"/>
        </w:rPr>
        <w:t>12月31日，</w:t>
      </w:r>
      <w:r>
        <w:rPr>
          <w:rFonts w:hint="eastAsia" w:ascii="Times New Roman" w:hAnsi="Times New Roman" w:eastAsia="仿宋_GB2312" w:cs="Times New Roman"/>
          <w:sz w:val="32"/>
          <w:szCs w:val="32"/>
          <w:lang w:eastAsia="zh-CN"/>
        </w:rPr>
        <w:t>金川县供销合作社联合社</w:t>
      </w:r>
      <w:r>
        <w:rPr>
          <w:rFonts w:hint="eastAsia" w:ascii="Times New Roman" w:hAnsi="Times New Roman" w:eastAsia="仿宋_GB2312" w:cs="Times New Roman"/>
          <w:sz w:val="32"/>
          <w:szCs w:val="32"/>
        </w:rPr>
        <w:t>共有</w:t>
      </w:r>
      <w:r>
        <w:rPr>
          <w:rFonts w:hint="eastAsia" w:eastAsia="仿宋_GB2312" w:cs="Times New Roman"/>
          <w:sz w:val="32"/>
          <w:szCs w:val="32"/>
          <w:lang w:val="en-US" w:eastAsia="zh-CN"/>
        </w:rPr>
        <w:t>特种专业技术用车3</w:t>
      </w:r>
      <w:r>
        <w:rPr>
          <w:rFonts w:hint="eastAsia" w:ascii="Times New Roman" w:hAnsi="Times New Roman" w:eastAsia="仿宋_GB2312" w:cs="Times New Roman"/>
          <w:sz w:val="32"/>
          <w:szCs w:val="32"/>
        </w:rPr>
        <w:t>辆</w:t>
      </w:r>
      <w:r>
        <w:rPr>
          <w:rFonts w:hint="eastAsia" w:eastAsia="仿宋_GB2312" w:cs="Times New Roman"/>
          <w:sz w:val="32"/>
          <w:szCs w:val="32"/>
          <w:lang w:eastAsia="zh-CN"/>
        </w:rPr>
        <w:t>，</w:t>
      </w:r>
      <w:r>
        <w:rPr>
          <w:rFonts w:hint="eastAsia" w:eastAsia="仿宋_GB2312" w:cs="Times New Roman"/>
          <w:sz w:val="32"/>
          <w:szCs w:val="32"/>
          <w:lang w:val="en-US" w:eastAsia="zh-CN"/>
        </w:rPr>
        <w:t>均为冷藏车</w:t>
      </w:r>
      <w:r>
        <w:rPr>
          <w:rFonts w:ascii="Times New Roman" w:hAnsi="Times New Roman" w:eastAsia="仿宋_GB2312" w:cs="Times New Roman"/>
          <w:sz w:val="32"/>
          <w:szCs w:val="32"/>
        </w:rPr>
        <w:t>。</w:t>
      </w:r>
    </w:p>
    <w:p w14:paraId="05FC1F08">
      <w:pPr>
        <w:pageBreakBefore w:val="0"/>
        <w:widowControl w:val="0"/>
        <w:kinsoku/>
        <w:wordWrap/>
        <w:overflowPunct/>
        <w:topLinePunct w:val="0"/>
        <w:autoSpaceDE w:val="0"/>
        <w:autoSpaceDN w:val="0"/>
        <w:bidi w:val="0"/>
        <w:adjustRightInd w:val="0"/>
        <w:spacing w:line="576" w:lineRule="exact"/>
        <w:ind w:firstLine="643" w:firstLineChars="200"/>
        <w:jc w:val="left"/>
        <w:outlineLvl w:val="2"/>
        <w:rPr>
          <w:rFonts w:ascii="Times New Roman" w:hAnsi="Times New Roman" w:eastAsia="仿宋" w:cs="Times New Roman"/>
          <w:b/>
          <w:sz w:val="32"/>
          <w:szCs w:val="32"/>
        </w:rPr>
      </w:pPr>
      <w:r>
        <w:rPr>
          <w:rFonts w:ascii="Times New Roman" w:hAnsi="Times New Roman" w:eastAsia="仿宋" w:cs="Times New Roman"/>
          <w:b/>
          <w:sz w:val="32"/>
          <w:szCs w:val="32"/>
        </w:rPr>
        <w:t>（四）预算绩效管理情况</w:t>
      </w:r>
    </w:p>
    <w:p w14:paraId="28F025A8">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根据预算绩效管理要求，</w:t>
      </w:r>
      <w:r>
        <w:rPr>
          <w:rFonts w:hint="eastAsia" w:eastAsia="仿宋_GB2312" w:cs="Times New Roman"/>
          <w:sz w:val="32"/>
          <w:szCs w:val="32"/>
          <w:lang w:val="en-US" w:eastAsia="zh-CN"/>
        </w:rPr>
        <w:t>本单位</w:t>
      </w:r>
      <w:r>
        <w:rPr>
          <w:rFonts w:ascii="Times New Roman" w:hAnsi="Times New Roman" w:eastAsia="仿宋_GB2312" w:cs="Times New Roman"/>
          <w:sz w:val="32"/>
          <w:szCs w:val="32"/>
        </w:rPr>
        <w:t>在</w:t>
      </w:r>
      <w:r>
        <w:rPr>
          <w:rFonts w:hint="eastAsia" w:eastAsia="仿宋_GB2312" w:cs="Times New Roman"/>
          <w:sz w:val="32"/>
          <w:szCs w:val="32"/>
          <w:lang w:eastAsia="zh-CN"/>
        </w:rPr>
        <w:t>202</w:t>
      </w:r>
      <w:r>
        <w:rPr>
          <w:rFonts w:hint="eastAsia" w:eastAsia="仿宋_GB2312" w:cs="Times New Roman"/>
          <w:sz w:val="32"/>
          <w:szCs w:val="32"/>
          <w:lang w:val="en-US" w:eastAsia="zh-CN"/>
        </w:rPr>
        <w:t>4</w:t>
      </w:r>
      <w:r>
        <w:rPr>
          <w:rFonts w:hint="eastAsia" w:eastAsia="仿宋_GB2312" w:cs="Times New Roman"/>
          <w:sz w:val="32"/>
          <w:szCs w:val="32"/>
          <w:lang w:eastAsia="zh-CN"/>
        </w:rPr>
        <w:t>年</w:t>
      </w:r>
      <w:r>
        <w:rPr>
          <w:rFonts w:ascii="Times New Roman" w:hAnsi="Times New Roman" w:eastAsia="仿宋_GB2312" w:cs="Times New Roman"/>
          <w:sz w:val="32"/>
          <w:szCs w:val="32"/>
        </w:rPr>
        <w:t>度预算编制阶段，组织对</w:t>
      </w:r>
      <w:r>
        <w:rPr>
          <w:rFonts w:hint="eastAsia" w:ascii="Times New Roman" w:hAnsi="Times New Roman" w:eastAsia="仿宋_GB2312" w:cs="Times New Roman"/>
          <w:sz w:val="32"/>
          <w:szCs w:val="32"/>
        </w:rPr>
        <w:t>农资储备和价格补贴专项经费</w:t>
      </w:r>
      <w:r>
        <w:rPr>
          <w:rFonts w:ascii="Times New Roman" w:hAnsi="Times New Roman" w:eastAsia="仿宋_GB2312" w:cs="Times New Roman"/>
          <w:sz w:val="32"/>
          <w:szCs w:val="32"/>
        </w:rPr>
        <w:t>项目等</w:t>
      </w:r>
      <w:r>
        <w:rPr>
          <w:rFonts w:hint="eastAsia" w:eastAsia="仿宋_GB2312" w:cs="Times New Roman"/>
          <w:sz w:val="32"/>
          <w:szCs w:val="32"/>
          <w:lang w:val="en-US" w:eastAsia="zh-CN"/>
        </w:rPr>
        <w:t>1</w:t>
      </w:r>
      <w:r>
        <w:rPr>
          <w:rFonts w:ascii="Times New Roman" w:hAnsi="Times New Roman" w:eastAsia="仿宋_GB2312" w:cs="Times New Roman"/>
          <w:sz w:val="32"/>
          <w:szCs w:val="32"/>
        </w:rPr>
        <w:t>个项目开展了预算事前绩效评估，对</w:t>
      </w:r>
      <w:r>
        <w:rPr>
          <w:rFonts w:hint="eastAsia" w:eastAsia="仿宋_GB2312" w:cs="Times New Roman"/>
          <w:sz w:val="32"/>
          <w:szCs w:val="32"/>
          <w:lang w:val="en-US" w:eastAsia="zh-CN"/>
        </w:rPr>
        <w:t>1</w:t>
      </w:r>
      <w:r>
        <w:rPr>
          <w:rFonts w:ascii="Times New Roman" w:hAnsi="Times New Roman" w:eastAsia="仿宋_GB2312" w:cs="Times New Roman"/>
          <w:sz w:val="32"/>
          <w:szCs w:val="32"/>
        </w:rPr>
        <w:t>个项目编制了绩效目标，预算执行过程中，选取</w:t>
      </w:r>
      <w:r>
        <w:rPr>
          <w:rFonts w:hint="eastAsia" w:eastAsia="仿宋_GB2312" w:cs="Times New Roman"/>
          <w:sz w:val="32"/>
          <w:szCs w:val="32"/>
          <w:lang w:val="en-US" w:eastAsia="zh-CN"/>
        </w:rPr>
        <w:t>1</w:t>
      </w:r>
      <w:r>
        <w:rPr>
          <w:rFonts w:ascii="Times New Roman" w:hAnsi="Times New Roman" w:eastAsia="仿宋_GB2312" w:cs="Times New Roman"/>
          <w:sz w:val="32"/>
          <w:szCs w:val="32"/>
        </w:rPr>
        <w:t>个项目开展绩效监控，年终执行完毕后，对</w:t>
      </w:r>
      <w:r>
        <w:rPr>
          <w:rFonts w:hint="eastAsia" w:eastAsia="仿宋_GB2312" w:cs="Times New Roman"/>
          <w:sz w:val="32"/>
          <w:szCs w:val="32"/>
          <w:lang w:val="en-US" w:eastAsia="zh-CN"/>
        </w:rPr>
        <w:t>1</w:t>
      </w:r>
      <w:r>
        <w:rPr>
          <w:rFonts w:ascii="Times New Roman" w:hAnsi="Times New Roman" w:eastAsia="仿宋_GB2312" w:cs="Times New Roman"/>
          <w:sz w:val="32"/>
          <w:szCs w:val="32"/>
        </w:rPr>
        <w:t>个项目开展了绩效自评。同时，本部门对</w:t>
      </w:r>
      <w:r>
        <w:rPr>
          <w:rFonts w:hint="eastAsia" w:eastAsia="仿宋_GB2312" w:cs="Times New Roman"/>
          <w:sz w:val="32"/>
          <w:szCs w:val="32"/>
          <w:lang w:eastAsia="zh-CN"/>
        </w:rPr>
        <w:t>202</w:t>
      </w:r>
      <w:r>
        <w:rPr>
          <w:rFonts w:hint="eastAsia" w:eastAsia="仿宋_GB2312" w:cs="Times New Roman"/>
          <w:sz w:val="32"/>
          <w:szCs w:val="32"/>
          <w:lang w:val="en-US" w:eastAsia="zh-CN"/>
        </w:rPr>
        <w:t>4</w:t>
      </w:r>
      <w:r>
        <w:rPr>
          <w:rFonts w:hint="eastAsia" w:eastAsia="仿宋_GB2312" w:cs="Times New Roman"/>
          <w:sz w:val="32"/>
          <w:szCs w:val="32"/>
          <w:lang w:eastAsia="zh-CN"/>
        </w:rPr>
        <w:t>年</w:t>
      </w:r>
      <w:r>
        <w:rPr>
          <w:rFonts w:ascii="Times New Roman" w:hAnsi="Times New Roman" w:eastAsia="仿宋_GB2312" w:cs="Times New Roman"/>
          <w:sz w:val="32"/>
          <w:szCs w:val="32"/>
        </w:rPr>
        <w:t>部门整体开展绩效自评，《</w:t>
      </w:r>
      <w:r>
        <w:rPr>
          <w:rFonts w:hint="eastAsia" w:eastAsia="仿宋_GB2312" w:cs="Times New Roman"/>
          <w:sz w:val="32"/>
          <w:szCs w:val="32"/>
          <w:lang w:eastAsia="zh-CN"/>
        </w:rPr>
        <w:t>202</w:t>
      </w:r>
      <w:r>
        <w:rPr>
          <w:rFonts w:hint="eastAsia" w:eastAsia="仿宋_GB2312" w:cs="Times New Roman"/>
          <w:sz w:val="32"/>
          <w:szCs w:val="32"/>
          <w:lang w:val="en-US" w:eastAsia="zh-CN"/>
        </w:rPr>
        <w:t>4</w:t>
      </w:r>
      <w:r>
        <w:rPr>
          <w:rFonts w:hint="eastAsia" w:eastAsia="仿宋_GB2312" w:cs="Times New Roman"/>
          <w:sz w:val="32"/>
          <w:szCs w:val="32"/>
          <w:lang w:eastAsia="zh-CN"/>
        </w:rPr>
        <w:t>年</w:t>
      </w:r>
      <w:r>
        <w:rPr>
          <w:rFonts w:hint="eastAsia" w:eastAsia="仿宋_GB2312" w:cs="Times New Roman"/>
          <w:sz w:val="32"/>
          <w:szCs w:val="32"/>
          <w:lang w:val="en-US" w:eastAsia="zh-CN"/>
        </w:rPr>
        <w:t>金川县供销合作社联合社</w:t>
      </w:r>
      <w:r>
        <w:rPr>
          <w:rFonts w:ascii="Times New Roman" w:hAnsi="Times New Roman" w:eastAsia="仿宋_GB2312" w:cs="Times New Roman"/>
          <w:sz w:val="32"/>
          <w:szCs w:val="32"/>
        </w:rPr>
        <w:t>整体绩效评价报告》见附件（第四部分）。</w:t>
      </w:r>
    </w:p>
    <w:p w14:paraId="308C712E">
      <w:pPr>
        <w:pageBreakBefore w:val="0"/>
        <w:widowControl/>
        <w:kinsoku/>
        <w:wordWrap/>
        <w:overflowPunct/>
        <w:topLinePunct w:val="0"/>
        <w:bidi w:val="0"/>
        <w:spacing w:line="576" w:lineRule="exact"/>
        <w:jc w:val="left"/>
        <w:rPr>
          <w:rFonts w:ascii="Times New Roman" w:hAnsi="Times New Roman" w:eastAsia="仿宋_GB2312" w:cs="Times New Roman"/>
          <w:b/>
          <w:sz w:val="32"/>
          <w:szCs w:val="32"/>
        </w:rPr>
      </w:pPr>
      <w:r>
        <w:rPr>
          <w:rFonts w:ascii="Times New Roman" w:hAnsi="Times New Roman" w:eastAsia="仿宋_GB2312" w:cs="Times New Roman"/>
          <w:b/>
          <w:sz w:val="32"/>
          <w:szCs w:val="32"/>
        </w:rPr>
        <w:br w:type="page"/>
      </w:r>
    </w:p>
    <w:p w14:paraId="02384E51">
      <w:pPr>
        <w:pageBreakBefore w:val="0"/>
        <w:widowControl w:val="0"/>
        <w:numPr>
          <w:ilvl w:val="0"/>
          <w:numId w:val="3"/>
        </w:numPr>
        <w:kinsoku/>
        <w:wordWrap/>
        <w:overflowPunct/>
        <w:topLinePunct w:val="0"/>
        <w:bidi w:val="0"/>
        <w:spacing w:line="576" w:lineRule="exact"/>
        <w:ind w:left="0" w:firstLine="660" w:firstLineChars="150"/>
        <w:jc w:val="center"/>
        <w:outlineLvl w:val="0"/>
        <w:rPr>
          <w:rStyle w:val="20"/>
          <w:rFonts w:ascii="Times New Roman" w:hAnsi="Times New Roman" w:eastAsia="黑体" w:cs="Times New Roman"/>
          <w:b w:val="0"/>
        </w:rPr>
      </w:pPr>
      <w:bookmarkStart w:id="76" w:name="_Toc15377225"/>
      <w:bookmarkStart w:id="77" w:name="_Toc15396613"/>
      <w:bookmarkStart w:id="78" w:name="_Toc26843622"/>
      <w:r>
        <w:rPr>
          <w:rFonts w:ascii="Times New Roman" w:hAnsi="Times New Roman" w:eastAsia="黑体" w:cs="Times New Roman"/>
          <w:sz w:val="44"/>
          <w:szCs w:val="44"/>
        </w:rPr>
        <w:t>名</w:t>
      </w:r>
      <w:r>
        <w:rPr>
          <w:rStyle w:val="20"/>
          <w:rFonts w:ascii="Times New Roman" w:hAnsi="Times New Roman" w:eastAsia="黑体" w:cs="Times New Roman"/>
          <w:b w:val="0"/>
        </w:rPr>
        <w:t>词解释</w:t>
      </w:r>
      <w:bookmarkEnd w:id="76"/>
      <w:bookmarkEnd w:id="77"/>
      <w:bookmarkEnd w:id="78"/>
    </w:p>
    <w:p w14:paraId="51A09358">
      <w:pPr>
        <w:pageBreakBefore w:val="0"/>
        <w:widowControl w:val="0"/>
        <w:kinsoku/>
        <w:wordWrap/>
        <w:overflowPunct/>
        <w:topLinePunct w:val="0"/>
        <w:bidi w:val="0"/>
        <w:spacing w:line="576" w:lineRule="exact"/>
        <w:jc w:val="left"/>
        <w:rPr>
          <w:rFonts w:ascii="Times New Roman" w:hAnsi="Times New Roman" w:cs="Times New Roman"/>
          <w:b/>
          <w:sz w:val="44"/>
          <w:szCs w:val="44"/>
        </w:rPr>
      </w:pPr>
    </w:p>
    <w:p w14:paraId="4C75B290">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1.财政拨款收入：指单位从同级财政部门取得的财政预算资金。</w:t>
      </w:r>
    </w:p>
    <w:p w14:paraId="37E5AA76">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2.事业收入：指事业单位开展专业业务活动及辅助活动取得的收入。</w:t>
      </w:r>
    </w:p>
    <w:p w14:paraId="4000E87E">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3.经营收入：指事业单位在专业业务活动及其辅助活动之外开展非独立核算经营活动取得的收入</w:t>
      </w:r>
    </w:p>
    <w:p w14:paraId="31709C56">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4.其他收入：指单位取得的除上述收入以外的各项收入。主要是利息收入等。 </w:t>
      </w:r>
    </w:p>
    <w:p w14:paraId="73B6FA93">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5.使用非财政拨款结余：指事业单位使用以前年度积累的非财政拨款结余弥补当年收支差额的金额。 </w:t>
      </w:r>
    </w:p>
    <w:p w14:paraId="75AB8565">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6.年初结转和结余：指以前年度尚未完成、结转到本年按有关规定继续使用的资金。 </w:t>
      </w:r>
    </w:p>
    <w:p w14:paraId="4CF1BB09">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7.结余分配：指事业单位按照会计制度规定缴纳的所得税、提取的专用结余以及转入非财政拨款结余的金额等。</w:t>
      </w:r>
    </w:p>
    <w:p w14:paraId="3D01EFEA">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hint="eastAsia" w:ascii="Times New Roman" w:eastAsia="仿宋_GB2312" w:cs="Times New Roman"/>
          <w:color w:val="auto"/>
          <w:sz w:val="32"/>
          <w:szCs w:val="32"/>
          <w:lang w:eastAsia="zh-CN"/>
        </w:rPr>
        <w:t>8.</w:t>
      </w:r>
      <w:r>
        <w:rPr>
          <w:rFonts w:ascii="Times New Roman" w:hAnsi="Times New Roman" w:eastAsia="仿宋_GB2312" w:cs="Times New Roman"/>
          <w:color w:val="auto"/>
          <w:sz w:val="32"/>
          <w:szCs w:val="32"/>
        </w:rPr>
        <w:t>年末结转和结余：指单位按有关规定结转到下年或以后年度继续使用的资金。</w:t>
      </w:r>
    </w:p>
    <w:p w14:paraId="2E29DA46">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w:t>
      </w:r>
      <w:r>
        <w:rPr>
          <w:rFonts w:ascii="Times New Roman" w:hAnsi="Times New Roman" w:eastAsia="仿宋_GB2312" w:cs="Times New Roman"/>
          <w:bCs/>
          <w:kern w:val="0"/>
          <w:sz w:val="32"/>
          <w:szCs w:val="32"/>
        </w:rPr>
        <w:t>一般公共服务：行政运行</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反映党委办公厅（室）及相关机构的支出；一般行政管理事务</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反映行政单位（包括实行公务员管理的事业单位）未单独设置项级科目的其他项目支出。</w:t>
      </w:r>
    </w:p>
    <w:p w14:paraId="63AC1A62">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w:t>
      </w:r>
      <w:r>
        <w:rPr>
          <w:rFonts w:ascii="Times New Roman" w:hAnsi="Times New Roman" w:eastAsia="仿宋_GB2312" w:cs="Times New Roman"/>
          <w:bCs/>
          <w:kern w:val="0"/>
          <w:sz w:val="32"/>
          <w:szCs w:val="32"/>
        </w:rPr>
        <w:t>社会保障和就业：反映政府在社会保障与就业方面的支出</w:t>
      </w:r>
      <w:r>
        <w:rPr>
          <w:rFonts w:ascii="Times New Roman" w:hAnsi="Times New Roman" w:eastAsia="仿宋_GB2312" w:cs="Times New Roman"/>
          <w:bCs/>
          <w:kern w:val="0"/>
          <w:sz w:val="32"/>
          <w:szCs w:val="32"/>
          <w:lang w:eastAsia="zh-CN"/>
        </w:rPr>
        <w:t>。</w:t>
      </w:r>
    </w:p>
    <w:p w14:paraId="5016007F">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w:t>
      </w:r>
      <w:r>
        <w:rPr>
          <w:rFonts w:ascii="Times New Roman" w:hAnsi="Times New Roman" w:eastAsia="仿宋_GB2312" w:cs="Times New Roman"/>
          <w:bCs/>
          <w:sz w:val="32"/>
          <w:szCs w:val="32"/>
        </w:rPr>
        <w:t>医疗卫生与计划生育：反映政府医疗卫生计划生育管理方面的支出</w:t>
      </w:r>
      <w:r>
        <w:rPr>
          <w:rFonts w:ascii="Times New Roman" w:hAnsi="Times New Roman" w:eastAsia="仿宋_GB2312" w:cs="Times New Roman"/>
          <w:bCs/>
          <w:sz w:val="32"/>
          <w:szCs w:val="32"/>
          <w:lang w:eastAsia="zh-CN"/>
        </w:rPr>
        <w:t>。</w:t>
      </w:r>
    </w:p>
    <w:p w14:paraId="42230662">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12.住房保障支出：集中反映政府用于住房方面的支出。</w:t>
      </w:r>
    </w:p>
    <w:p w14:paraId="282F853F">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13.基本支出：指为保障机构正常运转、完成日常工作任务而发生的人员支出和公用支出。</w:t>
      </w:r>
    </w:p>
    <w:p w14:paraId="760C2697">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14.项目支出：指在基本支出之外为完成特定行政任务和事业发展目标所发生的支出。 </w:t>
      </w:r>
    </w:p>
    <w:p w14:paraId="5610E1EF">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15.经营支出：指事业单位在专业业务活动及其辅助活动之外开展非独立核算经营活动发生的支出。</w:t>
      </w:r>
    </w:p>
    <w:p w14:paraId="247A0F48">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618B474">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7185B6A">
      <w:pPr>
        <w:pageBreakBefore w:val="0"/>
        <w:widowControl w:val="0"/>
        <w:kinsoku/>
        <w:wordWrap/>
        <w:overflowPunct/>
        <w:topLinePunct w:val="0"/>
        <w:bidi w:val="0"/>
        <w:spacing w:line="576" w:lineRule="exact"/>
        <w:jc w:val="center"/>
        <w:outlineLvl w:val="0"/>
        <w:rPr>
          <w:rStyle w:val="20"/>
          <w:rFonts w:ascii="Times New Roman" w:hAnsi="Times New Roman" w:eastAsia="黑体" w:cs="Times New Roman"/>
          <w:b w:val="0"/>
        </w:rPr>
      </w:pPr>
      <w:bookmarkStart w:id="79" w:name="_Toc15377226"/>
      <w:r>
        <w:rPr>
          <w:rFonts w:ascii="Times New Roman" w:hAnsi="Times New Roman" w:cs="Times New Roman"/>
          <w:b/>
          <w:sz w:val="44"/>
          <w:szCs w:val="44"/>
        </w:rPr>
        <w:br w:type="page"/>
      </w:r>
      <w:bookmarkStart w:id="80" w:name="_Toc26843623"/>
      <w:bookmarkStart w:id="81" w:name="_Toc15396614"/>
      <w:r>
        <w:rPr>
          <w:rFonts w:ascii="Times New Roman" w:hAnsi="Times New Roman" w:eastAsia="黑体" w:cs="Times New Roman"/>
          <w:sz w:val="44"/>
          <w:szCs w:val="44"/>
        </w:rPr>
        <w:t>第</w:t>
      </w:r>
      <w:r>
        <w:rPr>
          <w:rStyle w:val="20"/>
          <w:rFonts w:ascii="Times New Roman" w:hAnsi="Times New Roman" w:eastAsia="黑体" w:cs="Times New Roman"/>
          <w:b w:val="0"/>
        </w:rPr>
        <w:t>四部分 附件</w:t>
      </w:r>
      <w:bookmarkEnd w:id="80"/>
      <w:bookmarkEnd w:id="81"/>
    </w:p>
    <w:p w14:paraId="7EC12F39">
      <w:pPr>
        <w:pageBreakBefore w:val="0"/>
        <w:widowControl w:val="0"/>
        <w:kinsoku/>
        <w:wordWrap/>
        <w:overflowPunct/>
        <w:topLinePunct w:val="0"/>
        <w:bidi w:val="0"/>
        <w:spacing w:line="576" w:lineRule="exact"/>
        <w:jc w:val="left"/>
        <w:outlineLvl w:val="0"/>
        <w:rPr>
          <w:rFonts w:hint="eastAsia" w:ascii="Times New Roman" w:hAnsi="Times New Roman" w:eastAsia="黑体" w:cs="Times New Roman"/>
          <w:sz w:val="44"/>
          <w:szCs w:val="44"/>
          <w:lang w:val="en-US" w:eastAsia="zh-CN"/>
        </w:rPr>
      </w:pPr>
      <w:bookmarkStart w:id="82" w:name="_Toc26843624"/>
      <w:r>
        <w:rPr>
          <w:rFonts w:ascii="Times New Roman" w:hAnsi="Times New Roman" w:eastAsia="黑体" w:cs="Times New Roman"/>
          <w:sz w:val="32"/>
          <w:szCs w:val="32"/>
        </w:rPr>
        <w:t>附件</w:t>
      </w:r>
      <w:bookmarkEnd w:id="82"/>
      <w:r>
        <w:rPr>
          <w:rFonts w:hint="eastAsia" w:eastAsia="黑体" w:cs="Times New Roman"/>
          <w:sz w:val="32"/>
          <w:szCs w:val="32"/>
          <w:lang w:val="en-US" w:eastAsia="zh-CN"/>
        </w:rPr>
        <w:t>1</w:t>
      </w:r>
    </w:p>
    <w:p w14:paraId="5D11EED4">
      <w:pPr>
        <w:pageBreakBefore w:val="0"/>
        <w:widowControl w:val="0"/>
        <w:kinsoku/>
        <w:wordWrap/>
        <w:overflowPunct/>
        <w:topLinePunct w:val="0"/>
        <w:bidi w:val="0"/>
        <w:spacing w:line="576" w:lineRule="exact"/>
        <w:jc w:val="center"/>
        <w:rPr>
          <w:rFonts w:hint="eastAsia" w:ascii="Times New Roman" w:hAnsi="Times New Roman" w:eastAsia="方正小标宋简体" w:cs="Times New Roman"/>
          <w:kern w:val="0"/>
          <w:sz w:val="40"/>
          <w:szCs w:val="44"/>
          <w:lang w:eastAsia="zh-CN"/>
        </w:rPr>
      </w:pPr>
      <w:r>
        <w:rPr>
          <w:rFonts w:hint="eastAsia" w:eastAsia="方正小标宋简体" w:cs="Times New Roman"/>
          <w:kern w:val="0"/>
          <w:sz w:val="40"/>
          <w:szCs w:val="44"/>
          <w:lang w:eastAsia="zh-CN"/>
        </w:rPr>
        <w:t>金川县供销合作社联合社</w:t>
      </w:r>
    </w:p>
    <w:p w14:paraId="5E35932E">
      <w:pPr>
        <w:pageBreakBefore w:val="0"/>
        <w:widowControl w:val="0"/>
        <w:kinsoku/>
        <w:wordWrap/>
        <w:overflowPunct/>
        <w:topLinePunct w:val="0"/>
        <w:bidi w:val="0"/>
        <w:spacing w:line="576" w:lineRule="exact"/>
        <w:jc w:val="center"/>
        <w:rPr>
          <w:rFonts w:ascii="Times New Roman" w:hAnsi="Times New Roman" w:eastAsia="黑体" w:cs="Times New Roman"/>
          <w:kern w:val="0"/>
          <w:sz w:val="32"/>
          <w:szCs w:val="32"/>
          <w:shd w:val="clear" w:color="auto" w:fill="FFFFFF"/>
        </w:rPr>
      </w:pPr>
      <w:r>
        <w:rPr>
          <w:rFonts w:hint="eastAsia" w:eastAsia="方正小标宋简体" w:cs="Times New Roman"/>
          <w:kern w:val="0"/>
          <w:sz w:val="40"/>
          <w:szCs w:val="44"/>
          <w:lang w:eastAsia="zh-CN"/>
        </w:rPr>
        <w:t>202</w:t>
      </w:r>
      <w:r>
        <w:rPr>
          <w:rFonts w:hint="eastAsia" w:eastAsia="方正小标宋简体" w:cs="Times New Roman"/>
          <w:kern w:val="0"/>
          <w:sz w:val="40"/>
          <w:szCs w:val="44"/>
          <w:lang w:val="en-US" w:eastAsia="zh-CN"/>
        </w:rPr>
        <w:t>4</w:t>
      </w:r>
      <w:r>
        <w:rPr>
          <w:rFonts w:hint="eastAsia" w:eastAsia="方正小标宋简体" w:cs="Times New Roman"/>
          <w:kern w:val="0"/>
          <w:sz w:val="40"/>
          <w:szCs w:val="44"/>
          <w:lang w:eastAsia="zh-CN"/>
        </w:rPr>
        <w:t>年</w:t>
      </w:r>
      <w:r>
        <w:rPr>
          <w:rFonts w:ascii="Times New Roman" w:hAnsi="Times New Roman" w:eastAsia="方正小标宋简体" w:cs="Times New Roman"/>
          <w:kern w:val="0"/>
          <w:sz w:val="40"/>
          <w:szCs w:val="44"/>
        </w:rPr>
        <w:t>部门整体绩效评价报告</w:t>
      </w:r>
    </w:p>
    <w:p w14:paraId="3A81E764">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黑体" w:cs="Times New Roman"/>
          <w:kern w:val="0"/>
          <w:sz w:val="32"/>
          <w:szCs w:val="32"/>
          <w:shd w:val="clear" w:color="auto" w:fill="FFFFFF"/>
        </w:rPr>
      </w:pPr>
    </w:p>
    <w:p w14:paraId="470A2E66">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黑体" w:cs="Times New Roman"/>
          <w:kern w:val="0"/>
          <w:sz w:val="32"/>
          <w:szCs w:val="32"/>
          <w:shd w:val="clear" w:color="auto" w:fill="FFFFFF"/>
          <w:lang w:val="zh-CN"/>
        </w:rPr>
      </w:pPr>
      <w:r>
        <w:rPr>
          <w:rFonts w:ascii="Times New Roman" w:hAnsi="Times New Roman" w:eastAsia="黑体" w:cs="Times New Roman"/>
          <w:kern w:val="0"/>
          <w:sz w:val="32"/>
          <w:szCs w:val="32"/>
          <w:shd w:val="clear" w:color="auto" w:fill="FFFFFF"/>
        </w:rPr>
        <w:t>一、</w:t>
      </w:r>
      <w:r>
        <w:rPr>
          <w:rFonts w:ascii="Times New Roman" w:hAnsi="Times New Roman" w:eastAsia="黑体" w:cs="Times New Roman"/>
          <w:kern w:val="0"/>
          <w:sz w:val="32"/>
          <w:szCs w:val="32"/>
          <w:shd w:val="clear" w:color="auto" w:fill="FFFFFF"/>
          <w:lang w:val="zh-CN"/>
        </w:rPr>
        <w:t>部门（单位）概况</w:t>
      </w:r>
    </w:p>
    <w:p w14:paraId="7324ACE7">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（一）机构组成。</w:t>
      </w:r>
    </w:p>
    <w:p w14:paraId="42364857">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kern w:val="0"/>
          <w:sz w:val="32"/>
          <w:szCs w:val="32"/>
        </w:rPr>
      </w:pPr>
      <w:r>
        <w:rPr>
          <w:rFonts w:hint="eastAsia" w:ascii="仿宋_GB2312" w:hAnsi="宋体" w:eastAsia="仿宋_GB2312" w:cs="宋体"/>
          <w:color w:val="000000"/>
          <w:kern w:val="0"/>
          <w:sz w:val="32"/>
          <w:szCs w:val="24"/>
          <w:lang w:val="zh-CN" w:eastAsia="zh-CN" w:bidi="ar"/>
        </w:rPr>
        <w:t>本单位属于一级预算单位，是参公管理的事业单位。</w:t>
      </w:r>
      <w:r>
        <w:rPr>
          <w:rFonts w:hint="eastAsia" w:ascii="仿宋_GB2312" w:hAnsi="宋体" w:eastAsia="仿宋_GB2312" w:cs="宋体"/>
          <w:color w:val="000000"/>
          <w:kern w:val="0"/>
          <w:sz w:val="32"/>
          <w:szCs w:val="24"/>
          <w:lang w:val="en-US" w:eastAsia="zh-CN" w:bidi="ar"/>
        </w:rPr>
        <w:t>设统一核算机构为1个，独立编制机构为1个。</w:t>
      </w:r>
      <w:r>
        <w:rPr>
          <w:rFonts w:hint="eastAsia" w:ascii="仿宋_GB2312" w:cs="宋体"/>
          <w:color w:val="000000"/>
          <w:kern w:val="0"/>
          <w:szCs w:val="32"/>
          <w:shd w:val="clear" w:color="auto" w:fill="FFFFFF"/>
        </w:rPr>
        <w:t xml:space="preserve"> </w:t>
      </w:r>
    </w:p>
    <w:p w14:paraId="5A1D6F65">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（二）机构职能。</w:t>
      </w:r>
    </w:p>
    <w:p w14:paraId="24F8886E">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rPr>
      </w:pPr>
      <w:r>
        <w:rPr>
          <w:rFonts w:hint="eastAsia" w:ascii="Times New Roman" w:hAnsi="Times New Roman" w:eastAsia="仿宋_GB2312" w:cs="Times New Roman"/>
          <w:bCs/>
          <w:kern w:val="0"/>
          <w:sz w:val="32"/>
          <w:szCs w:val="32"/>
          <w:shd w:val="clear" w:color="auto" w:fill="FFFFFF"/>
          <w:lang w:val="zh-CN"/>
        </w:rPr>
        <w:t>一是负责宣传贯彻党和国家有关农村经济工作和社会发展的方针政策，发挥党和政府密切联系农民群</w:t>
      </w:r>
      <w:r>
        <w:rPr>
          <w:rFonts w:hint="eastAsia" w:eastAsia="仿宋_GB2312" w:cs="Times New Roman"/>
          <w:bCs/>
          <w:kern w:val="0"/>
          <w:sz w:val="32"/>
          <w:szCs w:val="32"/>
          <w:shd w:val="clear" w:color="auto" w:fill="FFFFFF"/>
          <w:lang w:val="zh-CN"/>
        </w:rPr>
        <w:t>众的</w:t>
      </w:r>
      <w:r>
        <w:rPr>
          <w:rFonts w:hint="eastAsia" w:ascii="Times New Roman" w:hAnsi="Times New Roman" w:eastAsia="仿宋_GB2312" w:cs="Times New Roman"/>
          <w:bCs/>
          <w:kern w:val="0"/>
          <w:sz w:val="32"/>
          <w:szCs w:val="32"/>
          <w:shd w:val="clear" w:color="auto" w:fill="FFFFFF"/>
          <w:lang w:val="zh-CN"/>
        </w:rPr>
        <w:t>桥梁纽带作用，巩固党在农村的执政基础；执行全国供销合作总社制定的行业管理制度和重大决策部署，执行上级联合社有关决议；二是组织农民入社，提高农民组织化程度，密切与农民在组织上和经济上的联结；向当地</w:t>
      </w:r>
      <w:r>
        <w:rPr>
          <w:rFonts w:hint="eastAsia" w:eastAsia="仿宋_GB2312" w:cs="Times New Roman"/>
          <w:bCs/>
          <w:kern w:val="0"/>
          <w:sz w:val="32"/>
          <w:szCs w:val="32"/>
          <w:shd w:val="clear" w:color="auto" w:fill="FFFFFF"/>
          <w:lang w:val="zh-CN"/>
        </w:rPr>
        <w:t>党委、政府</w:t>
      </w:r>
      <w:r>
        <w:rPr>
          <w:rFonts w:hint="eastAsia" w:ascii="Times New Roman" w:hAnsi="Times New Roman" w:eastAsia="仿宋_GB2312" w:cs="Times New Roman"/>
          <w:bCs/>
          <w:kern w:val="0"/>
          <w:sz w:val="32"/>
          <w:szCs w:val="32"/>
          <w:shd w:val="clear" w:color="auto" w:fill="FFFFFF"/>
          <w:lang w:val="zh-CN"/>
        </w:rPr>
        <w:t>和上级联合社反映农民的诉求，争取扶持政策；三是领办创办农民专业合作社及其联合社，探索开展生产、供销、信用“三位一体”综合合作；组织开展对社员和职工的教育培训</w:t>
      </w:r>
      <w:r>
        <w:rPr>
          <w:rFonts w:ascii="Times New Roman" w:hAnsi="Times New Roman" w:eastAsia="仿宋_GB2312" w:cs="Times New Roman"/>
          <w:bCs/>
          <w:kern w:val="0"/>
          <w:sz w:val="32"/>
          <w:szCs w:val="32"/>
          <w:shd w:val="clear" w:color="auto" w:fill="FFFFFF"/>
          <w:lang w:val="zh-CN"/>
        </w:rPr>
        <w:t>。</w:t>
      </w:r>
    </w:p>
    <w:p w14:paraId="796E5DEF">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仿宋_GB2312" w:cs="Times New Roman"/>
          <w:kern w:val="0"/>
          <w:sz w:val="32"/>
          <w:szCs w:val="32"/>
          <w:shd w:val="clear" w:color="auto" w:fill="FFFFFF"/>
          <w:lang w:val="zh-CN"/>
        </w:rPr>
      </w:pPr>
      <w:r>
        <w:rPr>
          <w:rFonts w:ascii="Times New Roman" w:hAnsi="Times New Roman" w:eastAsia="楷体_GB2312" w:cs="Times New Roman"/>
          <w:b/>
          <w:sz w:val="32"/>
          <w:szCs w:val="32"/>
          <w:lang w:val="zh-CN"/>
        </w:rPr>
        <w:t>（三）人员概况</w:t>
      </w:r>
      <w:r>
        <w:rPr>
          <w:rFonts w:ascii="Times New Roman" w:hAnsi="Times New Roman" w:eastAsia="仿宋_GB2312" w:cs="Times New Roman"/>
          <w:kern w:val="0"/>
          <w:sz w:val="32"/>
          <w:szCs w:val="32"/>
          <w:shd w:val="clear" w:color="auto" w:fill="FFFFFF"/>
          <w:lang w:val="zh-CN"/>
        </w:rPr>
        <w:t>。</w:t>
      </w:r>
    </w:p>
    <w:p w14:paraId="172FFDF8">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rPr>
      </w:pPr>
      <w:r>
        <w:rPr>
          <w:rFonts w:hint="eastAsia" w:ascii="Times New Roman" w:hAnsi="Times New Roman" w:eastAsia="仿宋_GB2312" w:cs="Times New Roman"/>
          <w:bCs/>
          <w:kern w:val="0"/>
          <w:sz w:val="32"/>
          <w:szCs w:val="32"/>
          <w:shd w:val="clear" w:color="auto" w:fill="FFFFFF"/>
          <w:lang w:val="zh-CN"/>
        </w:rPr>
        <w:t>单位</w:t>
      </w:r>
      <w:r>
        <w:rPr>
          <w:rFonts w:hint="eastAsia" w:eastAsia="仿宋_GB2312" w:cs="Times New Roman"/>
          <w:bCs/>
          <w:kern w:val="0"/>
          <w:sz w:val="32"/>
          <w:szCs w:val="32"/>
          <w:shd w:val="clear" w:color="auto" w:fill="FFFFFF"/>
          <w:lang w:val="en-US" w:eastAsia="zh-CN"/>
        </w:rPr>
        <w:t>人员</w:t>
      </w:r>
      <w:r>
        <w:rPr>
          <w:rFonts w:hint="eastAsia" w:ascii="Times New Roman" w:hAnsi="Times New Roman" w:eastAsia="仿宋_GB2312" w:cs="Times New Roman"/>
          <w:bCs/>
          <w:kern w:val="0"/>
          <w:sz w:val="32"/>
          <w:szCs w:val="32"/>
          <w:shd w:val="clear" w:color="auto" w:fill="FFFFFF"/>
          <w:lang w:val="zh-CN"/>
        </w:rPr>
        <w:t>编制数</w:t>
      </w:r>
      <w:r>
        <w:rPr>
          <w:rFonts w:hint="eastAsia" w:eastAsia="仿宋_GB2312" w:cs="Times New Roman"/>
          <w:bCs/>
          <w:kern w:val="0"/>
          <w:sz w:val="32"/>
          <w:szCs w:val="32"/>
          <w:shd w:val="clear" w:color="auto" w:fill="FFFFFF"/>
          <w:lang w:val="en-US" w:eastAsia="zh-CN"/>
        </w:rPr>
        <w:t>8</w:t>
      </w:r>
      <w:r>
        <w:rPr>
          <w:rFonts w:hint="eastAsia" w:ascii="Times New Roman" w:hAnsi="Times New Roman" w:eastAsia="仿宋_GB2312" w:cs="Times New Roman"/>
          <w:bCs/>
          <w:kern w:val="0"/>
          <w:sz w:val="32"/>
          <w:szCs w:val="32"/>
          <w:shd w:val="clear" w:color="auto" w:fill="FFFFFF"/>
          <w:lang w:val="zh-CN"/>
        </w:rPr>
        <w:t>个。其中： 参公编制</w:t>
      </w:r>
      <w:r>
        <w:rPr>
          <w:rFonts w:hint="eastAsia" w:eastAsia="仿宋_GB2312" w:cs="Times New Roman"/>
          <w:bCs/>
          <w:kern w:val="0"/>
          <w:sz w:val="32"/>
          <w:szCs w:val="32"/>
          <w:shd w:val="clear" w:color="auto" w:fill="FFFFFF"/>
          <w:lang w:val="en-US" w:eastAsia="zh-CN"/>
        </w:rPr>
        <w:t>7</w:t>
      </w:r>
      <w:r>
        <w:rPr>
          <w:rFonts w:hint="eastAsia" w:ascii="Times New Roman" w:hAnsi="Times New Roman" w:eastAsia="仿宋_GB2312" w:cs="Times New Roman"/>
          <w:bCs/>
          <w:kern w:val="0"/>
          <w:sz w:val="32"/>
          <w:szCs w:val="32"/>
          <w:shd w:val="clear" w:color="auto" w:fill="FFFFFF"/>
          <w:lang w:val="zh-CN"/>
        </w:rPr>
        <w:t>个</w:t>
      </w:r>
      <w:r>
        <w:rPr>
          <w:rFonts w:hint="eastAsia" w:eastAsia="仿宋_GB2312" w:cs="Times New Roman"/>
          <w:bCs/>
          <w:kern w:val="0"/>
          <w:sz w:val="32"/>
          <w:szCs w:val="32"/>
          <w:shd w:val="clear" w:color="auto" w:fill="FFFFFF"/>
          <w:lang w:val="zh-CN"/>
        </w:rPr>
        <w:t>，</w:t>
      </w:r>
      <w:r>
        <w:rPr>
          <w:rFonts w:hint="eastAsia" w:ascii="Times New Roman" w:hAnsi="Times New Roman" w:eastAsia="仿宋_GB2312" w:cs="Times New Roman"/>
          <w:bCs/>
          <w:kern w:val="0"/>
          <w:sz w:val="32"/>
          <w:szCs w:val="32"/>
          <w:shd w:val="clear" w:color="auto" w:fill="FFFFFF"/>
          <w:lang w:val="zh-CN"/>
        </w:rPr>
        <w:t>行政工勤编制1个；截至202</w:t>
      </w:r>
      <w:r>
        <w:rPr>
          <w:rFonts w:hint="eastAsia" w:eastAsia="仿宋_GB2312" w:cs="Times New Roman"/>
          <w:bCs/>
          <w:kern w:val="0"/>
          <w:sz w:val="32"/>
          <w:szCs w:val="32"/>
          <w:shd w:val="clear" w:color="auto" w:fill="FFFFFF"/>
          <w:lang w:val="en-US" w:eastAsia="zh-CN"/>
        </w:rPr>
        <w:t>4</w:t>
      </w:r>
      <w:r>
        <w:rPr>
          <w:rFonts w:hint="eastAsia" w:ascii="Times New Roman" w:hAnsi="Times New Roman" w:eastAsia="仿宋_GB2312" w:cs="Times New Roman"/>
          <w:bCs/>
          <w:kern w:val="0"/>
          <w:sz w:val="32"/>
          <w:szCs w:val="32"/>
          <w:shd w:val="clear" w:color="auto" w:fill="FFFFFF"/>
          <w:lang w:val="zh-CN"/>
        </w:rPr>
        <w:t>年</w:t>
      </w:r>
      <w:r>
        <w:rPr>
          <w:rFonts w:hint="eastAsia" w:eastAsia="仿宋_GB2312" w:cs="Times New Roman"/>
          <w:bCs/>
          <w:kern w:val="0"/>
          <w:sz w:val="32"/>
          <w:szCs w:val="32"/>
          <w:shd w:val="clear" w:color="auto" w:fill="FFFFFF"/>
          <w:lang w:val="en-US" w:eastAsia="zh-CN"/>
        </w:rPr>
        <w:t>12</w:t>
      </w:r>
      <w:r>
        <w:rPr>
          <w:rFonts w:hint="eastAsia" w:ascii="Times New Roman" w:hAnsi="Times New Roman" w:eastAsia="仿宋_GB2312" w:cs="Times New Roman"/>
          <w:bCs/>
          <w:kern w:val="0"/>
          <w:sz w:val="32"/>
          <w:szCs w:val="32"/>
          <w:shd w:val="clear" w:color="auto" w:fill="FFFFFF"/>
          <w:lang w:val="zh-CN"/>
        </w:rPr>
        <w:t>月，单位实有人数7人，其中：在职7人（参公6人、行政工勤1人），退休1</w:t>
      </w:r>
      <w:r>
        <w:rPr>
          <w:rFonts w:hint="eastAsia" w:eastAsia="仿宋_GB2312" w:cs="Times New Roman"/>
          <w:bCs/>
          <w:kern w:val="0"/>
          <w:sz w:val="32"/>
          <w:szCs w:val="32"/>
          <w:shd w:val="clear" w:color="auto" w:fill="FFFFFF"/>
          <w:lang w:val="en-US" w:eastAsia="zh-CN"/>
        </w:rPr>
        <w:t>1</w:t>
      </w:r>
      <w:r>
        <w:rPr>
          <w:rFonts w:hint="eastAsia" w:ascii="Times New Roman" w:hAnsi="Times New Roman" w:eastAsia="仿宋_GB2312" w:cs="Times New Roman"/>
          <w:bCs/>
          <w:kern w:val="0"/>
          <w:sz w:val="32"/>
          <w:szCs w:val="32"/>
          <w:shd w:val="clear" w:color="auto" w:fill="FFFFFF"/>
          <w:lang w:val="zh-CN"/>
        </w:rPr>
        <w:t>人，遗属</w:t>
      </w:r>
      <w:r>
        <w:rPr>
          <w:rFonts w:hint="eastAsia" w:eastAsia="仿宋_GB2312" w:cs="Times New Roman"/>
          <w:bCs/>
          <w:kern w:val="0"/>
          <w:sz w:val="32"/>
          <w:szCs w:val="32"/>
          <w:shd w:val="clear" w:color="auto" w:fill="FFFFFF"/>
          <w:lang w:val="en-US" w:eastAsia="zh-CN"/>
        </w:rPr>
        <w:t>4</w:t>
      </w:r>
      <w:r>
        <w:rPr>
          <w:rFonts w:hint="eastAsia" w:ascii="Times New Roman" w:hAnsi="Times New Roman" w:eastAsia="仿宋_GB2312" w:cs="Times New Roman"/>
          <w:bCs/>
          <w:kern w:val="0"/>
          <w:sz w:val="32"/>
          <w:szCs w:val="32"/>
          <w:shd w:val="clear" w:color="auto" w:fill="FFFFFF"/>
          <w:lang w:val="zh-CN"/>
        </w:rPr>
        <w:t>人</w:t>
      </w:r>
      <w:r>
        <w:rPr>
          <w:rFonts w:ascii="Times New Roman" w:hAnsi="Times New Roman" w:eastAsia="仿宋_GB2312" w:cs="Times New Roman"/>
          <w:bCs/>
          <w:kern w:val="0"/>
          <w:sz w:val="32"/>
          <w:szCs w:val="32"/>
          <w:shd w:val="clear" w:color="auto" w:fill="FFFFFF"/>
          <w:lang w:val="zh-CN" w:eastAsia="zh-CN"/>
        </w:rPr>
        <w:t>。</w:t>
      </w:r>
    </w:p>
    <w:p w14:paraId="1B6BB59C">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黑体" w:cs="Times New Roman"/>
          <w:kern w:val="0"/>
          <w:sz w:val="32"/>
          <w:szCs w:val="32"/>
          <w:shd w:val="clear" w:color="auto" w:fill="FFFFFF"/>
        </w:rPr>
      </w:pPr>
      <w:r>
        <w:rPr>
          <w:rFonts w:ascii="Times New Roman" w:hAnsi="Times New Roman" w:eastAsia="黑体" w:cs="Times New Roman"/>
          <w:kern w:val="0"/>
          <w:sz w:val="32"/>
          <w:szCs w:val="32"/>
          <w:shd w:val="clear" w:color="auto" w:fill="FFFFFF"/>
        </w:rPr>
        <w:t>二、部门财政资金收支情况</w:t>
      </w:r>
    </w:p>
    <w:p w14:paraId="470B1D77">
      <w:pPr>
        <w:pageBreakBefore w:val="0"/>
        <w:widowControl/>
        <w:numPr>
          <w:ilvl w:val="0"/>
          <w:numId w:val="4"/>
        </w:numPr>
        <w:kinsoku/>
        <w:wordWrap/>
        <w:overflowPunct/>
        <w:topLinePunct w:val="0"/>
        <w:bidi w:val="0"/>
        <w:adjustRightInd w:val="0"/>
        <w:snapToGrid w:val="0"/>
        <w:spacing w:line="576" w:lineRule="exact"/>
        <w:contextualSpacing/>
        <w:jc w:val="left"/>
        <w:rPr>
          <w:rFonts w:ascii="Times New Roman" w:hAnsi="Times New Roman" w:eastAsia="仿宋_GB2312" w:cs="Times New Roman"/>
          <w:kern w:val="0"/>
          <w:sz w:val="32"/>
          <w:szCs w:val="32"/>
          <w:shd w:val="clear" w:color="auto" w:fill="FFFFFF"/>
          <w:lang w:val="zh-CN"/>
        </w:rPr>
      </w:pPr>
      <w:r>
        <w:rPr>
          <w:rFonts w:ascii="Times New Roman" w:hAnsi="Times New Roman" w:eastAsia="仿宋_GB2312" w:cs="Times New Roman"/>
          <w:kern w:val="0"/>
          <w:sz w:val="32"/>
          <w:szCs w:val="32"/>
          <w:shd w:val="clear" w:color="auto" w:fill="FFFFFF"/>
          <w:lang w:val="zh-CN"/>
        </w:rPr>
        <w:t>部门财政资金收入情况。</w:t>
      </w:r>
    </w:p>
    <w:p w14:paraId="6D12C697">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rPr>
      </w:pPr>
      <w:r>
        <w:rPr>
          <w:rFonts w:hint="eastAsia" w:eastAsia="仿宋_GB2312" w:cs="Times New Roman"/>
          <w:bCs/>
          <w:kern w:val="0"/>
          <w:sz w:val="32"/>
          <w:szCs w:val="32"/>
          <w:shd w:val="clear" w:color="auto" w:fill="FFFFFF"/>
          <w:lang w:val="zh-CN"/>
        </w:rPr>
        <w:t>202</w:t>
      </w:r>
      <w:r>
        <w:rPr>
          <w:rFonts w:hint="eastAsia" w:eastAsia="仿宋_GB2312" w:cs="Times New Roman"/>
          <w:bCs/>
          <w:kern w:val="0"/>
          <w:sz w:val="32"/>
          <w:szCs w:val="32"/>
          <w:shd w:val="clear" w:color="auto" w:fill="FFFFFF"/>
          <w:lang w:val="en-US" w:eastAsia="zh-CN"/>
        </w:rPr>
        <w:t>4</w:t>
      </w:r>
      <w:r>
        <w:rPr>
          <w:rFonts w:hint="eastAsia" w:eastAsia="仿宋_GB2312" w:cs="Times New Roman"/>
          <w:bCs/>
          <w:kern w:val="0"/>
          <w:sz w:val="32"/>
          <w:szCs w:val="32"/>
          <w:shd w:val="clear" w:color="auto" w:fill="FFFFFF"/>
          <w:lang w:val="zh-CN"/>
        </w:rPr>
        <w:t>年预算收入</w:t>
      </w:r>
      <w:r>
        <w:rPr>
          <w:rFonts w:hint="eastAsia" w:eastAsia="仿宋_GB2312" w:cs="Times New Roman"/>
          <w:bCs/>
          <w:kern w:val="0"/>
          <w:sz w:val="32"/>
          <w:szCs w:val="32"/>
          <w:shd w:val="clear" w:color="auto" w:fill="FFFFFF"/>
          <w:lang w:val="en-US" w:eastAsia="zh-CN"/>
        </w:rPr>
        <w:t>211.87</w:t>
      </w:r>
      <w:r>
        <w:rPr>
          <w:rFonts w:hint="eastAsia" w:eastAsia="仿宋_GB2312" w:cs="Times New Roman"/>
          <w:bCs/>
          <w:kern w:val="0"/>
          <w:sz w:val="32"/>
          <w:szCs w:val="32"/>
          <w:shd w:val="clear" w:color="auto" w:fill="FFFFFF"/>
          <w:lang w:val="zh-CN"/>
        </w:rPr>
        <w:t>万元。截至202</w:t>
      </w:r>
      <w:r>
        <w:rPr>
          <w:rFonts w:hint="eastAsia" w:eastAsia="仿宋_GB2312" w:cs="Times New Roman"/>
          <w:bCs/>
          <w:kern w:val="0"/>
          <w:sz w:val="32"/>
          <w:szCs w:val="32"/>
          <w:shd w:val="clear" w:color="auto" w:fill="FFFFFF"/>
          <w:lang w:val="en-US" w:eastAsia="zh-CN"/>
        </w:rPr>
        <w:t>4</w:t>
      </w:r>
      <w:r>
        <w:rPr>
          <w:rFonts w:hint="eastAsia" w:eastAsia="仿宋_GB2312" w:cs="Times New Roman"/>
          <w:bCs/>
          <w:kern w:val="0"/>
          <w:sz w:val="32"/>
          <w:szCs w:val="32"/>
          <w:shd w:val="clear" w:color="auto" w:fill="FFFFFF"/>
          <w:lang w:val="zh-CN"/>
        </w:rPr>
        <w:t>年底，实际共收到财政拨款收入</w:t>
      </w:r>
      <w:r>
        <w:rPr>
          <w:rFonts w:hint="eastAsia" w:eastAsia="仿宋_GB2312" w:cs="Times New Roman"/>
          <w:bCs/>
          <w:kern w:val="0"/>
          <w:sz w:val="32"/>
          <w:szCs w:val="32"/>
          <w:shd w:val="clear" w:color="auto" w:fill="FFFFFF"/>
          <w:lang w:val="en-US" w:eastAsia="zh-CN"/>
        </w:rPr>
        <w:t>211.87</w:t>
      </w:r>
      <w:r>
        <w:rPr>
          <w:rFonts w:hint="eastAsia" w:eastAsia="仿宋_GB2312" w:cs="Times New Roman"/>
          <w:bCs/>
          <w:kern w:val="0"/>
          <w:sz w:val="32"/>
          <w:szCs w:val="32"/>
          <w:shd w:val="clear" w:color="auto" w:fill="FFFFFF"/>
          <w:lang w:val="zh-CN"/>
        </w:rPr>
        <w:t>万元。其中，政府性基金预算财政拨款0万元。</w:t>
      </w:r>
    </w:p>
    <w:p w14:paraId="16DA31B5">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kern w:val="0"/>
          <w:sz w:val="32"/>
          <w:szCs w:val="32"/>
          <w:shd w:val="clear" w:color="auto" w:fill="FFFFFF"/>
          <w:lang w:val="zh-CN"/>
        </w:rPr>
      </w:pPr>
      <w:r>
        <w:rPr>
          <w:rFonts w:ascii="Times New Roman" w:hAnsi="Times New Roman" w:eastAsia="仿宋_GB2312" w:cs="Times New Roman"/>
          <w:kern w:val="0"/>
          <w:sz w:val="32"/>
          <w:szCs w:val="32"/>
          <w:shd w:val="clear" w:color="auto" w:fill="FFFFFF"/>
          <w:lang w:val="zh-CN"/>
        </w:rPr>
        <w:t>（二）部门财政资金支出情况。</w:t>
      </w:r>
    </w:p>
    <w:p w14:paraId="2EF26512">
      <w:pPr>
        <w:pStyle w:val="6"/>
        <w:ind w:firstLine="640" w:firstLineChars="200"/>
        <w:rPr>
          <w:lang w:val="en-US" w:eastAsia="zh-CN"/>
        </w:rPr>
      </w:pPr>
      <w:r>
        <w:rPr>
          <w:rFonts w:hint="eastAsia" w:ascii="Times New Roman" w:hAnsi="Times New Roman" w:eastAsia="仿宋_GB2312" w:cs="Times New Roman"/>
          <w:bCs/>
          <w:kern w:val="0"/>
          <w:sz w:val="32"/>
          <w:szCs w:val="32"/>
          <w:shd w:val="clear" w:color="auto" w:fill="FFFFFF"/>
          <w:lang w:val="zh-CN" w:eastAsia="zh-CN"/>
        </w:rPr>
        <w:t>202</w:t>
      </w:r>
      <w:r>
        <w:rPr>
          <w:rFonts w:hint="eastAsia" w:ascii="Times New Roman" w:cs="Times New Roman"/>
          <w:bCs/>
          <w:kern w:val="0"/>
          <w:sz w:val="32"/>
          <w:szCs w:val="32"/>
          <w:shd w:val="clear" w:color="auto" w:fill="FFFFFF"/>
          <w:lang w:val="en-US" w:eastAsia="zh-CN"/>
        </w:rPr>
        <w:t>4</w:t>
      </w:r>
      <w:r>
        <w:rPr>
          <w:rFonts w:hint="eastAsia" w:ascii="Times New Roman" w:hAnsi="Times New Roman" w:eastAsia="仿宋_GB2312" w:cs="Times New Roman"/>
          <w:bCs/>
          <w:kern w:val="0"/>
          <w:sz w:val="32"/>
          <w:szCs w:val="32"/>
          <w:shd w:val="clear" w:color="auto" w:fill="FFFFFF"/>
          <w:lang w:val="zh-CN" w:eastAsia="zh-CN"/>
        </w:rPr>
        <w:t>年预算支出</w:t>
      </w:r>
      <w:r>
        <w:rPr>
          <w:rFonts w:hint="eastAsia" w:ascii="Times New Roman" w:cs="Times New Roman"/>
          <w:bCs/>
          <w:kern w:val="0"/>
          <w:sz w:val="32"/>
          <w:szCs w:val="32"/>
          <w:shd w:val="clear" w:color="auto" w:fill="FFFFFF"/>
          <w:lang w:val="en-US" w:eastAsia="zh-CN"/>
        </w:rPr>
        <w:t>211.87</w:t>
      </w:r>
      <w:r>
        <w:rPr>
          <w:rFonts w:hint="eastAsia" w:ascii="Times New Roman" w:hAnsi="Times New Roman" w:eastAsia="仿宋_GB2312" w:cs="Times New Roman"/>
          <w:bCs/>
          <w:kern w:val="0"/>
          <w:sz w:val="32"/>
          <w:szCs w:val="32"/>
          <w:shd w:val="clear" w:color="auto" w:fill="FFFFFF"/>
          <w:lang w:val="zh-CN" w:eastAsia="zh-CN"/>
        </w:rPr>
        <w:t>万元。</w:t>
      </w:r>
      <w:r>
        <w:rPr>
          <w:rFonts w:hint="eastAsia" w:ascii="Times New Roman" w:cs="Times New Roman"/>
          <w:bCs/>
          <w:kern w:val="0"/>
          <w:sz w:val="32"/>
          <w:szCs w:val="32"/>
          <w:shd w:val="clear" w:color="auto" w:fill="FFFFFF"/>
          <w:lang w:val="zh-CN" w:eastAsia="zh-CN"/>
        </w:rPr>
        <w:t>截至</w:t>
      </w:r>
      <w:r>
        <w:rPr>
          <w:rFonts w:hint="eastAsia" w:ascii="Times New Roman" w:hAnsi="Times New Roman" w:eastAsia="仿宋_GB2312" w:cs="Times New Roman"/>
          <w:bCs/>
          <w:color w:val="auto"/>
          <w:kern w:val="0"/>
          <w:sz w:val="32"/>
          <w:szCs w:val="32"/>
          <w:shd w:val="clear" w:color="auto" w:fill="FFFFFF"/>
          <w:lang w:val="zh-CN" w:eastAsia="zh-CN"/>
        </w:rPr>
        <w:t>202</w:t>
      </w:r>
      <w:r>
        <w:rPr>
          <w:rFonts w:hint="eastAsia" w:ascii="Times New Roman" w:cs="Times New Roman"/>
          <w:bCs/>
          <w:color w:val="auto"/>
          <w:kern w:val="0"/>
          <w:sz w:val="32"/>
          <w:szCs w:val="32"/>
          <w:shd w:val="clear" w:color="auto" w:fill="FFFFFF"/>
          <w:lang w:val="en-US" w:eastAsia="zh-CN"/>
        </w:rPr>
        <w:t>4</w:t>
      </w:r>
      <w:r>
        <w:rPr>
          <w:rFonts w:hint="eastAsia" w:ascii="Times New Roman" w:hAnsi="Times New Roman" w:eastAsia="仿宋_GB2312" w:cs="Times New Roman"/>
          <w:bCs/>
          <w:color w:val="auto"/>
          <w:kern w:val="0"/>
          <w:sz w:val="32"/>
          <w:szCs w:val="32"/>
          <w:shd w:val="clear" w:color="auto" w:fill="FFFFFF"/>
          <w:lang w:val="zh-CN" w:eastAsia="zh-CN"/>
        </w:rPr>
        <w:t>年底，实际各类支出共计</w:t>
      </w:r>
      <w:r>
        <w:rPr>
          <w:rFonts w:hint="eastAsia" w:ascii="Times New Roman" w:cs="Times New Roman"/>
          <w:bCs/>
          <w:color w:val="auto"/>
          <w:kern w:val="0"/>
          <w:sz w:val="32"/>
          <w:szCs w:val="32"/>
          <w:shd w:val="clear" w:color="auto" w:fill="FFFFFF"/>
          <w:lang w:val="en-US" w:eastAsia="zh-CN"/>
        </w:rPr>
        <w:t>211.87</w:t>
      </w:r>
      <w:r>
        <w:rPr>
          <w:rFonts w:hint="eastAsia" w:ascii="Times New Roman" w:hAnsi="Times New Roman" w:eastAsia="仿宋_GB2312" w:cs="Times New Roman"/>
          <w:bCs/>
          <w:color w:val="auto"/>
          <w:kern w:val="0"/>
          <w:sz w:val="32"/>
          <w:szCs w:val="32"/>
          <w:shd w:val="clear" w:color="auto" w:fill="FFFFFF"/>
          <w:lang w:val="zh-CN" w:eastAsia="zh-CN"/>
        </w:rPr>
        <w:t>万元。其中，</w:t>
      </w:r>
      <w:r>
        <w:rPr>
          <w:rFonts w:ascii="Times New Roman" w:hAnsi="Times New Roman" w:eastAsia="仿宋_GB2312" w:cs="Times New Roman"/>
          <w:color w:val="auto"/>
          <w:sz w:val="32"/>
          <w:szCs w:val="32"/>
        </w:rPr>
        <w:t>基本支出</w:t>
      </w:r>
      <w:r>
        <w:rPr>
          <w:rFonts w:hint="eastAsia" w:eastAsia="仿宋_GB2312" w:cs="Times New Roman"/>
          <w:color w:val="auto"/>
          <w:sz w:val="32"/>
          <w:szCs w:val="32"/>
          <w:lang w:val="en-US" w:eastAsia="zh-CN"/>
        </w:rPr>
        <w:t>196.87</w:t>
      </w:r>
      <w:r>
        <w:rPr>
          <w:rFonts w:ascii="Times New Roman" w:hAnsi="Times New Roman" w:eastAsia="仿宋_GB2312" w:cs="Times New Roman"/>
          <w:color w:val="auto"/>
          <w:sz w:val="32"/>
          <w:szCs w:val="32"/>
        </w:rPr>
        <w:t>万元，占</w:t>
      </w:r>
      <w:r>
        <w:rPr>
          <w:rFonts w:hint="eastAsia" w:eastAsia="仿宋_GB2312" w:cs="Times New Roman"/>
          <w:color w:val="auto"/>
          <w:sz w:val="32"/>
          <w:szCs w:val="32"/>
          <w:lang w:val="en-US" w:eastAsia="zh-CN"/>
        </w:rPr>
        <w:t>92.92</w:t>
      </w:r>
      <w:r>
        <w:rPr>
          <w:rFonts w:ascii="Times New Roman" w:hAnsi="Times New Roman" w:eastAsia="仿宋_GB2312" w:cs="Times New Roman"/>
          <w:color w:val="auto"/>
          <w:sz w:val="32"/>
          <w:szCs w:val="32"/>
        </w:rPr>
        <w:t>%；项目支出</w:t>
      </w:r>
      <w:r>
        <w:rPr>
          <w:rFonts w:hint="eastAsia" w:eastAsia="仿宋_GB2312" w:cs="Times New Roman"/>
          <w:color w:val="auto"/>
          <w:sz w:val="32"/>
          <w:szCs w:val="32"/>
          <w:lang w:val="en-US" w:eastAsia="zh-CN"/>
        </w:rPr>
        <w:t>15</w:t>
      </w:r>
      <w:r>
        <w:rPr>
          <w:rFonts w:ascii="Times New Roman" w:hAnsi="Times New Roman" w:eastAsia="仿宋_GB2312" w:cs="Times New Roman"/>
          <w:color w:val="auto"/>
          <w:sz w:val="32"/>
          <w:szCs w:val="32"/>
        </w:rPr>
        <w:t>万元，占</w:t>
      </w:r>
      <w:r>
        <w:rPr>
          <w:rFonts w:hint="eastAsia" w:eastAsia="仿宋_GB2312" w:cs="Times New Roman"/>
          <w:color w:val="auto"/>
          <w:sz w:val="32"/>
          <w:szCs w:val="32"/>
          <w:lang w:val="en-US" w:eastAsia="zh-CN"/>
        </w:rPr>
        <w:t>7.08</w:t>
      </w:r>
      <w:r>
        <w:rPr>
          <w:rFonts w:ascii="Times New Roman" w:hAnsi="Times New Roman" w:eastAsia="仿宋_GB2312" w:cs="Times New Roman"/>
          <w:color w:val="auto"/>
          <w:sz w:val="32"/>
          <w:szCs w:val="32"/>
        </w:rPr>
        <w:t>%</w:t>
      </w:r>
      <w:r>
        <w:rPr>
          <w:rFonts w:hint="eastAsia" w:ascii="Times New Roman" w:hAnsi="Times New Roman" w:eastAsia="仿宋_GB2312" w:cs="Times New Roman"/>
          <w:bCs/>
          <w:color w:val="auto"/>
          <w:kern w:val="0"/>
          <w:sz w:val="32"/>
          <w:szCs w:val="32"/>
          <w:shd w:val="clear" w:color="auto" w:fill="FFFFFF"/>
          <w:lang w:val="zh-CN" w:eastAsia="zh-CN"/>
        </w:rPr>
        <w:t>。</w:t>
      </w:r>
    </w:p>
    <w:p w14:paraId="3EF33594">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黑体" w:cs="Times New Roman"/>
          <w:kern w:val="0"/>
          <w:sz w:val="32"/>
          <w:szCs w:val="32"/>
          <w:shd w:val="clear" w:color="auto" w:fill="FFFFFF"/>
        </w:rPr>
      </w:pPr>
      <w:r>
        <w:rPr>
          <w:rFonts w:ascii="Times New Roman" w:hAnsi="Times New Roman" w:eastAsia="黑体" w:cs="Times New Roman"/>
          <w:kern w:val="0"/>
          <w:sz w:val="32"/>
          <w:szCs w:val="32"/>
          <w:shd w:val="clear" w:color="auto" w:fill="FFFFFF"/>
        </w:rPr>
        <w:t>三、部门整体预算绩效管理情况</w:t>
      </w:r>
    </w:p>
    <w:p w14:paraId="3E54B96F">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（一）部门预算项目绩效管理。</w:t>
      </w:r>
    </w:p>
    <w:p w14:paraId="2EB61BDB">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Cs/>
          <w:kern w:val="0"/>
          <w:sz w:val="32"/>
          <w:szCs w:val="32"/>
          <w:shd w:val="clear" w:color="auto" w:fill="FFFFFF"/>
          <w:lang w:val="zh-CN"/>
        </w:rPr>
        <w:t>预算编制按照规定做到了细化，内容真实、完整。各项收入均列入部门预算，按要求编制了政府采购预算，结余结转资金规范化管理，按规定及时公开了部门预算。</w:t>
      </w:r>
    </w:p>
    <w:p w14:paraId="79A453A5">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Cs/>
          <w:kern w:val="0"/>
          <w:sz w:val="32"/>
          <w:szCs w:val="32"/>
          <w:shd w:val="clear" w:color="auto" w:fill="FFFFFF"/>
          <w:lang w:val="zh-CN" w:eastAsia="zh-CN"/>
        </w:rPr>
        <w:t>我</w:t>
      </w:r>
      <w:r>
        <w:rPr>
          <w:rFonts w:hint="eastAsia" w:eastAsia="仿宋_GB2312" w:cs="Times New Roman"/>
          <w:bCs/>
          <w:kern w:val="0"/>
          <w:sz w:val="32"/>
          <w:szCs w:val="32"/>
          <w:shd w:val="clear" w:color="auto" w:fill="FFFFFF"/>
          <w:lang w:val="en-US" w:eastAsia="zh-CN"/>
        </w:rPr>
        <w:t>单位</w:t>
      </w:r>
      <w:r>
        <w:rPr>
          <w:rFonts w:ascii="Times New Roman" w:hAnsi="Times New Roman" w:eastAsia="仿宋_GB2312" w:cs="Times New Roman"/>
          <w:bCs/>
          <w:kern w:val="0"/>
          <w:sz w:val="32"/>
          <w:szCs w:val="32"/>
          <w:shd w:val="clear" w:color="auto" w:fill="FFFFFF"/>
          <w:lang w:val="zh-CN" w:eastAsia="zh-CN"/>
        </w:rPr>
        <w:t>通过建立完善的内控制度，</w:t>
      </w:r>
      <w:r>
        <w:rPr>
          <w:rFonts w:ascii="Times New Roman" w:hAnsi="Times New Roman" w:eastAsia="仿宋_GB2312" w:cs="Times New Roman"/>
          <w:bCs/>
          <w:kern w:val="0"/>
          <w:sz w:val="32"/>
          <w:szCs w:val="32"/>
          <w:shd w:val="clear" w:color="auto" w:fill="FFFFFF"/>
          <w:lang w:val="zh-CN"/>
        </w:rPr>
        <w:t>所有</w:t>
      </w:r>
      <w:r>
        <w:rPr>
          <w:rFonts w:ascii="Times New Roman" w:hAnsi="Times New Roman" w:eastAsia="仿宋_GB2312" w:cs="Times New Roman"/>
          <w:bCs/>
          <w:kern w:val="0"/>
          <w:sz w:val="32"/>
          <w:szCs w:val="32"/>
          <w:shd w:val="clear" w:color="auto" w:fill="FFFFFF"/>
          <w:lang w:val="zh-CN" w:eastAsia="zh-CN"/>
        </w:rPr>
        <w:t>经费</w:t>
      </w:r>
      <w:r>
        <w:rPr>
          <w:rFonts w:ascii="Times New Roman" w:hAnsi="Times New Roman" w:eastAsia="仿宋_GB2312" w:cs="Times New Roman"/>
          <w:bCs/>
          <w:kern w:val="0"/>
          <w:sz w:val="32"/>
          <w:szCs w:val="32"/>
          <w:shd w:val="clear" w:color="auto" w:fill="FFFFFF"/>
          <w:lang w:val="zh-CN"/>
        </w:rPr>
        <w:t>支出均</w:t>
      </w:r>
      <w:r>
        <w:rPr>
          <w:rFonts w:ascii="Times New Roman" w:hAnsi="Times New Roman" w:eastAsia="仿宋_GB2312" w:cs="Times New Roman"/>
          <w:bCs/>
          <w:kern w:val="0"/>
          <w:sz w:val="32"/>
          <w:szCs w:val="32"/>
          <w:shd w:val="clear" w:color="auto" w:fill="FFFFFF"/>
          <w:lang w:val="zh-CN" w:eastAsia="zh-CN"/>
        </w:rPr>
        <w:t>严格</w:t>
      </w:r>
      <w:r>
        <w:rPr>
          <w:rFonts w:ascii="Times New Roman" w:hAnsi="Times New Roman" w:eastAsia="仿宋_GB2312" w:cs="Times New Roman"/>
          <w:bCs/>
          <w:kern w:val="0"/>
          <w:sz w:val="32"/>
          <w:szCs w:val="32"/>
          <w:shd w:val="clear" w:color="auto" w:fill="FFFFFF"/>
          <w:lang w:val="zh-CN"/>
        </w:rPr>
        <w:t>履行</w:t>
      </w:r>
      <w:r>
        <w:rPr>
          <w:rFonts w:ascii="Times New Roman" w:hAnsi="Times New Roman" w:eastAsia="仿宋_GB2312" w:cs="Times New Roman"/>
          <w:bCs/>
          <w:kern w:val="0"/>
          <w:sz w:val="32"/>
          <w:szCs w:val="32"/>
          <w:shd w:val="clear" w:color="auto" w:fill="FFFFFF"/>
          <w:lang w:val="zh-CN" w:eastAsia="zh-CN"/>
        </w:rPr>
        <w:t>报账</w:t>
      </w:r>
      <w:r>
        <w:rPr>
          <w:rFonts w:ascii="Times New Roman" w:hAnsi="Times New Roman" w:eastAsia="仿宋_GB2312" w:cs="Times New Roman"/>
          <w:bCs/>
          <w:kern w:val="0"/>
          <w:sz w:val="32"/>
          <w:szCs w:val="32"/>
          <w:shd w:val="clear" w:color="auto" w:fill="FFFFFF"/>
          <w:lang w:val="zh-CN"/>
        </w:rPr>
        <w:t>审批手续。基本支出严格执行国家的有关政策及规定，无</w:t>
      </w:r>
      <w:r>
        <w:rPr>
          <w:rFonts w:ascii="Times New Roman" w:hAnsi="Times New Roman" w:eastAsia="仿宋_GB2312" w:cs="Times New Roman"/>
          <w:bCs/>
          <w:kern w:val="0"/>
          <w:sz w:val="32"/>
          <w:szCs w:val="32"/>
          <w:shd w:val="clear" w:color="auto" w:fill="FFFFFF"/>
          <w:lang w:val="zh-CN" w:eastAsia="zh-CN"/>
        </w:rPr>
        <w:t>违规</w:t>
      </w:r>
      <w:r>
        <w:rPr>
          <w:rFonts w:ascii="Times New Roman" w:hAnsi="Times New Roman" w:eastAsia="仿宋_GB2312" w:cs="Times New Roman"/>
          <w:bCs/>
          <w:kern w:val="0"/>
          <w:sz w:val="32"/>
          <w:szCs w:val="32"/>
          <w:shd w:val="clear" w:color="auto" w:fill="FFFFFF"/>
          <w:lang w:val="zh-CN"/>
        </w:rPr>
        <w:t>扩大开支范围和提高开支标准</w:t>
      </w:r>
      <w:r>
        <w:rPr>
          <w:rFonts w:ascii="Times New Roman" w:hAnsi="Times New Roman" w:eastAsia="仿宋_GB2312" w:cs="Times New Roman"/>
          <w:bCs/>
          <w:kern w:val="0"/>
          <w:sz w:val="32"/>
          <w:szCs w:val="32"/>
          <w:shd w:val="clear" w:color="auto" w:fill="FFFFFF"/>
          <w:lang w:val="zh-CN" w:eastAsia="zh-CN"/>
        </w:rPr>
        <w:t>的情况</w:t>
      </w:r>
      <w:r>
        <w:rPr>
          <w:rFonts w:ascii="Times New Roman" w:hAnsi="Times New Roman" w:eastAsia="仿宋_GB2312" w:cs="Times New Roman"/>
          <w:bCs/>
          <w:kern w:val="0"/>
          <w:sz w:val="32"/>
          <w:szCs w:val="32"/>
          <w:shd w:val="clear" w:color="auto" w:fill="FFFFFF"/>
          <w:lang w:val="zh-CN"/>
        </w:rPr>
        <w:t>，单位津补贴、奖金和福利均按照国家或地方的规定发放，无滥发奖金、补贴或福利现象。项目支出均按照批准的项目和用途以及项目实施方案执行</w:t>
      </w:r>
      <w:r>
        <w:rPr>
          <w:rFonts w:ascii="Times New Roman" w:hAnsi="Times New Roman" w:eastAsia="仿宋_GB2312" w:cs="Times New Roman"/>
          <w:bCs/>
          <w:kern w:val="0"/>
          <w:sz w:val="32"/>
          <w:szCs w:val="32"/>
          <w:shd w:val="clear" w:color="auto" w:fill="FFFFFF"/>
          <w:lang w:val="zh-CN" w:eastAsia="zh-CN"/>
        </w:rPr>
        <w:t>。按照国家相关法律规定真实完整</w:t>
      </w:r>
      <w:r>
        <w:rPr>
          <w:rFonts w:hint="eastAsia" w:eastAsia="仿宋_GB2312" w:cs="Times New Roman"/>
          <w:bCs/>
          <w:kern w:val="0"/>
          <w:sz w:val="32"/>
          <w:szCs w:val="32"/>
          <w:shd w:val="clear" w:color="auto" w:fill="FFFFFF"/>
          <w:lang w:val="zh-CN" w:eastAsia="zh-CN"/>
        </w:rPr>
        <w:t>地</w:t>
      </w:r>
      <w:r>
        <w:rPr>
          <w:rFonts w:ascii="Times New Roman" w:hAnsi="Times New Roman" w:eastAsia="仿宋_GB2312" w:cs="Times New Roman"/>
          <w:bCs/>
          <w:kern w:val="0"/>
          <w:sz w:val="32"/>
          <w:szCs w:val="32"/>
          <w:shd w:val="clear" w:color="auto" w:fill="FFFFFF"/>
          <w:lang w:val="zh-CN" w:eastAsia="zh-CN"/>
        </w:rPr>
        <w:t>进行预决算编报和信息公开，根据预算执行进度及时进行部门绩效自我评价并依法接受财政监督审查。</w:t>
      </w:r>
    </w:p>
    <w:p w14:paraId="708A171D">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仿宋_GB2312" w:cs="Times New Roman"/>
          <w:kern w:val="0"/>
          <w:sz w:val="32"/>
          <w:szCs w:val="32"/>
          <w:shd w:val="clear" w:color="auto" w:fill="FFFFFF"/>
          <w:lang w:val="zh-CN"/>
        </w:rPr>
      </w:pPr>
      <w:r>
        <w:rPr>
          <w:rFonts w:ascii="Times New Roman" w:hAnsi="Times New Roman" w:eastAsia="楷体_GB2312" w:cs="Times New Roman"/>
          <w:b/>
          <w:sz w:val="32"/>
          <w:szCs w:val="32"/>
          <w:lang w:val="zh-CN"/>
        </w:rPr>
        <w:t>（二）结果应用情况。</w:t>
      </w:r>
    </w:p>
    <w:p w14:paraId="168B9C81">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rPr>
      </w:pPr>
      <w:r>
        <w:rPr>
          <w:rFonts w:hint="eastAsia" w:eastAsia="仿宋_GB2312" w:cs="Times New Roman"/>
          <w:bCs/>
          <w:kern w:val="0"/>
          <w:sz w:val="32"/>
          <w:szCs w:val="32"/>
          <w:shd w:val="clear" w:color="auto" w:fill="FFFFFF"/>
          <w:lang w:val="zh-CN"/>
        </w:rPr>
        <w:t>我单位202</w:t>
      </w:r>
      <w:r>
        <w:rPr>
          <w:rFonts w:hint="eastAsia" w:eastAsia="仿宋_GB2312" w:cs="Times New Roman"/>
          <w:bCs/>
          <w:kern w:val="0"/>
          <w:sz w:val="32"/>
          <w:szCs w:val="32"/>
          <w:shd w:val="clear" w:color="auto" w:fill="FFFFFF"/>
          <w:lang w:val="en-US" w:eastAsia="zh-CN"/>
        </w:rPr>
        <w:t>4</w:t>
      </w:r>
      <w:r>
        <w:rPr>
          <w:rFonts w:hint="eastAsia" w:eastAsia="仿宋_GB2312" w:cs="Times New Roman"/>
          <w:bCs/>
          <w:kern w:val="0"/>
          <w:sz w:val="32"/>
          <w:szCs w:val="32"/>
          <w:shd w:val="clear" w:color="auto" w:fill="FFFFFF"/>
          <w:lang w:val="zh-CN"/>
        </w:rPr>
        <w:t>年</w:t>
      </w:r>
      <w:r>
        <w:rPr>
          <w:rFonts w:ascii="Times New Roman" w:hAnsi="Times New Roman" w:eastAsia="仿宋_GB2312" w:cs="Times New Roman"/>
          <w:bCs/>
          <w:kern w:val="0"/>
          <w:sz w:val="32"/>
          <w:szCs w:val="32"/>
          <w:shd w:val="clear" w:color="auto" w:fill="FFFFFF"/>
          <w:lang w:val="zh-CN"/>
        </w:rPr>
        <w:t>度整体支出绩效评价合格，并按规定将自评情况及时报送财政部门备案，对于自评过程中发现的不足及问题，</w:t>
      </w:r>
      <w:r>
        <w:rPr>
          <w:rFonts w:hint="eastAsia" w:eastAsia="仿宋_GB2312" w:cs="Times New Roman"/>
          <w:bCs/>
          <w:kern w:val="0"/>
          <w:sz w:val="32"/>
          <w:szCs w:val="32"/>
          <w:shd w:val="clear" w:color="auto" w:fill="FFFFFF"/>
          <w:lang w:val="zh-CN"/>
        </w:rPr>
        <w:t>我单位</w:t>
      </w:r>
      <w:r>
        <w:rPr>
          <w:rFonts w:ascii="Times New Roman" w:hAnsi="Times New Roman" w:eastAsia="仿宋_GB2312" w:cs="Times New Roman"/>
          <w:bCs/>
          <w:kern w:val="0"/>
          <w:sz w:val="32"/>
          <w:szCs w:val="32"/>
          <w:shd w:val="clear" w:color="auto" w:fill="FFFFFF"/>
          <w:lang w:val="zh-CN"/>
        </w:rPr>
        <w:t>积极整改，力求下一年度通过完善相关政策制度，建立更加切合实际的绩效评价体系。</w:t>
      </w:r>
    </w:p>
    <w:p w14:paraId="0942F775">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（三）自评质量</w:t>
      </w:r>
    </w:p>
    <w:p w14:paraId="29EAF4D9">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仿宋_GB2312" w:cs="Times New Roman"/>
          <w:bCs/>
          <w:kern w:val="0"/>
          <w:sz w:val="32"/>
          <w:szCs w:val="32"/>
          <w:shd w:val="clear" w:color="auto" w:fill="FFFFFF"/>
          <w:lang w:val="zh-CN" w:eastAsia="zh-CN"/>
        </w:rPr>
      </w:pPr>
      <w:r>
        <w:rPr>
          <w:rFonts w:ascii="Times New Roman" w:hAnsi="Times New Roman" w:eastAsia="仿宋_GB2312" w:cs="Times New Roman"/>
          <w:b/>
          <w:bCs/>
          <w:kern w:val="0"/>
          <w:sz w:val="32"/>
          <w:szCs w:val="32"/>
          <w:shd w:val="clear" w:color="auto" w:fill="FFFFFF"/>
          <w:lang w:val="zh-CN" w:eastAsia="zh-CN"/>
        </w:rPr>
        <w:t>1.预算编制。</w:t>
      </w:r>
      <w:r>
        <w:rPr>
          <w:rFonts w:ascii="Times New Roman" w:hAnsi="Times New Roman" w:eastAsia="仿宋_GB2312" w:cs="Times New Roman"/>
          <w:bCs/>
          <w:kern w:val="0"/>
          <w:sz w:val="32"/>
          <w:szCs w:val="32"/>
          <w:shd w:val="clear" w:color="auto" w:fill="FFFFFF"/>
          <w:lang w:val="zh-CN" w:eastAsia="zh-CN"/>
        </w:rPr>
        <w:t>一是做到了绩效目标编制要素齐全，质量适中，绩效指标细化量化；二是做到了绩效目标实际实现程度与预期目标的偏离度小于10%，全年整体效应良好；三是做到了年初预算编制科学合理，全年预算调剂金额占比有效控制在10%以内，预算编制准确率达标。</w:t>
      </w:r>
    </w:p>
    <w:p w14:paraId="7442973A">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仿宋_GB2312" w:cs="Times New Roman"/>
          <w:bCs/>
          <w:kern w:val="0"/>
          <w:sz w:val="32"/>
          <w:szCs w:val="32"/>
          <w:shd w:val="clear" w:color="auto" w:fill="FFFFFF"/>
          <w:lang w:val="zh-CN" w:eastAsia="zh-CN"/>
        </w:rPr>
      </w:pPr>
      <w:r>
        <w:rPr>
          <w:rFonts w:ascii="Times New Roman" w:hAnsi="Times New Roman" w:eastAsia="仿宋_GB2312" w:cs="Times New Roman"/>
          <w:b/>
          <w:bCs/>
          <w:kern w:val="0"/>
          <w:sz w:val="32"/>
          <w:szCs w:val="32"/>
          <w:shd w:val="clear" w:color="auto" w:fill="FFFFFF"/>
          <w:lang w:val="zh-CN"/>
        </w:rPr>
        <w:t>2.预算执行。</w:t>
      </w:r>
      <w:r>
        <w:rPr>
          <w:rFonts w:ascii="Times New Roman" w:hAnsi="Times New Roman" w:eastAsia="仿宋_GB2312" w:cs="Times New Roman"/>
          <w:bCs/>
          <w:kern w:val="0"/>
          <w:sz w:val="32"/>
          <w:szCs w:val="32"/>
          <w:shd w:val="clear" w:color="auto" w:fill="FFFFFF"/>
          <w:lang w:val="zh-CN" w:eastAsia="zh-CN"/>
        </w:rPr>
        <w:t>支出控制方面，日常公用经费、项目支出中“办公费、印刷费、水费、电费、物业管理费”等科目预决算偏差度为</w:t>
      </w:r>
      <w:r>
        <w:rPr>
          <w:rFonts w:hint="eastAsia" w:eastAsia="仿宋_GB2312" w:cs="Times New Roman"/>
          <w:bCs/>
          <w:kern w:val="0"/>
          <w:sz w:val="32"/>
          <w:szCs w:val="32"/>
          <w:shd w:val="clear" w:color="auto" w:fill="FFFFFF"/>
          <w:lang w:val="en-US" w:eastAsia="zh-CN"/>
        </w:rPr>
        <w:t>0</w:t>
      </w:r>
      <w:r>
        <w:rPr>
          <w:rFonts w:ascii="Times New Roman" w:hAnsi="Times New Roman" w:eastAsia="仿宋_GB2312" w:cs="Times New Roman"/>
          <w:bCs/>
          <w:kern w:val="0"/>
          <w:sz w:val="32"/>
          <w:szCs w:val="32"/>
          <w:shd w:val="clear" w:color="auto" w:fill="FFFFFF"/>
          <w:lang w:val="zh-CN" w:eastAsia="zh-CN"/>
        </w:rPr>
        <w:t>%，小于10%控制标准，支出控制科学合理；执行进度方面，全年在6月、9月、11月进行测算，实际支出执行进度完全高于阶段性量化指标，预算执行良好。</w:t>
      </w:r>
    </w:p>
    <w:p w14:paraId="10C276C1">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
          <w:bCs/>
          <w:kern w:val="0"/>
          <w:sz w:val="32"/>
          <w:szCs w:val="32"/>
          <w:shd w:val="clear" w:color="auto" w:fill="FFFFFF"/>
          <w:lang w:val="zh-CN"/>
        </w:rPr>
        <w:t>3.预算完成。</w:t>
      </w:r>
      <w:r>
        <w:rPr>
          <w:rFonts w:hint="eastAsia" w:eastAsia="仿宋_GB2312" w:cs="Times New Roman"/>
          <w:b/>
          <w:bCs/>
          <w:kern w:val="0"/>
          <w:sz w:val="32"/>
          <w:szCs w:val="32"/>
          <w:shd w:val="clear" w:color="auto" w:fill="FFFFFF"/>
          <w:lang w:val="zh-CN"/>
        </w:rPr>
        <w:t>截至</w:t>
      </w:r>
      <w:r>
        <w:rPr>
          <w:rFonts w:hint="eastAsia" w:eastAsia="仿宋_GB2312" w:cs="Times New Roman"/>
          <w:bCs/>
          <w:kern w:val="0"/>
          <w:sz w:val="32"/>
          <w:szCs w:val="32"/>
          <w:shd w:val="clear" w:color="auto" w:fill="FFFFFF"/>
          <w:lang w:val="zh-CN" w:eastAsia="zh-CN"/>
        </w:rPr>
        <w:t>202</w:t>
      </w:r>
      <w:r>
        <w:rPr>
          <w:rFonts w:hint="eastAsia" w:eastAsia="仿宋_GB2312" w:cs="Times New Roman"/>
          <w:bCs/>
          <w:kern w:val="0"/>
          <w:sz w:val="32"/>
          <w:szCs w:val="32"/>
          <w:shd w:val="clear" w:color="auto" w:fill="FFFFFF"/>
          <w:lang w:val="en-US" w:eastAsia="zh-CN"/>
        </w:rPr>
        <w:t>4</w:t>
      </w:r>
      <w:r>
        <w:rPr>
          <w:rFonts w:hint="eastAsia" w:eastAsia="仿宋_GB2312" w:cs="Times New Roman"/>
          <w:bCs/>
          <w:kern w:val="0"/>
          <w:sz w:val="32"/>
          <w:szCs w:val="32"/>
          <w:shd w:val="clear" w:color="auto" w:fill="FFFFFF"/>
          <w:lang w:val="zh-CN" w:eastAsia="zh-CN"/>
        </w:rPr>
        <w:t>年</w:t>
      </w:r>
      <w:r>
        <w:rPr>
          <w:rFonts w:ascii="Times New Roman" w:hAnsi="Times New Roman" w:eastAsia="仿宋_GB2312" w:cs="Times New Roman"/>
          <w:bCs/>
          <w:kern w:val="0"/>
          <w:sz w:val="32"/>
          <w:szCs w:val="32"/>
          <w:shd w:val="clear" w:color="auto" w:fill="FFFFFF"/>
          <w:lang w:val="zh-CN" w:eastAsia="zh-CN"/>
        </w:rPr>
        <w:t>12月31日，全年预算完成率达到</w:t>
      </w:r>
      <w:r>
        <w:rPr>
          <w:rFonts w:hint="eastAsia" w:eastAsia="仿宋_GB2312" w:cs="Times New Roman"/>
          <w:bCs/>
          <w:kern w:val="0"/>
          <w:sz w:val="32"/>
          <w:szCs w:val="32"/>
          <w:shd w:val="clear" w:color="auto" w:fill="FFFFFF"/>
          <w:lang w:val="en-US" w:eastAsia="zh-CN"/>
        </w:rPr>
        <w:t>100</w:t>
      </w:r>
      <w:r>
        <w:rPr>
          <w:rFonts w:ascii="Times New Roman" w:hAnsi="Times New Roman" w:eastAsia="仿宋_GB2312" w:cs="Times New Roman"/>
          <w:bCs/>
          <w:kern w:val="0"/>
          <w:sz w:val="32"/>
          <w:szCs w:val="32"/>
          <w:shd w:val="clear" w:color="auto" w:fill="FFFFFF"/>
          <w:lang w:val="zh-CN" w:eastAsia="zh-CN"/>
        </w:rPr>
        <w:t>%，整体支出实现了年初既定目标，未收到审计、财政等监督部门关于预算管理方面违纪违规问题通报，预算管理合规。</w:t>
      </w:r>
    </w:p>
    <w:p w14:paraId="1D7828CC">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黑体" w:cs="Times New Roman"/>
          <w:kern w:val="0"/>
          <w:sz w:val="32"/>
          <w:szCs w:val="32"/>
          <w:shd w:val="clear" w:color="auto" w:fill="FFFFFF"/>
        </w:rPr>
      </w:pPr>
      <w:r>
        <w:rPr>
          <w:rFonts w:ascii="Times New Roman" w:hAnsi="Times New Roman" w:eastAsia="黑体" w:cs="Times New Roman"/>
          <w:kern w:val="0"/>
          <w:sz w:val="32"/>
          <w:szCs w:val="32"/>
          <w:shd w:val="clear" w:color="auto" w:fill="FFFFFF"/>
        </w:rPr>
        <w:t>四、评价结论及建议</w:t>
      </w:r>
    </w:p>
    <w:p w14:paraId="5F875B54">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（一）评价结论。</w:t>
      </w:r>
    </w:p>
    <w:p w14:paraId="31337B4D">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kern w:val="0"/>
          <w:sz w:val="32"/>
          <w:szCs w:val="32"/>
          <w:shd w:val="clear" w:color="auto" w:fill="FFFFFF"/>
          <w:lang w:val="zh-CN"/>
        </w:rPr>
      </w:pPr>
      <w:r>
        <w:rPr>
          <w:rFonts w:hint="eastAsia" w:eastAsia="仿宋_GB2312" w:cs="Times New Roman"/>
          <w:bCs/>
          <w:kern w:val="0"/>
          <w:sz w:val="32"/>
          <w:szCs w:val="32"/>
          <w:shd w:val="clear" w:color="auto" w:fill="FFFFFF"/>
          <w:lang w:val="zh-CN" w:eastAsia="zh-CN"/>
        </w:rPr>
        <w:t>我单位</w:t>
      </w:r>
      <w:r>
        <w:rPr>
          <w:rFonts w:ascii="Times New Roman" w:hAnsi="Times New Roman" w:eastAsia="仿宋_GB2312" w:cs="Times New Roman"/>
          <w:bCs/>
          <w:kern w:val="0"/>
          <w:sz w:val="32"/>
          <w:szCs w:val="32"/>
          <w:shd w:val="clear" w:color="auto" w:fill="FFFFFF"/>
          <w:lang w:val="zh-CN" w:eastAsia="zh-CN"/>
        </w:rPr>
        <w:t>对</w:t>
      </w:r>
      <w:r>
        <w:rPr>
          <w:rFonts w:hint="eastAsia" w:eastAsia="仿宋_GB2312" w:cs="Times New Roman"/>
          <w:bCs/>
          <w:kern w:val="0"/>
          <w:sz w:val="32"/>
          <w:szCs w:val="32"/>
          <w:shd w:val="clear" w:color="auto" w:fill="FFFFFF"/>
          <w:lang w:val="zh-CN" w:eastAsia="zh-CN"/>
        </w:rPr>
        <w:t>202</w:t>
      </w:r>
      <w:r>
        <w:rPr>
          <w:rFonts w:hint="eastAsia" w:eastAsia="仿宋_GB2312" w:cs="Times New Roman"/>
          <w:bCs/>
          <w:kern w:val="0"/>
          <w:sz w:val="32"/>
          <w:szCs w:val="32"/>
          <w:shd w:val="clear" w:color="auto" w:fill="FFFFFF"/>
          <w:lang w:val="en-US" w:eastAsia="zh-CN"/>
        </w:rPr>
        <w:t>4</w:t>
      </w:r>
      <w:r>
        <w:rPr>
          <w:rFonts w:hint="eastAsia" w:eastAsia="仿宋_GB2312" w:cs="Times New Roman"/>
          <w:bCs/>
          <w:kern w:val="0"/>
          <w:sz w:val="32"/>
          <w:szCs w:val="32"/>
          <w:shd w:val="clear" w:color="auto" w:fill="FFFFFF"/>
          <w:lang w:val="zh-CN" w:eastAsia="zh-CN"/>
        </w:rPr>
        <w:t>年</w:t>
      </w:r>
      <w:r>
        <w:rPr>
          <w:rFonts w:ascii="Times New Roman" w:hAnsi="Times New Roman" w:eastAsia="仿宋_GB2312" w:cs="Times New Roman"/>
          <w:bCs/>
          <w:kern w:val="0"/>
          <w:sz w:val="32"/>
          <w:szCs w:val="32"/>
          <w:shd w:val="clear" w:color="auto" w:fill="FFFFFF"/>
          <w:lang w:val="zh-CN" w:eastAsia="zh-CN"/>
        </w:rPr>
        <w:t>度整体支出情况开展自评，得分</w:t>
      </w:r>
      <w:r>
        <w:rPr>
          <w:rFonts w:hint="eastAsia" w:eastAsia="仿宋_GB2312" w:cs="Times New Roman"/>
          <w:bCs/>
          <w:kern w:val="0"/>
          <w:sz w:val="32"/>
          <w:szCs w:val="32"/>
          <w:shd w:val="clear" w:color="auto" w:fill="FFFFFF"/>
          <w:lang w:val="en-US" w:eastAsia="zh-CN"/>
        </w:rPr>
        <w:t>92</w:t>
      </w:r>
      <w:r>
        <w:rPr>
          <w:rFonts w:ascii="Times New Roman" w:hAnsi="Times New Roman" w:eastAsia="仿宋_GB2312" w:cs="Times New Roman"/>
          <w:bCs/>
          <w:kern w:val="0"/>
          <w:sz w:val="32"/>
          <w:szCs w:val="32"/>
          <w:shd w:val="clear" w:color="auto" w:fill="FFFFFF"/>
          <w:lang w:val="zh-CN" w:eastAsia="zh-CN"/>
        </w:rPr>
        <w:t>分。从总体性分析评价，全年整体支出较优，实现了年初绩效目标。从结构性分析评价，一般公共预算基本支出完成预算的</w:t>
      </w:r>
      <w:r>
        <w:rPr>
          <w:rFonts w:hint="eastAsia" w:eastAsia="仿宋_GB2312" w:cs="Times New Roman"/>
          <w:bCs/>
          <w:kern w:val="0"/>
          <w:sz w:val="32"/>
          <w:szCs w:val="32"/>
          <w:shd w:val="clear" w:color="auto" w:fill="FFFFFF"/>
          <w:lang w:val="en-US" w:eastAsia="zh-CN"/>
        </w:rPr>
        <w:t>100</w:t>
      </w:r>
      <w:r>
        <w:rPr>
          <w:rFonts w:ascii="Times New Roman" w:hAnsi="Times New Roman" w:eastAsia="仿宋_GB2312" w:cs="Times New Roman"/>
          <w:bCs/>
          <w:kern w:val="0"/>
          <w:sz w:val="32"/>
          <w:szCs w:val="32"/>
          <w:shd w:val="clear" w:color="auto" w:fill="FFFFFF"/>
          <w:lang w:val="zh-CN" w:eastAsia="zh-CN"/>
        </w:rPr>
        <w:t>%，绩效目标实际实现程度与预期目标的偏离度为</w:t>
      </w:r>
      <w:r>
        <w:rPr>
          <w:rFonts w:hint="eastAsia" w:eastAsia="仿宋_GB2312" w:cs="Times New Roman"/>
          <w:bCs/>
          <w:kern w:val="0"/>
          <w:sz w:val="32"/>
          <w:szCs w:val="32"/>
          <w:shd w:val="clear" w:color="auto" w:fill="FFFFFF"/>
          <w:lang w:val="en-US" w:eastAsia="zh-CN"/>
        </w:rPr>
        <w:t>0</w:t>
      </w:r>
      <w:r>
        <w:rPr>
          <w:rFonts w:ascii="Times New Roman" w:hAnsi="Times New Roman" w:eastAsia="仿宋_GB2312" w:cs="Times New Roman"/>
          <w:bCs/>
          <w:kern w:val="0"/>
          <w:sz w:val="32"/>
          <w:szCs w:val="32"/>
          <w:shd w:val="clear" w:color="auto" w:fill="FFFFFF"/>
          <w:lang w:val="zh-CN" w:eastAsia="zh-CN"/>
        </w:rPr>
        <w:t>%，整体绩效管理合理合规；一般公共预算项目支出完成预算的</w:t>
      </w:r>
      <w:r>
        <w:rPr>
          <w:rFonts w:hint="eastAsia" w:eastAsia="仿宋_GB2312" w:cs="Times New Roman"/>
          <w:bCs/>
          <w:kern w:val="0"/>
          <w:sz w:val="32"/>
          <w:szCs w:val="32"/>
          <w:shd w:val="clear" w:color="auto" w:fill="FFFFFF"/>
          <w:lang w:val="en-US" w:eastAsia="zh-CN"/>
        </w:rPr>
        <w:t>100</w:t>
      </w:r>
      <w:r>
        <w:rPr>
          <w:rFonts w:ascii="Times New Roman" w:hAnsi="Times New Roman" w:eastAsia="仿宋_GB2312" w:cs="Times New Roman"/>
          <w:bCs/>
          <w:kern w:val="0"/>
          <w:sz w:val="32"/>
          <w:szCs w:val="32"/>
          <w:shd w:val="clear" w:color="auto" w:fill="FFFFFF"/>
          <w:lang w:val="zh-CN" w:eastAsia="zh-CN"/>
        </w:rPr>
        <w:t>%，绩效目标实际实现程度与预期目标的偏离度为</w:t>
      </w:r>
      <w:r>
        <w:rPr>
          <w:rFonts w:hint="eastAsia" w:eastAsia="仿宋_GB2312" w:cs="Times New Roman"/>
          <w:bCs/>
          <w:kern w:val="0"/>
          <w:sz w:val="32"/>
          <w:szCs w:val="32"/>
          <w:shd w:val="clear" w:color="auto" w:fill="FFFFFF"/>
          <w:lang w:val="en-US" w:eastAsia="zh-CN"/>
        </w:rPr>
        <w:t>0</w:t>
      </w:r>
      <w:r>
        <w:rPr>
          <w:rFonts w:ascii="Times New Roman" w:hAnsi="Times New Roman" w:eastAsia="仿宋_GB2312" w:cs="Times New Roman"/>
          <w:bCs/>
          <w:kern w:val="0"/>
          <w:sz w:val="32"/>
          <w:szCs w:val="32"/>
          <w:shd w:val="clear" w:color="auto" w:fill="FFFFFF"/>
          <w:lang w:val="zh-CN" w:eastAsia="zh-CN"/>
        </w:rPr>
        <w:t>%，整体绩效管理合理合规。</w:t>
      </w:r>
      <w:r>
        <w:rPr>
          <w:rFonts w:hint="eastAsia" w:eastAsia="仿宋_GB2312" w:cs="Times New Roman"/>
          <w:bCs/>
          <w:kern w:val="0"/>
          <w:sz w:val="32"/>
          <w:szCs w:val="32"/>
          <w:shd w:val="clear" w:color="auto" w:fill="FFFFFF"/>
          <w:lang w:val="zh-CN" w:eastAsia="zh-CN"/>
        </w:rPr>
        <w:t>202</w:t>
      </w:r>
      <w:r>
        <w:rPr>
          <w:rFonts w:hint="eastAsia" w:eastAsia="仿宋_GB2312" w:cs="Times New Roman"/>
          <w:bCs/>
          <w:kern w:val="0"/>
          <w:sz w:val="32"/>
          <w:szCs w:val="32"/>
          <w:shd w:val="clear" w:color="auto" w:fill="FFFFFF"/>
          <w:lang w:val="en-US" w:eastAsia="zh-CN"/>
        </w:rPr>
        <w:t>4</w:t>
      </w:r>
      <w:r>
        <w:rPr>
          <w:rFonts w:hint="eastAsia" w:eastAsia="仿宋_GB2312" w:cs="Times New Roman"/>
          <w:bCs/>
          <w:kern w:val="0"/>
          <w:sz w:val="32"/>
          <w:szCs w:val="32"/>
          <w:shd w:val="clear" w:color="auto" w:fill="FFFFFF"/>
          <w:lang w:val="zh-CN" w:eastAsia="zh-CN"/>
        </w:rPr>
        <w:t>年</w:t>
      </w:r>
      <w:r>
        <w:rPr>
          <w:rFonts w:ascii="Times New Roman" w:hAnsi="Times New Roman" w:eastAsia="仿宋_GB2312" w:cs="Times New Roman"/>
          <w:bCs/>
          <w:kern w:val="0"/>
          <w:sz w:val="32"/>
          <w:szCs w:val="32"/>
          <w:shd w:val="clear" w:color="auto" w:fill="FFFFFF"/>
          <w:lang w:val="zh-CN" w:eastAsia="zh-CN"/>
        </w:rPr>
        <w:t>度整体支出绩效评价优好，无违纪违规问题，预算编制、预算执行、完成结果等均达到既定目标管理。</w:t>
      </w:r>
    </w:p>
    <w:p w14:paraId="6496DB81">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（二）存在问题。</w:t>
      </w:r>
    </w:p>
    <w:p w14:paraId="238C4E8C">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rPr>
      </w:pPr>
      <w:r>
        <w:rPr>
          <w:rFonts w:hint="eastAsia" w:ascii="Times New Roman" w:hAnsi="Times New Roman" w:eastAsia="仿宋_GB2312" w:cs="Times New Roman"/>
          <w:bCs/>
          <w:kern w:val="0"/>
          <w:sz w:val="32"/>
          <w:szCs w:val="32"/>
          <w:shd w:val="clear" w:color="auto" w:fill="FFFFFF"/>
          <w:lang w:val="zh-CN"/>
        </w:rPr>
        <w:t>预算编制前根据年度内单位可预见的工作任务，确定了单位年度预算目标，细化了预算指标，通过对我单位整体支出情况的分析，反映出目前整体支出的预算编制、执行和管理过程中，主要存在两点不足。一是预算经费支出进度较缓；二是部门决算上报处理效率还需继续提升。</w:t>
      </w:r>
    </w:p>
    <w:p w14:paraId="1D8852BB">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仿宋_GB2312" w:cs="Times New Roman"/>
          <w:kern w:val="0"/>
          <w:sz w:val="32"/>
          <w:szCs w:val="32"/>
          <w:shd w:val="clear" w:color="auto" w:fill="FFFFFF"/>
          <w:lang w:val="zh-CN"/>
        </w:rPr>
      </w:pPr>
      <w:r>
        <w:rPr>
          <w:rFonts w:ascii="Times New Roman" w:hAnsi="Times New Roman" w:eastAsia="楷体_GB2312" w:cs="Times New Roman"/>
          <w:b/>
          <w:sz w:val="32"/>
          <w:szCs w:val="32"/>
          <w:lang w:val="zh-CN"/>
        </w:rPr>
        <w:t>（三）改进建议。</w:t>
      </w:r>
    </w:p>
    <w:p w14:paraId="45C02574">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rPr>
      </w:pPr>
      <w:r>
        <w:rPr>
          <w:rFonts w:hint="eastAsia" w:eastAsia="仿宋_GB2312" w:cs="Times New Roman"/>
          <w:bCs/>
          <w:kern w:val="0"/>
          <w:sz w:val="32"/>
          <w:szCs w:val="32"/>
          <w:shd w:val="clear" w:color="auto" w:fill="FFFFFF"/>
          <w:lang w:val="zh-CN"/>
        </w:rPr>
        <w:t>我单位</w:t>
      </w:r>
      <w:r>
        <w:rPr>
          <w:rFonts w:ascii="Times New Roman" w:hAnsi="Times New Roman" w:eastAsia="仿宋_GB2312" w:cs="Times New Roman"/>
          <w:bCs/>
          <w:kern w:val="0"/>
          <w:sz w:val="32"/>
          <w:szCs w:val="32"/>
          <w:shd w:val="clear" w:color="auto" w:fill="FFFFFF"/>
          <w:lang w:val="zh-CN"/>
        </w:rPr>
        <w:t>将</w:t>
      </w:r>
      <w:r>
        <w:rPr>
          <w:rFonts w:hint="eastAsia" w:ascii="Times New Roman" w:hAnsi="Times New Roman" w:eastAsia="仿宋_GB2312" w:cs="Times New Roman"/>
          <w:bCs/>
          <w:kern w:val="0"/>
          <w:sz w:val="32"/>
          <w:szCs w:val="32"/>
          <w:shd w:val="clear" w:color="auto" w:fill="FFFFFF"/>
          <w:lang w:val="zh-CN"/>
        </w:rPr>
        <w:t>加强会计核算和财务管理能力，</w:t>
      </w:r>
      <w:r>
        <w:rPr>
          <w:rFonts w:ascii="Times New Roman" w:hAnsi="Times New Roman" w:eastAsia="仿宋_GB2312" w:cs="Times New Roman"/>
          <w:bCs/>
          <w:kern w:val="0"/>
          <w:sz w:val="32"/>
          <w:szCs w:val="32"/>
          <w:shd w:val="clear" w:color="auto" w:fill="FFFFFF"/>
          <w:lang w:val="zh-CN"/>
        </w:rPr>
        <w:t>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行绩效监控机制，及时提示项目管理部门按照绩效目标开展实施。</w:t>
      </w:r>
    </w:p>
    <w:p w14:paraId="50242513">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14:paraId="54AA11A0">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14:paraId="7ADDAD28">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14:paraId="59632E27">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14:paraId="37FC8A4E">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14:paraId="3E2BADC1">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2</w:t>
      </w:r>
    </w:p>
    <w:tbl>
      <w:tblPr>
        <w:tblStyle w:val="16"/>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174"/>
        <w:gridCol w:w="1200"/>
        <w:gridCol w:w="1700"/>
        <w:gridCol w:w="1216"/>
        <w:gridCol w:w="864"/>
        <w:gridCol w:w="1058"/>
        <w:gridCol w:w="926"/>
        <w:gridCol w:w="1113"/>
      </w:tblGrid>
      <w:tr w14:paraId="3F462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14:paraId="3C4436B7">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14:paraId="427DC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14:paraId="1FDCED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14:paraId="62C4A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14:paraId="2F228561">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75C3B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0406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部门名称</w:t>
            </w:r>
          </w:p>
        </w:tc>
        <w:tc>
          <w:tcPr>
            <w:tcW w:w="68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C09D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金川县供销社本级</w:t>
            </w:r>
          </w:p>
        </w:tc>
      </w:tr>
      <w:tr w14:paraId="4F483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E551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年度部门整体支出预算</w:t>
            </w:r>
          </w:p>
        </w:tc>
        <w:tc>
          <w:tcPr>
            <w:tcW w:w="2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783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资金总额</w:t>
            </w:r>
          </w:p>
        </w:tc>
        <w:tc>
          <w:tcPr>
            <w:tcW w:w="29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8C82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财政拨款</w:t>
            </w:r>
          </w:p>
        </w:tc>
        <w:tc>
          <w:tcPr>
            <w:tcW w:w="39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20B0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其他资金</w:t>
            </w:r>
          </w:p>
        </w:tc>
      </w:tr>
      <w:tr w14:paraId="4B1CC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16F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2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8D2E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211.87</w:t>
            </w:r>
          </w:p>
        </w:tc>
        <w:tc>
          <w:tcPr>
            <w:tcW w:w="29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1809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211.87</w:t>
            </w:r>
          </w:p>
        </w:tc>
        <w:tc>
          <w:tcPr>
            <w:tcW w:w="39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BDA0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w:t>
            </w:r>
          </w:p>
        </w:tc>
      </w:tr>
      <w:tr w14:paraId="3E112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38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年度总体</w:t>
            </w:r>
          </w:p>
          <w:p w14:paraId="407333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目标</w:t>
            </w:r>
          </w:p>
        </w:tc>
        <w:tc>
          <w:tcPr>
            <w:tcW w:w="925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C80A8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是抓好收支预算执行。编好收支预算，依法组织收入，加强支出管理。二贯彻执行国家和省有关农村经济工作方针政策和法律法规，制定全县供销合作社系统的发展战略规划，指导全县供销系统的改革和发展，县供销社与所属企业实行社企分开的体制，联社对所属企业行使社有资产出资人职权</w:t>
            </w:r>
            <w:r>
              <w:rPr>
                <w:rFonts w:hint="eastAsia" w:ascii="宋体" w:hAnsi="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t>监管社有资产，维护供销合作社的合法权益</w:t>
            </w:r>
            <w:r>
              <w:rPr>
                <w:rFonts w:hint="eastAsia" w:ascii="宋体" w:hAnsi="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t>确保社有资产保值增值。三是指导基层供销合作社发展农业专业合作经济组织和农业产业化龙头企业的工作，增强为农服务功能，协调本系统内外的经济联系与合作。四是逐步建立全县冷链物流体系。</w:t>
            </w:r>
          </w:p>
        </w:tc>
      </w:tr>
      <w:tr w14:paraId="125CF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0"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14:paraId="4A9C20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年度主要</w:t>
            </w:r>
          </w:p>
          <w:p w14:paraId="2B80C4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任务</w:t>
            </w:r>
          </w:p>
        </w:tc>
        <w:tc>
          <w:tcPr>
            <w:tcW w:w="2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3C4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任务名称</w:t>
            </w:r>
          </w:p>
        </w:tc>
        <w:tc>
          <w:tcPr>
            <w:tcW w:w="68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F1DE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主要内容</w:t>
            </w:r>
          </w:p>
        </w:tc>
      </w:tr>
      <w:tr w14:paraId="32D46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03A549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2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CC01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供销事务管理</w:t>
            </w:r>
          </w:p>
        </w:tc>
        <w:tc>
          <w:tcPr>
            <w:tcW w:w="68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FA5B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贯彻执行国家和省有关农村经济工作方针政策和法律法规，制定全县供销合作社系统的发展战略规划，指导全县供销系统的改革和发展，县供销社与所属企业实行社企分开的体制，联社对所属企业行使社有资产出资人职权</w:t>
            </w:r>
            <w:r>
              <w:rPr>
                <w:rFonts w:hint="eastAsia" w:ascii="宋体" w:hAnsi="宋体" w:cs="宋体"/>
                <w:i w:val="0"/>
                <w:color w:val="000000"/>
                <w:kern w:val="0"/>
                <w:sz w:val="21"/>
                <w:szCs w:val="21"/>
                <w:u w:val="none"/>
                <w:lang w:val="en-US" w:eastAsia="zh-CN" w:bidi="ar"/>
              </w:rPr>
              <w:t>。</w:t>
            </w:r>
            <w:r>
              <w:rPr>
                <w:rFonts w:hint="default" w:ascii="宋体" w:hAnsi="宋体" w:eastAsia="宋体" w:cs="宋体"/>
                <w:i w:val="0"/>
                <w:color w:val="000000"/>
                <w:kern w:val="0"/>
                <w:sz w:val="21"/>
                <w:szCs w:val="21"/>
                <w:u w:val="none"/>
                <w:lang w:val="en-US" w:eastAsia="zh-CN" w:bidi="ar"/>
              </w:rPr>
              <w:t>监管社有资产，维护供销合作社的合法权益</w:t>
            </w:r>
            <w:bookmarkStart w:id="110" w:name="_GoBack"/>
            <w:r>
              <w:rPr>
                <w:rFonts w:hint="eastAsia" w:ascii="宋体" w:hAnsi="宋体" w:cs="宋体"/>
                <w:i w:val="0"/>
                <w:color w:val="000000"/>
                <w:kern w:val="0"/>
                <w:sz w:val="21"/>
                <w:szCs w:val="21"/>
                <w:u w:val="none"/>
                <w:lang w:val="en-US" w:eastAsia="zh-CN" w:bidi="ar"/>
              </w:rPr>
              <w:t>。</w:t>
            </w:r>
            <w:bookmarkEnd w:id="110"/>
            <w:r>
              <w:rPr>
                <w:rFonts w:hint="default" w:ascii="宋体" w:hAnsi="宋体" w:eastAsia="宋体" w:cs="宋体"/>
                <w:i w:val="0"/>
                <w:color w:val="000000"/>
                <w:kern w:val="0"/>
                <w:sz w:val="21"/>
                <w:szCs w:val="21"/>
                <w:u w:val="none"/>
                <w:lang w:val="en-US" w:eastAsia="zh-CN" w:bidi="ar"/>
              </w:rPr>
              <w:t>确保社有资产保值增值。</w:t>
            </w:r>
          </w:p>
        </w:tc>
      </w:tr>
      <w:tr w14:paraId="5931A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7C8D3C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2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85E50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服务三农业务管理</w:t>
            </w:r>
          </w:p>
        </w:tc>
        <w:tc>
          <w:tcPr>
            <w:tcW w:w="68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346B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指导基层供销合作社发展农业专业合作经济组织和农业产业化龙头企业的工作，增强为农服务功能，协调本系统内外的经济联系与合作。</w:t>
            </w:r>
          </w:p>
        </w:tc>
      </w:tr>
      <w:tr w14:paraId="4A6E4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bottom w:val="single" w:color="000000" w:sz="4" w:space="0"/>
              <w:right w:val="single" w:color="000000" w:sz="4" w:space="0"/>
            </w:tcBorders>
            <w:shd w:val="clear" w:color="auto" w:fill="auto"/>
            <w:vAlign w:val="center"/>
          </w:tcPr>
          <w:p w14:paraId="6253BF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2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2F4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逐步建立全县冷链物流体系</w:t>
            </w:r>
          </w:p>
        </w:tc>
        <w:tc>
          <w:tcPr>
            <w:tcW w:w="68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11653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1.提高农产品产地商品化处理能力。2.推进农产品仓储保鲜冷链物流设施建设</w:t>
            </w:r>
          </w:p>
        </w:tc>
      </w:tr>
      <w:tr w14:paraId="4DF92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319A9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年度绩效</w:t>
            </w:r>
          </w:p>
          <w:p w14:paraId="7EEF15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指标</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CCF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一级指标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D0E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二级指标</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B22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三级指标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083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绩效指标</w:t>
            </w:r>
          </w:p>
          <w:p w14:paraId="2D0554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性质</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45F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2CF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4B3D0E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D2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实际完成</w:t>
            </w:r>
          </w:p>
          <w:p w14:paraId="7742F5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指标值</w:t>
            </w:r>
          </w:p>
        </w:tc>
      </w:tr>
      <w:tr w14:paraId="2FBCB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4"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8BE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1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75D9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产出指标</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33B3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数量指标</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C89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科目调整次数</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D4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C8D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48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471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10</w:t>
            </w:r>
          </w:p>
        </w:tc>
        <w:tc>
          <w:tcPr>
            <w:tcW w:w="1113" w:type="dxa"/>
            <w:tcBorders>
              <w:left w:val="single" w:color="000000" w:sz="4" w:space="0"/>
              <w:bottom w:val="single" w:color="000000" w:sz="4" w:space="0"/>
              <w:right w:val="single" w:color="000000" w:sz="4" w:space="0"/>
            </w:tcBorders>
            <w:shd w:val="clear" w:color="auto" w:fill="auto"/>
            <w:vAlign w:val="center"/>
          </w:tcPr>
          <w:p w14:paraId="6D7DC1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&lt;5次</w:t>
            </w:r>
          </w:p>
        </w:tc>
      </w:tr>
      <w:tr w14:paraId="70D52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49E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85F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E44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AE89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人员经费足额保障率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AE8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DD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28E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BC0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14D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r>
      <w:tr w14:paraId="474BE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C4B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B54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F7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质量指标</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736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预算编制准确率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1F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571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93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A2C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45E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t>95%</w:t>
            </w:r>
          </w:p>
        </w:tc>
      </w:tr>
      <w:tr w14:paraId="1B47A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47B2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921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D8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时效指标</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F470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按时发放率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93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2EA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CA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A5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C0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r>
      <w:tr w14:paraId="0DD4C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F6A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1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40D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效益指标</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93D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经济效益指标</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55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预算结余率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05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DE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0F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B1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E0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w:t>
            </w:r>
          </w:p>
        </w:tc>
      </w:tr>
      <w:tr w14:paraId="3BF5A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E370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388F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200" w:type="dxa"/>
            <w:vMerge w:val="continue"/>
            <w:tcBorders>
              <w:top w:val="single" w:color="000000" w:sz="4" w:space="0"/>
              <w:left w:val="single" w:color="000000" w:sz="4" w:space="0"/>
              <w:right w:val="single" w:color="000000" w:sz="4" w:space="0"/>
            </w:tcBorders>
            <w:shd w:val="clear" w:color="auto" w:fill="auto"/>
            <w:vAlign w:val="center"/>
          </w:tcPr>
          <w:p w14:paraId="1E84B7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F9E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运转保障率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407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1B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CB2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8F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FDF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r>
      <w:tr w14:paraId="69B33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875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56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成本指标</w:t>
            </w:r>
          </w:p>
        </w:tc>
        <w:tc>
          <w:tcPr>
            <w:tcW w:w="1200" w:type="dxa"/>
            <w:tcBorders>
              <w:top w:val="single" w:color="000000" w:sz="4" w:space="0"/>
              <w:left w:val="single" w:color="000000" w:sz="4" w:space="0"/>
              <w:right w:val="single" w:color="000000" w:sz="4" w:space="0"/>
            </w:tcBorders>
            <w:shd w:val="clear" w:color="auto" w:fill="auto"/>
            <w:vAlign w:val="center"/>
          </w:tcPr>
          <w:p w14:paraId="330C6E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经济成本指标</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212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“三公”经费</w:t>
            </w:r>
            <w:r>
              <w:rPr>
                <w:rFonts w:ascii="宋体" w:hAnsi="宋体" w:eastAsia="宋体" w:cs="宋体"/>
                <w:i w:val="0"/>
                <w:color w:val="000000"/>
                <w:kern w:val="0"/>
                <w:sz w:val="21"/>
                <w:szCs w:val="21"/>
                <w:u w:val="none"/>
                <w:lang w:val="en-US" w:eastAsia="zh-CN" w:bidi="ar"/>
              </w:rPr>
              <w:t>控制率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A25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B5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E9B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6A5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110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r>
      <w:tr w14:paraId="0950F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5A1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1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34B3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产出指标</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F73A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数量指标</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6E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科目调整次数</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C0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68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C7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C58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96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t>5次</w:t>
            </w:r>
          </w:p>
        </w:tc>
      </w:tr>
      <w:tr w14:paraId="1683B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F93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F78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8D0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3B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人员经费足额保障率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FA0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3B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A7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EAB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9D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r>
    </w:tbl>
    <w:p w14:paraId="4EF4AC92">
      <w:pPr>
        <w:pageBreakBefore w:val="0"/>
        <w:widowControl/>
        <w:kinsoku/>
        <w:wordWrap/>
        <w:overflowPunct/>
        <w:topLinePunct w:val="0"/>
        <w:bidi w:val="0"/>
        <w:adjustRightInd w:val="0"/>
        <w:snapToGrid w:val="0"/>
        <w:spacing w:line="240" w:lineRule="auto"/>
        <w:contextualSpacing/>
        <w:jc w:val="both"/>
        <w:rPr>
          <w:rFonts w:hint="eastAsia" w:ascii="Times New Roman" w:hAnsi="Times New Roman" w:eastAsia="仿宋_GB2312" w:cs="Times New Roman"/>
          <w:bCs/>
          <w:kern w:val="0"/>
          <w:sz w:val="32"/>
          <w:szCs w:val="32"/>
          <w:shd w:val="clear" w:color="auto" w:fill="FFFFFF"/>
          <w:lang w:val="en-US" w:eastAsia="zh-CN"/>
        </w:rPr>
      </w:pPr>
    </w:p>
    <w:p w14:paraId="543EB6ED">
      <w:pPr>
        <w:pStyle w:val="6"/>
        <w:pageBreakBefore w:val="0"/>
        <w:widowControl w:val="0"/>
        <w:kinsoku/>
        <w:wordWrap/>
        <w:overflowPunct/>
        <w:topLinePunct w:val="0"/>
        <w:bidi w:val="0"/>
        <w:spacing w:line="576" w:lineRule="exact"/>
        <w:rPr>
          <w:rFonts w:ascii="Times New Roman" w:hAnsi="Times New Roman" w:cs="Times New Roman"/>
        </w:rPr>
      </w:pPr>
    </w:p>
    <w:bookmarkEnd w:id="79"/>
    <w:p w14:paraId="63A66524">
      <w:pPr>
        <w:pageBreakBefore w:val="0"/>
        <w:widowControl w:val="0"/>
        <w:kinsoku/>
        <w:wordWrap/>
        <w:overflowPunct/>
        <w:topLinePunct w:val="0"/>
        <w:bidi w:val="0"/>
        <w:spacing w:line="576" w:lineRule="exact"/>
        <w:jc w:val="center"/>
        <w:outlineLvl w:val="0"/>
        <w:rPr>
          <w:rFonts w:ascii="Times New Roman" w:hAnsi="Times New Roman" w:eastAsia="仿宋" w:cs="Times New Roman"/>
        </w:rPr>
      </w:pPr>
      <w:bookmarkStart w:id="83" w:name="_Toc26843625"/>
      <w:bookmarkStart w:id="84" w:name="_Toc15396618"/>
      <w:r>
        <w:rPr>
          <w:rFonts w:ascii="Times New Roman" w:hAnsi="Times New Roman" w:eastAsia="黑体" w:cs="Times New Roman"/>
          <w:sz w:val="44"/>
          <w:szCs w:val="44"/>
        </w:rPr>
        <w:t>第</w:t>
      </w:r>
      <w:r>
        <w:rPr>
          <w:rStyle w:val="20"/>
          <w:rFonts w:ascii="Times New Roman" w:hAnsi="Times New Roman" w:eastAsia="黑体" w:cs="Times New Roman"/>
          <w:b w:val="0"/>
        </w:rPr>
        <w:t>五部分 附表</w:t>
      </w:r>
      <w:bookmarkEnd w:id="83"/>
      <w:bookmarkEnd w:id="84"/>
      <w:bookmarkStart w:id="85" w:name="_Toc15396619"/>
    </w:p>
    <w:p w14:paraId="2D701029">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86" w:name="_Toc26843626"/>
      <w:r>
        <w:rPr>
          <w:rFonts w:ascii="Times New Roman" w:hAnsi="Times New Roman" w:eastAsia="仿宋" w:cs="Times New Roman"/>
          <w:b w:val="0"/>
        </w:rPr>
        <w:t>一、收</w:t>
      </w:r>
      <w:r>
        <w:rPr>
          <w:rStyle w:val="21"/>
          <w:rFonts w:ascii="Times New Roman" w:hAnsi="Times New Roman" w:eastAsia="仿宋" w:cs="Times New Roman"/>
          <w:b w:val="0"/>
          <w:bCs w:val="0"/>
        </w:rPr>
        <w:t>入支出决算总表</w:t>
      </w:r>
      <w:bookmarkEnd w:id="85"/>
      <w:bookmarkEnd w:id="86"/>
    </w:p>
    <w:p w14:paraId="29CF40FD">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87" w:name="_Toc15396620"/>
      <w:bookmarkStart w:id="88" w:name="_Toc26843627"/>
      <w:r>
        <w:rPr>
          <w:rFonts w:ascii="Times New Roman" w:hAnsi="Times New Roman" w:eastAsia="仿宋" w:cs="Times New Roman"/>
          <w:b w:val="0"/>
        </w:rPr>
        <w:t>二、收</w:t>
      </w:r>
      <w:r>
        <w:rPr>
          <w:rStyle w:val="21"/>
          <w:rFonts w:ascii="Times New Roman" w:hAnsi="Times New Roman" w:eastAsia="仿宋" w:cs="Times New Roman"/>
          <w:b w:val="0"/>
          <w:bCs w:val="0"/>
        </w:rPr>
        <w:t>入决算表</w:t>
      </w:r>
      <w:bookmarkEnd w:id="87"/>
      <w:bookmarkEnd w:id="88"/>
    </w:p>
    <w:p w14:paraId="00F493C9">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89" w:name="_Toc26843628"/>
      <w:bookmarkStart w:id="90" w:name="_Toc15396621"/>
      <w:r>
        <w:rPr>
          <w:rStyle w:val="21"/>
          <w:rFonts w:ascii="Times New Roman" w:hAnsi="Times New Roman" w:eastAsia="仿宋" w:cs="Times New Roman"/>
          <w:b w:val="0"/>
          <w:bCs w:val="0"/>
        </w:rPr>
        <w:t>三、</w:t>
      </w:r>
      <w:r>
        <w:rPr>
          <w:rFonts w:ascii="Times New Roman" w:hAnsi="Times New Roman" w:eastAsia="仿宋" w:cs="Times New Roman"/>
          <w:b w:val="0"/>
        </w:rPr>
        <w:t>支</w:t>
      </w:r>
      <w:r>
        <w:rPr>
          <w:rStyle w:val="21"/>
          <w:rFonts w:ascii="Times New Roman" w:hAnsi="Times New Roman" w:eastAsia="仿宋" w:cs="Times New Roman"/>
          <w:b w:val="0"/>
          <w:bCs w:val="0"/>
        </w:rPr>
        <w:t>出决算表</w:t>
      </w:r>
      <w:bookmarkEnd w:id="89"/>
      <w:bookmarkEnd w:id="90"/>
    </w:p>
    <w:p w14:paraId="022E28E6">
      <w:pPr>
        <w:pStyle w:val="4"/>
        <w:keepNext/>
        <w:keepLines/>
        <w:pageBreakBefore w:val="0"/>
        <w:widowControl w:val="0"/>
        <w:kinsoku/>
        <w:wordWrap/>
        <w:overflowPunct/>
        <w:topLinePunct w:val="0"/>
        <w:bidi w:val="0"/>
        <w:spacing w:line="576" w:lineRule="exact"/>
        <w:rPr>
          <w:rFonts w:ascii="Times New Roman" w:hAnsi="Times New Roman" w:eastAsia="仿宋" w:cs="Times New Roman"/>
          <w:b w:val="0"/>
        </w:rPr>
      </w:pPr>
      <w:bookmarkStart w:id="91" w:name="_Toc26843629"/>
      <w:bookmarkStart w:id="92" w:name="_Toc15396622"/>
      <w:r>
        <w:rPr>
          <w:rStyle w:val="21"/>
          <w:rFonts w:ascii="Times New Roman" w:hAnsi="Times New Roman" w:eastAsia="仿宋" w:cs="Times New Roman"/>
          <w:b w:val="0"/>
          <w:bCs w:val="0"/>
        </w:rPr>
        <w:t>四、</w:t>
      </w:r>
      <w:r>
        <w:rPr>
          <w:rFonts w:ascii="Times New Roman" w:hAnsi="Times New Roman" w:eastAsia="仿宋" w:cs="Times New Roman"/>
          <w:b w:val="0"/>
        </w:rPr>
        <w:t>财</w:t>
      </w:r>
      <w:r>
        <w:rPr>
          <w:rStyle w:val="21"/>
          <w:rFonts w:ascii="Times New Roman" w:hAnsi="Times New Roman" w:eastAsia="仿宋" w:cs="Times New Roman"/>
          <w:b w:val="0"/>
          <w:bCs w:val="0"/>
        </w:rPr>
        <w:t>政拨款收入支出决算总表</w:t>
      </w:r>
      <w:bookmarkEnd w:id="91"/>
      <w:bookmarkEnd w:id="92"/>
    </w:p>
    <w:p w14:paraId="4CEB1B47">
      <w:pPr>
        <w:pStyle w:val="4"/>
        <w:keepNext/>
        <w:keepLines/>
        <w:pageBreakBefore w:val="0"/>
        <w:widowControl w:val="0"/>
        <w:kinsoku/>
        <w:wordWrap/>
        <w:overflowPunct/>
        <w:topLinePunct w:val="0"/>
        <w:bidi w:val="0"/>
        <w:spacing w:line="576" w:lineRule="exact"/>
        <w:rPr>
          <w:rStyle w:val="21"/>
          <w:rFonts w:ascii="Times New Roman" w:hAnsi="Times New Roman" w:eastAsia="仿宋" w:cs="Times New Roman"/>
          <w:b w:val="0"/>
          <w:bCs w:val="0"/>
        </w:rPr>
      </w:pPr>
      <w:bookmarkStart w:id="93" w:name="_Toc15396623"/>
      <w:bookmarkStart w:id="94" w:name="_Toc26843630"/>
      <w:r>
        <w:rPr>
          <w:rStyle w:val="21"/>
          <w:rFonts w:ascii="Times New Roman" w:hAnsi="Times New Roman" w:eastAsia="仿宋" w:cs="Times New Roman"/>
          <w:b w:val="0"/>
          <w:bCs w:val="0"/>
        </w:rPr>
        <w:t>五、</w:t>
      </w:r>
      <w:r>
        <w:rPr>
          <w:rFonts w:ascii="Times New Roman" w:hAnsi="Times New Roman" w:eastAsia="仿宋" w:cs="Times New Roman"/>
          <w:b w:val="0"/>
        </w:rPr>
        <w:t>财</w:t>
      </w:r>
      <w:r>
        <w:rPr>
          <w:rStyle w:val="21"/>
          <w:rFonts w:ascii="Times New Roman" w:hAnsi="Times New Roman" w:eastAsia="仿宋" w:cs="Times New Roman"/>
          <w:b w:val="0"/>
          <w:bCs w:val="0"/>
        </w:rPr>
        <w:t>政拨款支出决算明细表</w:t>
      </w:r>
      <w:bookmarkEnd w:id="93"/>
      <w:bookmarkEnd w:id="94"/>
      <w:bookmarkStart w:id="95" w:name="_Toc15396624"/>
    </w:p>
    <w:p w14:paraId="3975CE32">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96" w:name="_Toc26843631"/>
      <w:r>
        <w:rPr>
          <w:rStyle w:val="21"/>
          <w:rFonts w:ascii="Times New Roman" w:hAnsi="Times New Roman" w:eastAsia="仿宋" w:cs="Times New Roman"/>
          <w:b w:val="0"/>
          <w:bCs w:val="0"/>
        </w:rPr>
        <w:t>六、</w:t>
      </w:r>
      <w:r>
        <w:rPr>
          <w:rFonts w:ascii="Times New Roman" w:hAnsi="Times New Roman" w:eastAsia="仿宋" w:cs="Times New Roman"/>
          <w:b w:val="0"/>
        </w:rPr>
        <w:t>一</w:t>
      </w:r>
      <w:r>
        <w:rPr>
          <w:rStyle w:val="21"/>
          <w:rFonts w:ascii="Times New Roman" w:hAnsi="Times New Roman" w:eastAsia="仿宋" w:cs="Times New Roman"/>
          <w:b w:val="0"/>
          <w:bCs w:val="0"/>
        </w:rPr>
        <w:t>般公共预算财政拨款支出决算表</w:t>
      </w:r>
      <w:bookmarkEnd w:id="95"/>
      <w:bookmarkEnd w:id="96"/>
    </w:p>
    <w:p w14:paraId="16532F8C">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97" w:name="_Toc15396625"/>
      <w:bookmarkStart w:id="98" w:name="_Toc26843632"/>
      <w:r>
        <w:rPr>
          <w:rStyle w:val="21"/>
          <w:rFonts w:ascii="Times New Roman" w:hAnsi="Times New Roman" w:eastAsia="仿宋" w:cs="Times New Roman"/>
          <w:b w:val="0"/>
          <w:bCs w:val="0"/>
        </w:rPr>
        <w:t>七、</w:t>
      </w:r>
      <w:r>
        <w:rPr>
          <w:rFonts w:ascii="Times New Roman" w:hAnsi="Times New Roman" w:eastAsia="仿宋" w:cs="Times New Roman"/>
          <w:b w:val="0"/>
        </w:rPr>
        <w:t>一</w:t>
      </w:r>
      <w:r>
        <w:rPr>
          <w:rStyle w:val="21"/>
          <w:rFonts w:ascii="Times New Roman" w:hAnsi="Times New Roman" w:eastAsia="仿宋" w:cs="Times New Roman"/>
          <w:b w:val="0"/>
          <w:bCs w:val="0"/>
        </w:rPr>
        <w:t>般公共预算财政拨款支出决算明细表</w:t>
      </w:r>
      <w:bookmarkEnd w:id="97"/>
      <w:bookmarkEnd w:id="98"/>
    </w:p>
    <w:p w14:paraId="005175C9">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99" w:name="_Toc26843633"/>
      <w:bookmarkStart w:id="100" w:name="_Toc15396626"/>
      <w:r>
        <w:rPr>
          <w:rStyle w:val="21"/>
          <w:rFonts w:ascii="Times New Roman" w:hAnsi="Times New Roman" w:eastAsia="仿宋" w:cs="Times New Roman"/>
          <w:b w:val="0"/>
          <w:bCs w:val="0"/>
        </w:rPr>
        <w:t>八、</w:t>
      </w:r>
      <w:r>
        <w:rPr>
          <w:rFonts w:ascii="Times New Roman" w:hAnsi="Times New Roman" w:eastAsia="仿宋" w:cs="Times New Roman"/>
          <w:b w:val="0"/>
        </w:rPr>
        <w:t>一</w:t>
      </w:r>
      <w:r>
        <w:rPr>
          <w:rStyle w:val="21"/>
          <w:rFonts w:ascii="Times New Roman" w:hAnsi="Times New Roman" w:eastAsia="仿宋" w:cs="Times New Roman"/>
          <w:b w:val="0"/>
          <w:bCs w:val="0"/>
        </w:rPr>
        <w:t>般公共预算财政拨款基本支出决算表</w:t>
      </w:r>
      <w:bookmarkEnd w:id="99"/>
      <w:bookmarkEnd w:id="100"/>
    </w:p>
    <w:p w14:paraId="26E673C3">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01" w:name="_Toc15396627"/>
      <w:bookmarkStart w:id="102" w:name="_Toc26843634"/>
      <w:r>
        <w:rPr>
          <w:rStyle w:val="21"/>
          <w:rFonts w:ascii="Times New Roman" w:hAnsi="Times New Roman" w:eastAsia="仿宋" w:cs="Times New Roman"/>
          <w:b w:val="0"/>
          <w:bCs w:val="0"/>
        </w:rPr>
        <w:t>九、</w:t>
      </w:r>
      <w:r>
        <w:rPr>
          <w:rFonts w:ascii="Times New Roman" w:hAnsi="Times New Roman" w:eastAsia="仿宋" w:cs="Times New Roman"/>
          <w:b w:val="0"/>
        </w:rPr>
        <w:t>一</w:t>
      </w:r>
      <w:r>
        <w:rPr>
          <w:rStyle w:val="21"/>
          <w:rFonts w:ascii="Times New Roman" w:hAnsi="Times New Roman" w:eastAsia="仿宋" w:cs="Times New Roman"/>
          <w:b w:val="0"/>
          <w:bCs w:val="0"/>
        </w:rPr>
        <w:t>般公共预算财政拨款项目支出决算表</w:t>
      </w:r>
      <w:bookmarkEnd w:id="101"/>
      <w:bookmarkEnd w:id="102"/>
    </w:p>
    <w:p w14:paraId="781F08FD">
      <w:pPr>
        <w:pStyle w:val="4"/>
        <w:keepNext/>
        <w:keepLines/>
        <w:pageBreakBefore w:val="0"/>
        <w:widowControl w:val="0"/>
        <w:kinsoku/>
        <w:wordWrap/>
        <w:overflowPunct/>
        <w:topLinePunct w:val="0"/>
        <w:bidi w:val="0"/>
        <w:spacing w:line="576" w:lineRule="exact"/>
        <w:rPr>
          <w:rStyle w:val="21"/>
          <w:rFonts w:ascii="Times New Roman" w:hAnsi="Times New Roman" w:eastAsia="仿宋" w:cs="Times New Roman"/>
          <w:b w:val="0"/>
          <w:bCs w:val="0"/>
        </w:rPr>
      </w:pPr>
      <w:bookmarkStart w:id="103" w:name="_Toc15396628"/>
      <w:bookmarkStart w:id="104" w:name="_Toc26843635"/>
      <w:r>
        <w:rPr>
          <w:rStyle w:val="21"/>
          <w:rFonts w:ascii="Times New Roman" w:hAnsi="Times New Roman" w:eastAsia="仿宋" w:cs="Times New Roman"/>
          <w:b w:val="0"/>
          <w:bCs w:val="0"/>
        </w:rPr>
        <w:t>十、</w:t>
      </w:r>
      <w:bookmarkEnd w:id="103"/>
      <w:bookmarkEnd w:id="104"/>
      <w:r>
        <w:rPr>
          <w:rStyle w:val="21"/>
          <w:rFonts w:hint="eastAsia" w:ascii="Times New Roman" w:hAnsi="Times New Roman" w:eastAsia="仿宋" w:cs="Times New Roman"/>
          <w:b w:val="0"/>
          <w:bCs w:val="0"/>
        </w:rPr>
        <w:t>一般公共预算</w:t>
      </w:r>
      <w:r>
        <w:rPr>
          <w:rStyle w:val="21"/>
          <w:rFonts w:ascii="Times New Roman" w:hAnsi="Times New Roman" w:eastAsia="仿宋" w:cs="Times New Roman"/>
          <w:b w:val="0"/>
          <w:bCs w:val="0"/>
        </w:rPr>
        <w:t>财政拨款“三公”经费支出决算表</w:t>
      </w:r>
    </w:p>
    <w:p w14:paraId="5D979CBA">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05" w:name="_Toc15396629"/>
      <w:bookmarkStart w:id="106" w:name="_Toc26843636"/>
      <w:r>
        <w:rPr>
          <w:rStyle w:val="21"/>
          <w:rFonts w:ascii="Times New Roman" w:hAnsi="Times New Roman" w:eastAsia="仿宋" w:cs="Times New Roman"/>
          <w:b w:val="0"/>
          <w:bCs w:val="0"/>
        </w:rPr>
        <w:t>十一、</w:t>
      </w:r>
      <w:bookmarkEnd w:id="105"/>
      <w:bookmarkEnd w:id="106"/>
      <w:r>
        <w:rPr>
          <w:rFonts w:hint="eastAsia" w:ascii="Times New Roman" w:hAnsi="Times New Roman" w:eastAsia="仿宋" w:cs="Times New Roman"/>
          <w:b w:val="0"/>
          <w:lang w:eastAsia="zh-CN"/>
        </w:rPr>
        <w:t>政府性基金预算财政拨款</w:t>
      </w:r>
      <w:r>
        <w:rPr>
          <w:rStyle w:val="21"/>
          <w:rFonts w:ascii="Times New Roman" w:hAnsi="Times New Roman" w:eastAsia="仿宋" w:cs="Times New Roman"/>
          <w:b w:val="0"/>
          <w:bCs w:val="0"/>
        </w:rPr>
        <w:t>收入支出决算表</w:t>
      </w:r>
    </w:p>
    <w:p w14:paraId="052EE9A7">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07" w:name="_Toc26843637"/>
      <w:bookmarkStart w:id="108" w:name="_Toc15396630"/>
      <w:r>
        <w:rPr>
          <w:rStyle w:val="21"/>
          <w:rFonts w:ascii="Times New Roman" w:hAnsi="Times New Roman" w:eastAsia="仿宋" w:cs="Times New Roman"/>
          <w:b w:val="0"/>
          <w:bCs w:val="0"/>
        </w:rPr>
        <w:t>十二、</w:t>
      </w:r>
      <w:bookmarkEnd w:id="107"/>
      <w:bookmarkEnd w:id="108"/>
      <w:bookmarkStart w:id="109" w:name="_Toc26843639"/>
      <w:r>
        <w:rPr>
          <w:rFonts w:ascii="Times New Roman" w:hAnsi="Times New Roman" w:eastAsia="仿宋" w:cs="Times New Roman"/>
          <w:b w:val="0"/>
        </w:rPr>
        <w:t>国</w:t>
      </w:r>
      <w:r>
        <w:rPr>
          <w:rStyle w:val="21"/>
          <w:rFonts w:ascii="Times New Roman" w:hAnsi="Times New Roman" w:eastAsia="仿宋" w:cs="Times New Roman"/>
          <w:b w:val="0"/>
          <w:bCs w:val="0"/>
        </w:rPr>
        <w:t>有资本经营预算财政拨款收入支出决算表</w:t>
      </w:r>
    </w:p>
    <w:p w14:paraId="6BB0FA0A">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r>
        <w:rPr>
          <w:rStyle w:val="21"/>
          <w:rFonts w:ascii="Times New Roman" w:hAnsi="Times New Roman" w:eastAsia="仿宋" w:cs="Times New Roman"/>
          <w:b w:val="0"/>
          <w:bCs w:val="0"/>
        </w:rPr>
        <w:t>十</w:t>
      </w:r>
      <w:r>
        <w:rPr>
          <w:rStyle w:val="21"/>
          <w:rFonts w:hint="eastAsia" w:ascii="Times New Roman" w:hAnsi="Times New Roman" w:eastAsia="仿宋" w:cs="Times New Roman"/>
          <w:b w:val="0"/>
          <w:bCs w:val="0"/>
          <w:lang w:val="en-US"/>
        </w:rPr>
        <w:t>三</w:t>
      </w:r>
      <w:r>
        <w:rPr>
          <w:rStyle w:val="21"/>
          <w:rFonts w:ascii="Times New Roman" w:hAnsi="Times New Roman" w:eastAsia="仿宋" w:cs="Times New Roman"/>
          <w:b w:val="0"/>
          <w:bCs w:val="0"/>
        </w:rPr>
        <w:t>、</w:t>
      </w:r>
      <w:bookmarkEnd w:id="109"/>
      <w:r>
        <w:rPr>
          <w:rStyle w:val="21"/>
          <w:rFonts w:ascii="Times New Roman" w:hAnsi="Times New Roman" w:eastAsia="仿宋" w:cs="Times New Roman"/>
          <w:b w:val="0"/>
          <w:bCs w:val="0"/>
        </w:rPr>
        <w:t>国有资本经营预算财政拨款支出决算表</w:t>
      </w:r>
    </w:p>
    <w:p w14:paraId="76C36658">
      <w:pPr>
        <w:pageBreakBefore w:val="0"/>
        <w:widowControl w:val="0"/>
        <w:kinsoku/>
        <w:wordWrap/>
        <w:overflowPunct/>
        <w:topLinePunct w:val="0"/>
        <w:bidi w:val="0"/>
        <w:spacing w:line="576" w:lineRule="exact"/>
        <w:rPr>
          <w:rFonts w:ascii="Times New Roman" w:hAnsi="Times New Roman" w:eastAsia="仿宋" w:cs="Times New Roman"/>
        </w:rPr>
      </w:pPr>
    </w:p>
    <w:p w14:paraId="4AE83E6E">
      <w:pPr>
        <w:pageBreakBefore w:val="0"/>
        <w:widowControl w:val="0"/>
        <w:kinsoku/>
        <w:wordWrap/>
        <w:overflowPunct/>
        <w:topLinePunct w:val="0"/>
        <w:bidi w:val="0"/>
        <w:spacing w:line="576" w:lineRule="exact"/>
        <w:rPr>
          <w:rFonts w:ascii="Times New Roman" w:hAnsi="Times New Roman" w:eastAsia="仿宋" w:cs="Times New Roman"/>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7A770BC-7887-46CA-9FF1-05F0C8AA286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05D83A4A-62BC-40F4-A174-6D62578F08C4}"/>
  </w:font>
  <w:font w:name="仿宋">
    <w:panose1 w:val="02010609060101010101"/>
    <w:charset w:val="86"/>
    <w:family w:val="auto"/>
    <w:pitch w:val="default"/>
    <w:sig w:usb0="800002BF" w:usb1="38CF7CFA" w:usb2="00000016" w:usb3="00000000" w:csb0="00040001" w:csb1="00000000"/>
    <w:embedRegular r:id="rId3" w:fontKey="{59151A7D-9587-48AB-B954-D01531A674BF}"/>
  </w:font>
  <w:font w:name="DejaVu Sans">
    <w:altName w:val="Segoe Print"/>
    <w:panose1 w:val="020B0603030804020204"/>
    <w:charset w:val="00"/>
    <w:family w:val="roman"/>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方正小标宋简体">
    <w:altName w:val="微软雅黑"/>
    <w:panose1 w:val="02010601030101010101"/>
    <w:charset w:val="86"/>
    <w:family w:val="script"/>
    <w:pitch w:val="default"/>
    <w:sig w:usb0="00000000" w:usb1="00000000" w:usb2="00000000" w:usb3="00000000" w:csb0="00040000" w:csb1="00000000"/>
    <w:embedRegular r:id="rId4" w:fontKey="{C98D63DA-885C-418B-9561-973369343136}"/>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embedRegular r:id="rId5" w:fontKey="{DA67EE0F-346C-4E63-A01D-195317E91628}"/>
  </w:font>
  <w:font w:name="方正楷体_GBK">
    <w:panose1 w:val="02000000000000000000"/>
    <w:charset w:val="86"/>
    <w:family w:val="auto"/>
    <w:pitch w:val="default"/>
    <w:sig w:usb0="800002BF" w:usb1="38CF7CFA" w:usb2="00000016" w:usb3="00000000" w:csb0="00040000" w:csb1="00000000"/>
    <w:embedRegular r:id="rId6" w:fontKey="{C7BA35A7-07E4-4D49-A579-6F2740DE83FE}"/>
  </w:font>
  <w:font w:name="方正黑体_GBK">
    <w:altName w:val="微软雅黑"/>
    <w:panose1 w:val="02000000000000000000"/>
    <w:charset w:val="86"/>
    <w:family w:val="auto"/>
    <w:pitch w:val="default"/>
    <w:sig w:usb0="00000000" w:usb1="00000000" w:usb2="00082016" w:usb3="00000000" w:csb0="00040001" w:csb1="00000000"/>
    <w:embedRegular r:id="rId7" w:fontKey="{46902089-FD31-42AB-AE06-FB6CD0B8CCC6}"/>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embedRegular r:id="rId8" w:fontKey="{57FF1560-98B9-4A5E-B09B-88859522E3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6894358"/>
    </w:sdtPr>
    <w:sdtContent>
      <w:p w14:paraId="44690F12">
        <w:pPr>
          <w:pStyle w:val="9"/>
          <w:jc w:val="center"/>
        </w:pPr>
        <w:r>
          <w:fldChar w:fldCharType="begin"/>
        </w:r>
        <w:r>
          <w:instrText xml:space="preserve">PAGE   \* MERGEFORMAT</w:instrText>
        </w:r>
        <w:r>
          <w:fldChar w:fldCharType="separate"/>
        </w:r>
        <w:r>
          <w:rPr>
            <w:lang w:val="zh-CN"/>
          </w:rPr>
          <w:t>8</w:t>
        </w:r>
        <w:r>
          <w:fldChar w:fldCharType="end"/>
        </w:r>
      </w:p>
    </w:sdtContent>
  </w:sdt>
  <w:p w14:paraId="16F98805">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C2151">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94DE4A"/>
    <w:multiLevelType w:val="multilevel"/>
    <w:tmpl w:val="B094DE4A"/>
    <w:lvl w:ilvl="0" w:tentative="0">
      <w:start w:val="1"/>
      <w:numFmt w:val="chineseCountingThousand"/>
      <w:lvlText w:val="（%1）"/>
      <w:lvlJc w:val="left"/>
      <w:pPr>
        <w:ind w:left="1600" w:hanging="960"/>
      </w:pPr>
      <w:rPr>
        <w:rFonts w:hint="default" w:ascii="仿宋_GB2312" w:hAnsi="仿宋_GB2312" w:eastAsia="仿宋_GB2312" w:cs="宋体"/>
        <w:sz w:val="32"/>
        <w:szCs w:val="32"/>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NTFjNjFlZjJiMzNlMjk1M2ZlZTNlOTNhYTBiM2ZlZTgifQ=="/>
  </w:docVars>
  <w:rsids>
    <w:rsidRoot w:val="00000000"/>
    <w:rsid w:val="00560D11"/>
    <w:rsid w:val="067F5A08"/>
    <w:rsid w:val="06AE5BB8"/>
    <w:rsid w:val="06CC1870"/>
    <w:rsid w:val="087A60B7"/>
    <w:rsid w:val="09945539"/>
    <w:rsid w:val="0C593122"/>
    <w:rsid w:val="0E5952EB"/>
    <w:rsid w:val="0EBA7FB6"/>
    <w:rsid w:val="0F18343E"/>
    <w:rsid w:val="0F1D326E"/>
    <w:rsid w:val="13F13588"/>
    <w:rsid w:val="169A0863"/>
    <w:rsid w:val="16B27763"/>
    <w:rsid w:val="18A1557C"/>
    <w:rsid w:val="1A4C776A"/>
    <w:rsid w:val="1F7D2268"/>
    <w:rsid w:val="1FA94D17"/>
    <w:rsid w:val="20550B15"/>
    <w:rsid w:val="219C5A17"/>
    <w:rsid w:val="275476F7"/>
    <w:rsid w:val="29347D47"/>
    <w:rsid w:val="305A1D51"/>
    <w:rsid w:val="319F2569"/>
    <w:rsid w:val="32A92652"/>
    <w:rsid w:val="33AF5A2C"/>
    <w:rsid w:val="343757CF"/>
    <w:rsid w:val="3AAC17D9"/>
    <w:rsid w:val="3EB23790"/>
    <w:rsid w:val="40AC634B"/>
    <w:rsid w:val="41CA7043"/>
    <w:rsid w:val="4A17561C"/>
    <w:rsid w:val="4A4548D2"/>
    <w:rsid w:val="4A8A2A77"/>
    <w:rsid w:val="4C934C01"/>
    <w:rsid w:val="4E014C2A"/>
    <w:rsid w:val="4E0B4C6B"/>
    <w:rsid w:val="504808F9"/>
    <w:rsid w:val="51522E2C"/>
    <w:rsid w:val="51713037"/>
    <w:rsid w:val="5266146A"/>
    <w:rsid w:val="534F1156"/>
    <w:rsid w:val="54E73B89"/>
    <w:rsid w:val="567C63FF"/>
    <w:rsid w:val="5A063E46"/>
    <w:rsid w:val="5B160F0B"/>
    <w:rsid w:val="5CCA4CD7"/>
    <w:rsid w:val="5F4A29C5"/>
    <w:rsid w:val="602C2E66"/>
    <w:rsid w:val="61A3078C"/>
    <w:rsid w:val="65844F8D"/>
    <w:rsid w:val="65D1629B"/>
    <w:rsid w:val="693E3CEF"/>
    <w:rsid w:val="69CE0BCF"/>
    <w:rsid w:val="6A544A5B"/>
    <w:rsid w:val="6BB95E31"/>
    <w:rsid w:val="6EA168B2"/>
    <w:rsid w:val="6EA2262A"/>
    <w:rsid w:val="70707286"/>
    <w:rsid w:val="71DB458C"/>
    <w:rsid w:val="736A5E0C"/>
    <w:rsid w:val="73E00139"/>
    <w:rsid w:val="74D70F58"/>
    <w:rsid w:val="779FF215"/>
    <w:rsid w:val="7A296296"/>
    <w:rsid w:val="7BD31AB2"/>
    <w:rsid w:val="7C8A59A1"/>
    <w:rsid w:val="7EED16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1"/>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Subtitle"/>
    <w:basedOn w:val="1"/>
    <w:qFormat/>
    <w:uiPriority w:val="11"/>
    <w:pPr>
      <w:spacing w:before="240" w:after="60" w:line="312" w:lineRule="auto"/>
      <w:jc w:val="center"/>
      <w:outlineLvl w:val="1"/>
    </w:pPr>
    <w:rPr>
      <w:rFonts w:ascii="DejaVu Sans" w:hAnsi="DejaVu Sans"/>
      <w:b/>
      <w:kern w:val="28"/>
    </w:rPr>
  </w:style>
  <w:style w:type="paragraph" w:styleId="13">
    <w:name w:val="table of figures"/>
    <w:basedOn w:val="1"/>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100" w:beforeAutospacing="1" w:after="100" w:afterAutospacing="1" w:line="240" w:lineRule="auto"/>
      <w:ind w:left="400" w:leftChars="200" w:right="0" w:hanging="200" w:hangingChars="200"/>
      <w:jc w:val="both"/>
      <w:textAlignment w:val="auto"/>
      <w:outlineLvl w:val="9"/>
    </w:pPr>
    <w:rPr>
      <w:rFonts w:ascii="Calibri" w:hAnsi="Calibri" w:eastAsia="宋体" w:cs="Times New Roman"/>
      <w:snapToGrid/>
      <w:color w:val="auto"/>
      <w:spacing w:val="0"/>
      <w:w w:val="100"/>
      <w:kern w:val="2"/>
      <w:position w:val="0"/>
      <w:sz w:val="21"/>
      <w:szCs w:val="21"/>
      <w:u w:val="none" w:color="auto"/>
      <w:vertAlign w:val="baseline"/>
      <w:lang w:val="en-US" w:eastAsia="zh-CN" w:bidi="ar-SA"/>
    </w:rPr>
  </w:style>
  <w:style w:type="paragraph" w:styleId="14">
    <w:name w:val="toc 2"/>
    <w:basedOn w:val="1"/>
    <w:next w:val="1"/>
    <w:qFormat/>
    <w:uiPriority w:val="0"/>
    <w:pPr>
      <w:tabs>
        <w:tab w:val="right" w:leader="dot" w:pos="8296"/>
      </w:tabs>
      <w:ind w:left="200" w:leftChars="200"/>
    </w:p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heading 1 Char"/>
    <w:basedOn w:val="17"/>
    <w:link w:val="3"/>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7"/>
    <w:link w:val="4"/>
    <w:qFormat/>
    <w:uiPriority w:val="0"/>
    <w:rPr>
      <w:rFonts w:ascii="Cambria" w:hAnsi="Cambria" w:eastAsia="宋体" w:cs="Times New Roman"/>
      <w:b/>
      <w:bCs/>
      <w:kern w:val="2"/>
      <w:sz w:val="32"/>
      <w:szCs w:val="32"/>
      <w:lang w:val="en-US" w:eastAsia="zh-CN" w:bidi="ar-SA"/>
    </w:rPr>
  </w:style>
  <w:style w:type="character" w:customStyle="1" w:styleId="22">
    <w:name w:val="Header Char"/>
    <w:basedOn w:val="17"/>
    <w:qFormat/>
    <w:uiPriority w:val="0"/>
    <w:rPr>
      <w:rFonts w:ascii="Times New Roman" w:hAnsi="Times New Roman"/>
      <w:sz w:val="18"/>
      <w:szCs w:val="18"/>
    </w:rPr>
  </w:style>
  <w:style w:type="character" w:customStyle="1" w:styleId="23">
    <w:name w:val="Footer Char"/>
    <w:basedOn w:val="17"/>
    <w:qFormat/>
    <w:uiPriority w:val="0"/>
    <w:rPr>
      <w:rFonts w:ascii="Times New Roman" w:hAnsi="Times New Roman"/>
      <w:sz w:val="18"/>
      <w:szCs w:val="18"/>
    </w:rPr>
  </w:style>
  <w:style w:type="character" w:customStyle="1" w:styleId="24">
    <w:name w:val="Body Text Char"/>
    <w:basedOn w:val="17"/>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6">
    <w:name w:val="List Paragraph"/>
    <w:basedOn w:val="1"/>
    <w:qFormat/>
    <w:uiPriority w:val="0"/>
    <w:pPr>
      <w:ind w:firstLine="200" w:firstLineChars="200"/>
    </w:pPr>
  </w:style>
  <w:style w:type="paragraph" w:customStyle="1" w:styleId="27">
    <w:name w:val="TOC 标题1"/>
    <w:basedOn w:val="3"/>
    <w:next w:val="1"/>
    <w:qFormat/>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28">
    <w:name w:val="TOC 标题2"/>
    <w:basedOn w:val="3"/>
    <w:next w:val="1"/>
    <w:qFormat/>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29">
    <w:name w:val="文档正文"/>
    <w:qFormat/>
    <w:uiPriority w:val="0"/>
    <w:pPr>
      <w:adjustRightInd w:val="0"/>
      <w:spacing w:line="480" w:lineRule="atLeast"/>
      <w:textAlignment w:val="baseline"/>
    </w:pPr>
    <w:rPr>
      <w:rFonts w:ascii="Arial" w:hAnsi="Arial" w:eastAsia="宋体" w:cs="Times New Roman"/>
      <w:kern w:val="0"/>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7.xlsx"/></Relationships>
</file>

<file path=word/charts/_rels/chart8.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Sheet1!$A$2:$A$3</c:f>
              <c:strCache>
                <c:ptCount val="2"/>
                <c:pt idx="0">
                  <c:v>总收入</c:v>
                </c:pt>
                <c:pt idx="1">
                  <c:v>总支出</c:v>
                </c:pt>
              </c:strCache>
            </c:strRef>
          </c:cat>
          <c:val>
            <c:numRef>
              <c:f>Sheet1!$B$2:$B$3</c:f>
              <c:numCache>
                <c:formatCode>General</c:formatCode>
                <c:ptCount val="2"/>
                <c:pt idx="0">
                  <c:v>323.17</c:v>
                </c:pt>
                <c:pt idx="1">
                  <c:v>323.17</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Sheet1!$A$2:$A$3</c:f>
              <c:strCache>
                <c:ptCount val="2"/>
                <c:pt idx="0">
                  <c:v>总收入</c:v>
                </c:pt>
                <c:pt idx="1">
                  <c:v>总支出</c:v>
                </c:pt>
              </c:strCache>
            </c:strRef>
          </c:cat>
          <c:val>
            <c:numRef>
              <c:f>Sheet1!$C$2:$C$3</c:f>
              <c:numCache>
                <c:formatCode>General</c:formatCode>
                <c:ptCount val="2"/>
                <c:pt idx="0">
                  <c:v>211.87</c:v>
                </c:pt>
                <c:pt idx="1">
                  <c:v>211.87</c:v>
                </c:pt>
              </c:numCache>
            </c:numRef>
          </c:val>
        </c:ser>
        <c:dLbls>
          <c:showLegendKey val="0"/>
          <c:showVal val="0"/>
          <c:showCatName val="0"/>
          <c:showSerName val="0"/>
          <c:showPercent val="0"/>
          <c:showBubbleSize val="0"/>
        </c:dLbls>
        <c:gapWidth val="219"/>
        <c:overlap val="-27"/>
        <c:axId val="20922248"/>
        <c:axId val="527135930"/>
      </c:barChart>
      <c:catAx>
        <c:axId val="209222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7135930"/>
        <c:crosses val="autoZero"/>
        <c:auto val="1"/>
        <c:lblAlgn val="ctr"/>
        <c:lblOffset val="100"/>
        <c:noMultiLvlLbl val="0"/>
      </c:catAx>
      <c:valAx>
        <c:axId val="52713593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922248"/>
        <c:crosses val="autoZero"/>
        <c:crossBetween val="between"/>
      </c:valAx>
      <c:spPr>
        <a:noFill/>
        <a:ln>
          <a:noFill/>
        </a:ln>
        <a:effectLst/>
      </c:spPr>
    </c:plotArea>
    <c:legend>
      <c:legendPos val="b"/>
      <c:layout>
        <c:manualLayout>
          <c:xMode val="edge"/>
          <c:yMode val="edge"/>
          <c:x val="0.345"/>
          <c:y val="0.939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781ad45-d5c2-4780-9772-9499a3954e4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202</a:t>
            </a:r>
            <a:r>
              <a:rPr lang="en-US" altLang="zh-CN"/>
              <a:t>4</a:t>
            </a:r>
            <a:r>
              <a:rPr lang="zh-CN"/>
              <a:t>年收入</a:t>
            </a:r>
            <a:endParaRPr lang="zh-CN"/>
          </a:p>
        </c:rich>
      </c:tx>
      <c:layout/>
      <c:overlay val="0"/>
      <c:spPr>
        <a:noFill/>
        <a:ln>
          <a:noFill/>
        </a:ln>
      </c:spPr>
    </c:title>
    <c:autoTitleDeleted val="0"/>
    <c:plotArea>
      <c:layout/>
      <c:pieChart>
        <c:varyColors val="1"/>
        <c:ser>
          <c:idx val="0"/>
          <c:order val="0"/>
          <c:tx>
            <c:strRef>
              <c:f>Sheet1!$B$1</c:f>
              <c:strCache>
                <c:ptCount val="1"/>
                <c:pt idx="0">
                  <c:v>2024年收入</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211.87</c:v>
                </c:pt>
                <c:pt idx="1">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manualLayout>
          <c:xMode val="edge"/>
          <c:yMode val="edge"/>
          <c:x val="0.1159768"/>
          <c:y val="0.87356013"/>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extLst>
      <c:ext uri="{0b15fc19-7d7d-44ad-8c2d-2c3a37ce22c3}">
        <chartProps xmlns="https://web.wps.cn/et/2018/main" chartId="{8b061490-e165-4a41-9684-1569915534b3}"/>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202</a:t>
            </a:r>
            <a:r>
              <a:rPr lang="en-US" altLang="zh-CN"/>
              <a:t>4</a:t>
            </a:r>
            <a:r>
              <a:rPr lang="zh-CN"/>
              <a:t>年支出</a:t>
            </a:r>
            <a:endParaRPr lang="zh-CN"/>
          </a:p>
        </c:rich>
      </c:tx>
      <c:layout/>
      <c:overlay val="0"/>
      <c:spPr>
        <a:noFill/>
        <a:ln>
          <a:noFill/>
        </a:ln>
      </c:spPr>
    </c:title>
    <c:autoTitleDeleted val="0"/>
    <c:plotArea>
      <c:layout/>
      <c:pieChart>
        <c:varyColors val="1"/>
        <c:ser>
          <c:idx val="0"/>
          <c:order val="0"/>
          <c:tx>
            <c:strRef>
              <c:f>'Sheet1 (2)'!$B$1</c:f>
              <c:strCache>
                <c:ptCount val="1"/>
                <c:pt idx="0">
                  <c:v>2024年支出</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(2)'!$A$2:$A$3</c:f>
              <c:strCache>
                <c:ptCount val="2"/>
                <c:pt idx="0">
                  <c:v>基本支出</c:v>
                </c:pt>
                <c:pt idx="1">
                  <c:v>项目支出</c:v>
                </c:pt>
              </c:strCache>
            </c:strRef>
          </c:cat>
          <c:val>
            <c:numRef>
              <c:f>'Sheet1 (2)'!$B$2:$B$3</c:f>
              <c:numCache>
                <c:formatCode>General</c:formatCode>
                <c:ptCount val="2"/>
                <c:pt idx="0">
                  <c:v>196.87</c:v>
                </c:pt>
                <c:pt idx="1">
                  <c:v>15</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manualLayout>
          <c:xMode val="edge"/>
          <c:yMode val="edge"/>
          <c:x val="0.1159768"/>
          <c:y val="0.87356013"/>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extLst>
      <c:ext uri="{0b15fc19-7d7d-44ad-8c2d-2c3a37ce22c3}">
        <chartProps xmlns="https://web.wps.cn/et/2018/main" chartId="{df58077e-7f13-4a31-9a0a-da38f8a5a760}"/>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Sheet1!$A$2:$A$3</c:f>
              <c:strCache>
                <c:ptCount val="2"/>
                <c:pt idx="0">
                  <c:v>总收入</c:v>
                </c:pt>
                <c:pt idx="1">
                  <c:v>总支出</c:v>
                </c:pt>
              </c:strCache>
            </c:strRef>
          </c:cat>
          <c:val>
            <c:numRef>
              <c:f>Sheet1!$B$2:$B$3</c:f>
              <c:numCache>
                <c:formatCode>General</c:formatCode>
                <c:ptCount val="2"/>
                <c:pt idx="0">
                  <c:v>323.17</c:v>
                </c:pt>
                <c:pt idx="1">
                  <c:v>323.17</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Sheet1!$A$2:$A$3</c:f>
              <c:strCache>
                <c:ptCount val="2"/>
                <c:pt idx="0">
                  <c:v>总收入</c:v>
                </c:pt>
                <c:pt idx="1">
                  <c:v>总支出</c:v>
                </c:pt>
              </c:strCache>
            </c:strRef>
          </c:cat>
          <c:val>
            <c:numRef>
              <c:f>Sheet1!$C$2:$C$3</c:f>
              <c:numCache>
                <c:formatCode>General</c:formatCode>
                <c:ptCount val="2"/>
                <c:pt idx="0">
                  <c:v>211.87</c:v>
                </c:pt>
                <c:pt idx="1">
                  <c:v>211.87</c:v>
                </c:pt>
              </c:numCache>
            </c:numRef>
          </c:val>
        </c:ser>
        <c:dLbls>
          <c:showLegendKey val="0"/>
          <c:showVal val="0"/>
          <c:showCatName val="0"/>
          <c:showSerName val="0"/>
          <c:showPercent val="0"/>
          <c:showBubbleSize val="0"/>
        </c:dLbls>
        <c:gapWidth val="219"/>
        <c:overlap val="-27"/>
        <c:axId val="20922248"/>
        <c:axId val="527135930"/>
      </c:barChart>
      <c:catAx>
        <c:axId val="209222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7135930"/>
        <c:crosses val="autoZero"/>
        <c:auto val="1"/>
        <c:lblAlgn val="ctr"/>
        <c:lblOffset val="100"/>
        <c:noMultiLvlLbl val="0"/>
      </c:catAx>
      <c:valAx>
        <c:axId val="52713593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922248"/>
        <c:crosses val="autoZero"/>
        <c:crossBetween val="between"/>
      </c:valAx>
      <c:spPr>
        <a:noFill/>
        <a:ln>
          <a:noFill/>
        </a:ln>
        <a:effectLst/>
      </c:spPr>
    </c:plotArea>
    <c:legend>
      <c:legendPos val="b"/>
      <c:layout>
        <c:manualLayout>
          <c:xMode val="edge"/>
          <c:yMode val="edge"/>
          <c:x val="0.345"/>
          <c:y val="0.939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e2ca7f1-d21f-487b-83e3-1c77489e125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Sheet1!$A$2:$A$3</c:f>
              <c:strCache>
                <c:ptCount val="2"/>
                <c:pt idx="0">
                  <c:v>总收入</c:v>
                </c:pt>
                <c:pt idx="1">
                  <c:v>总支出</c:v>
                </c:pt>
              </c:strCache>
            </c:strRef>
          </c:cat>
          <c:val>
            <c:numRef>
              <c:f>Sheet1!$B$2:$B$3</c:f>
              <c:numCache>
                <c:formatCode>General</c:formatCode>
                <c:ptCount val="2"/>
                <c:pt idx="0">
                  <c:v>323.17</c:v>
                </c:pt>
                <c:pt idx="1">
                  <c:v>323.17</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Sheet1!$A$2:$A$3</c:f>
              <c:strCache>
                <c:ptCount val="2"/>
                <c:pt idx="0">
                  <c:v>总收入</c:v>
                </c:pt>
                <c:pt idx="1">
                  <c:v>总支出</c:v>
                </c:pt>
              </c:strCache>
            </c:strRef>
          </c:cat>
          <c:val>
            <c:numRef>
              <c:f>Sheet1!$C$2:$C$3</c:f>
              <c:numCache>
                <c:formatCode>General</c:formatCode>
                <c:ptCount val="2"/>
                <c:pt idx="0">
                  <c:v>211.87</c:v>
                </c:pt>
                <c:pt idx="1">
                  <c:v>211.87</c:v>
                </c:pt>
              </c:numCache>
            </c:numRef>
          </c:val>
        </c:ser>
        <c:dLbls>
          <c:showLegendKey val="0"/>
          <c:showVal val="0"/>
          <c:showCatName val="0"/>
          <c:showSerName val="0"/>
          <c:showPercent val="0"/>
          <c:showBubbleSize val="0"/>
        </c:dLbls>
        <c:gapWidth val="219"/>
        <c:overlap val="-27"/>
        <c:axId val="20922248"/>
        <c:axId val="527135930"/>
      </c:barChart>
      <c:catAx>
        <c:axId val="209222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7135930"/>
        <c:crosses val="autoZero"/>
        <c:auto val="1"/>
        <c:lblAlgn val="ctr"/>
        <c:lblOffset val="100"/>
        <c:noMultiLvlLbl val="0"/>
      </c:catAx>
      <c:valAx>
        <c:axId val="52713593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922248"/>
        <c:crosses val="autoZero"/>
        <c:crossBetween val="between"/>
      </c:valAx>
      <c:spPr>
        <a:noFill/>
        <a:ln>
          <a:noFill/>
        </a:ln>
        <a:effectLst/>
      </c:spPr>
    </c:plotArea>
    <c:legend>
      <c:legendPos val="b"/>
      <c:layout>
        <c:manualLayout>
          <c:xMode val="edge"/>
          <c:yMode val="edge"/>
          <c:x val="0.345"/>
          <c:y val="0.939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08c1c1d-4312-4340-98ff-1c4db3a5aec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Lucida Sans"/>
              </a:defRPr>
            </a:pPr>
            <a:r>
              <a:rPr lang="zh-CN"/>
              <a:t> </a:t>
            </a:r>
            <a:endParaRPr lang="zh-CN"/>
          </a:p>
        </c:rich>
      </c:tx>
      <c:layout>
        <c:manualLayout>
          <c:xMode val="edge"/>
          <c:yMode val="edge"/>
          <c:x val="0.3960356"/>
          <c:y val="0.007473842"/>
        </c:manualLayout>
      </c:layout>
      <c:overlay val="0"/>
      <c:spPr>
        <a:noFill/>
        <a:ln>
          <a:noFill/>
        </a:ln>
      </c:spPr>
    </c:title>
    <c:autoTitleDeleted val="0"/>
    <c:plotArea>
      <c:layout/>
      <c:pieChart>
        <c:varyColors val="1"/>
        <c:ser>
          <c:idx val="0"/>
          <c:order val="0"/>
          <c:tx>
            <c:strRef>
              <c:f>'Sheet1 (3)'!$B$1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dLbl>
              <c:idx val="0"/>
              <c:layout>
                <c:manualLayout>
                  <c:x val="-0.0254995310251063"/>
                  <c:y val="0.18221875658714"/>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293986182182484"/>
                  <c:y val="0.044134175441217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0123145799794681"/>
                  <c:y val="0.13352538505795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(3)'!$A$2:$A$6</c:f>
              <c:strCache>
                <c:ptCount val="5"/>
                <c:pt idx="0">
                  <c:v>社会保障和就业</c:v>
                </c:pt>
                <c:pt idx="1">
                  <c:v>卫生健康支出</c:v>
                </c:pt>
                <c:pt idx="2">
                  <c:v>农林水支出</c:v>
                </c:pt>
                <c:pt idx="3">
                  <c:v>商业服务业等支出</c:v>
                </c:pt>
                <c:pt idx="4">
                  <c:v>住房保障支出</c:v>
                </c:pt>
              </c:strCache>
            </c:strRef>
          </c:cat>
          <c:val>
            <c:numRef>
              <c:f>'Sheet1 (3)'!$B$2:$B$6</c:f>
              <c:numCache>
                <c:formatCode>General</c:formatCode>
                <c:ptCount val="5"/>
                <c:pt idx="0">
                  <c:v>31.13</c:v>
                </c:pt>
                <c:pt idx="1">
                  <c:v>11.87</c:v>
                </c:pt>
                <c:pt idx="2">
                  <c:v>15</c:v>
                </c:pt>
                <c:pt idx="3">
                  <c:v>141.03</c:v>
                </c:pt>
                <c:pt idx="4">
                  <c:v>12.84</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gap"/>
    <c:showDLblsOverMax val="0"/>
    <c:extLst>
      <c:ext uri="{0b15fc19-7d7d-44ad-8c2d-2c3a37ce22c3}">
        <chartProps xmlns="https://web.wps.cn/et/2018/main" chartId="{dbea1e69-5c39-4773-b481-81ff57943a63}"/>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人员经费</a:t>
            </a:r>
          </a:p>
        </c:rich>
      </c:tx>
      <c:layout/>
      <c:overlay val="0"/>
      <c:spPr>
        <a:noFill/>
        <a:ln>
          <a:noFill/>
        </a:ln>
        <a:effectLst/>
      </c:spPr>
    </c:title>
    <c:autoTitleDeleted val="0"/>
    <c:plotArea>
      <c:layout>
        <c:manualLayout>
          <c:layoutTarget val="inner"/>
          <c:xMode val="edge"/>
          <c:yMode val="edge"/>
          <c:x val="0.218791251455934"/>
          <c:y val="0.137670475488389"/>
          <c:w val="0.750795910443898"/>
          <c:h val="0.686583118319204"/>
        </c:manualLayout>
      </c:layout>
      <c:barChart>
        <c:barDir val="bar"/>
        <c:grouping val="clustered"/>
        <c:varyColors val="0"/>
        <c:ser>
          <c:idx val="0"/>
          <c:order val="0"/>
          <c:tx>
            <c:strRef>
              <c:f>Sheet1!$B$1</c:f>
              <c:strCache>
                <c:ptCount val="1"/>
                <c:pt idx="0">
                  <c:v>万元 </c:v>
                </c:pt>
              </c:strCache>
            </c:strRef>
          </c:tx>
          <c:spPr>
            <a:solidFill>
              <a:schemeClr val="accent1"/>
            </a:solidFill>
            <a:ln>
              <a:noFill/>
            </a:ln>
            <a:effectLst/>
          </c:spPr>
          <c:invertIfNegative val="0"/>
          <c:dLbls>
            <c:delete val="1"/>
          </c:dLbls>
          <c:cat>
            <c:strRef>
              <c:f>Sheet1!$A$2:$A$12</c:f>
              <c:strCache>
                <c:ptCount val="11"/>
                <c:pt idx="0">
                  <c:v>基本工资</c:v>
                </c:pt>
                <c:pt idx="1">
                  <c:v>津贴补贴</c:v>
                </c:pt>
                <c:pt idx="2">
                  <c:v>奖金</c:v>
                </c:pt>
                <c:pt idx="3">
                  <c:v>基本养老保险</c:v>
                </c:pt>
                <c:pt idx="4">
                  <c:v>职业年金缴费</c:v>
                </c:pt>
                <c:pt idx="5">
                  <c:v>基本医疗保险</c:v>
                </c:pt>
                <c:pt idx="6">
                  <c:v>公务员医疗补助</c:v>
                </c:pt>
                <c:pt idx="7">
                  <c:v>其他社会保障缴费</c:v>
                </c:pt>
                <c:pt idx="8">
                  <c:v>住房公积金</c:v>
                </c:pt>
                <c:pt idx="9">
                  <c:v>生活补助</c:v>
                </c:pt>
                <c:pt idx="10">
                  <c:v>抚恤金</c:v>
                </c:pt>
              </c:strCache>
            </c:strRef>
          </c:cat>
          <c:val>
            <c:numRef>
              <c:f>Sheet1!$B$2:$B$12</c:f>
              <c:numCache>
                <c:formatCode>General</c:formatCode>
                <c:ptCount val="11"/>
                <c:pt idx="0">
                  <c:v>33.04</c:v>
                </c:pt>
                <c:pt idx="1">
                  <c:v>39.49</c:v>
                </c:pt>
                <c:pt idx="2">
                  <c:v>39.61</c:v>
                </c:pt>
                <c:pt idx="3">
                  <c:v>16.31</c:v>
                </c:pt>
                <c:pt idx="4">
                  <c:v>8.15</c:v>
                </c:pt>
                <c:pt idx="5">
                  <c:v>7.78</c:v>
                </c:pt>
                <c:pt idx="6">
                  <c:v>4.09</c:v>
                </c:pt>
                <c:pt idx="7">
                  <c:v>1.82</c:v>
                </c:pt>
                <c:pt idx="8">
                  <c:v>12.84</c:v>
                </c:pt>
                <c:pt idx="9">
                  <c:v>15.74</c:v>
                </c:pt>
                <c:pt idx="10">
                  <c:v>6.67</c:v>
                </c:pt>
              </c:numCache>
            </c:numRef>
          </c:val>
        </c:ser>
        <c:dLbls>
          <c:showLegendKey val="0"/>
          <c:showVal val="0"/>
          <c:showCatName val="0"/>
          <c:showSerName val="0"/>
          <c:showPercent val="0"/>
          <c:showBubbleSize val="0"/>
        </c:dLbls>
        <c:gapWidth val="182"/>
        <c:overlap val="0"/>
        <c:axId val="691345426"/>
        <c:axId val="953100189"/>
      </c:barChart>
      <c:catAx>
        <c:axId val="691345426"/>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3100189"/>
        <c:crosses val="autoZero"/>
        <c:auto val="1"/>
        <c:lblAlgn val="ctr"/>
        <c:lblOffset val="100"/>
        <c:noMultiLvlLbl val="0"/>
      </c:catAx>
      <c:valAx>
        <c:axId val="95310018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13454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90de86e-5b75-48c6-8304-800e29cac9b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公用经费</a:t>
            </a:r>
          </a:p>
        </c:rich>
      </c:tx>
      <c:layout/>
      <c:overlay val="0"/>
      <c:spPr>
        <a:noFill/>
        <a:ln>
          <a:noFill/>
        </a:ln>
        <a:effectLst/>
      </c:spPr>
    </c:title>
    <c:autoTitleDeleted val="0"/>
    <c:plotArea>
      <c:layout/>
      <c:barChart>
        <c:barDir val="bar"/>
        <c:grouping val="clustered"/>
        <c:varyColors val="0"/>
        <c:ser>
          <c:idx val="0"/>
          <c:order val="0"/>
          <c:tx>
            <c:strRef>
              <c:f>Sheet1!$B$1</c:f>
              <c:strCache>
                <c:ptCount val="1"/>
                <c:pt idx="0">
                  <c:v>万元</c:v>
                </c:pt>
              </c:strCache>
            </c:strRef>
          </c:tx>
          <c:spPr>
            <a:solidFill>
              <a:schemeClr val="accent1"/>
            </a:solidFill>
            <a:ln>
              <a:noFill/>
            </a:ln>
            <a:effectLst/>
          </c:spPr>
          <c:invertIfNegative val="0"/>
          <c:dLbls>
            <c:delete val="1"/>
          </c:dLbls>
          <c:cat>
            <c:strRef>
              <c:f>Sheet1!$A$2:$A$7</c:f>
              <c:strCache>
                <c:ptCount val="6"/>
                <c:pt idx="0">
                  <c:v>办公费</c:v>
                </c:pt>
                <c:pt idx="1">
                  <c:v>水费</c:v>
                </c:pt>
                <c:pt idx="2">
                  <c:v>邮电费</c:v>
                </c:pt>
                <c:pt idx="3">
                  <c:v>差旅费</c:v>
                </c:pt>
                <c:pt idx="4">
                  <c:v>劳务费</c:v>
                </c:pt>
                <c:pt idx="5">
                  <c:v>其他交通费用</c:v>
                </c:pt>
              </c:strCache>
            </c:strRef>
          </c:cat>
          <c:val>
            <c:numRef>
              <c:f>Sheet1!$B$2:$B$7</c:f>
              <c:numCache>
                <c:formatCode>General</c:formatCode>
                <c:ptCount val="6"/>
                <c:pt idx="0">
                  <c:v>3.66</c:v>
                </c:pt>
                <c:pt idx="1">
                  <c:v>0.1</c:v>
                </c:pt>
                <c:pt idx="2">
                  <c:v>0.85</c:v>
                </c:pt>
                <c:pt idx="3">
                  <c:v>3.98</c:v>
                </c:pt>
                <c:pt idx="4">
                  <c:v>0.24</c:v>
                </c:pt>
                <c:pt idx="5">
                  <c:v>2.49</c:v>
                </c:pt>
              </c:numCache>
            </c:numRef>
          </c:val>
        </c:ser>
        <c:dLbls>
          <c:showLegendKey val="0"/>
          <c:showVal val="0"/>
          <c:showCatName val="0"/>
          <c:showSerName val="0"/>
          <c:showPercent val="0"/>
          <c:showBubbleSize val="0"/>
        </c:dLbls>
        <c:gapWidth val="182"/>
        <c:overlap val="0"/>
        <c:axId val="691345426"/>
        <c:axId val="953100189"/>
      </c:barChart>
      <c:catAx>
        <c:axId val="691345426"/>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3100189"/>
        <c:crosses val="autoZero"/>
        <c:auto val="1"/>
        <c:lblAlgn val="ctr"/>
        <c:lblOffset val="100"/>
        <c:noMultiLvlLbl val="0"/>
      </c:catAx>
      <c:valAx>
        <c:axId val="95310018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13454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308522f-9475-4f37-aaaa-d07ee74b7d1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23</Pages>
  <Words>3365</Words>
  <Characters>3788</Characters>
  <Lines>770</Lines>
  <Paragraphs>300</Paragraphs>
  <TotalTime>2</TotalTime>
  <ScaleCrop>false</ScaleCrop>
  <LinksUpToDate>false</LinksUpToDate>
  <CharactersWithSpaces>3845</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YoeX</cp:lastModifiedBy>
  <cp:lastPrinted>2024-01-23T06:22:00Z</cp:lastPrinted>
  <dcterms:modified xsi:type="dcterms:W3CDTF">2025-08-25T03:41:18Z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BCAF7D0F938D48D6905E80F4431F0619_13</vt:lpwstr>
  </property>
  <property fmtid="{D5CDD505-2E9C-101B-9397-08002B2CF9AE}" pid="4" name="KSOTemplateDocerSaveRecord">
    <vt:lpwstr>eyJoZGlkIjoiZmRlOTBhY2VkY2I4MjQ4ZWRlNGU2YTExNWYzZWRiMWUiLCJ1c2VySWQiOiIxMjkzMjc3NTA2In0=</vt:lpwstr>
  </property>
</Properties>
</file>