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lang w:val="en-US" w:eastAsia="zh-CN"/>
        </w:rPr>
        <w:t>2024年金川县供销社部门</w:t>
      </w:r>
      <w:r>
        <w:rPr>
          <w:rFonts w:ascii="方正小标宋_GBK" w:eastAsia="方正小标宋_GBK" w:cs="方正小标宋_GBK" w:hint="eastAsia"/>
          <w:sz w:val="44"/>
          <w:szCs w:val="44"/>
        </w:rPr>
        <w:t>预算绩效目标</w:t>
      </w:r>
    </w:p>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hint="eastAsia"/>
          <w:sz w:val="44"/>
          <w:szCs w:val="44"/>
        </w:rPr>
        <w:t>情况说明</w:t>
      </w:r>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2024年，我单位部门预算166.65万元 ，均严格按绩效管理要求实现项目绩效目标管理，其中重点项目预算0个，现将情况说明如下：</w:t>
      </w:r>
      <w:bookmarkStart w:id="0" w:name="_GoBack"/>
      <w:bookmarkEnd w:id="0"/>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完成了2024年本级部门预算整体绩效目标申报和0个项目预算绩效目标申报，并编报0个项目预算事前绩效评估报告。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pStyle w:val="15"/>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年度总体目标一是抓好收支预算执行。编好收支预算，依法组织收入，加强支出管理。二贯彻执行国家和省有关农村经济工作方针政策和法律法规，制定全县供销合作社系统的发展战略规划，指导全县供销系统的改革和发展，县供销社与所属企业实行社企分开的体制，联社对所属企业行使社有资产出资人职权.监管社有资产，维护供销合作社的合法权益.确保社有资产保值增值。三是指导基层供销合作社发展农业专业合作经济组织和农业产业化龙头企业的工作，增强为农服务功能，协调本系统内外的经济联系与合作。四是逐步建立全县冷链物流体系。</w:t>
      </w:r>
    </w:p>
    <w:p>
      <w:pPr>
        <w:pStyle w:val="15"/>
        <w:tabs>
          <w:tab w:val="center" w:pos="4153"/>
          <w:tab w:val="right" w:pos="8306"/>
        </w:tabs>
        <w:spacing w:line="560" w:lineRule="exact"/>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我单位年度主要任务</w:t>
      </w:r>
      <w:r>
        <w:rPr>
          <w:rFonts w:ascii="仿宋_GB2312" w:eastAsia="仿宋_GB2312" w:cs="仿宋_GB2312"/>
          <w:sz w:val="32"/>
          <w:szCs w:val="32"/>
          <w:lang w:val="en-US" w:eastAsia="zh-CN"/>
        </w:rPr>
        <w:t>：</w:t>
      </w:r>
      <w:r>
        <w:rPr>
          <w:rFonts w:ascii="仿宋_GB2312" w:eastAsia="仿宋_GB2312" w:cs="仿宋_GB2312" w:hint="eastAsia"/>
          <w:sz w:val="32"/>
          <w:szCs w:val="32"/>
          <w:lang w:val="en-US" w:eastAsia="zh-CN"/>
        </w:rPr>
        <w:t>一是供销事务管理。主要内容是贯彻执行国家和省有关农村经济工作方针政策和法律法规，制定全县供销合作社系统的发展战略规划，指导全县供销系统的改革和发展，县供销社与所属企业实行社企分开的体制，联社对所属企业行使社有资产出资人职权.监管社有资产，维护供销合作社的合法权益.确保社有资产保值增值。二是服务三农业务管理。指导基层供销合作社发展农业专业合作经济组织和农业产业化龙头企业的工作，增强为农服务功能，协调本系统内外的经济联系与合作。三是逐步建立全县冷链物流体系。提高农产品产地商品化处理能力，推进农产品仓储保鲜冷链物流设施建设。</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2024年我单位无预算项目。</w:t>
      </w:r>
    </w:p>
    <w:p>
      <w:pPr>
        <w:pStyle w:val="15"/>
        <w:tabs>
          <w:tab w:val="center" w:pos="4153"/>
          <w:tab w:val="right" w:pos="8306"/>
        </w:tabs>
        <w:rPr>
          <w:rFonts w:ascii="仿宋_GB2312" w:eastAsia="仿宋_GB2312" w:cs="仿宋_GB2312" w:hint="eastAsia"/>
          <w:sz w:val="32"/>
          <w:szCs w:val="32"/>
          <w:lang w:val="en-US" w:eastAsia="zh-CN"/>
        </w:rPr>
      </w:pPr>
    </w:p>
    <w:p>
      <w:pPr>
        <w:pStyle w:val="15"/>
        <w:tabs>
          <w:tab w:val="center" w:pos="4153"/>
          <w:tab w:val="right" w:pos="8306"/>
        </w:tabs>
        <w:rPr>
          <w:rFonts w:ascii="仿宋_GB2312" w:eastAsia="仿宋_GB2312" w:cs="仿宋_GB2312" w:hint="eastAsia"/>
          <w:sz w:val="32"/>
          <w:szCs w:val="32"/>
          <w:lang w:val="en-US" w:eastAsia="zh-CN"/>
        </w:rPr>
      </w:pPr>
    </w:p>
    <w:p>
      <w:pPr>
        <w:keepNext w:val="0"/>
        <w:keepLines w:val="0"/>
        <w:pageBreakBefore w:val="0"/>
        <w:widowControl w:val="0"/>
        <w:tabs>
          <w:tab w:val="left" w:pos="8595"/>
        </w:tabs>
        <w:kinsoku/>
        <w:wordWrap/>
        <w:overflowPunct/>
        <w:topLinePunct w:val="0"/>
        <w:autoSpaceDE/>
        <w:autoSpaceDN/>
        <w:bidi w:val="0"/>
        <w:spacing w:line="540" w:lineRule="exact"/>
        <w:ind w:firstLineChars="1400" w:firstLine="448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金川县供销合作社联合社</w:t>
      </w:r>
    </w:p>
    <w:p>
      <w:pPr>
        <w:keepNext w:val="0"/>
        <w:keepLines w:val="0"/>
        <w:pageBreakBefore w:val="0"/>
        <w:widowControl w:val="0"/>
        <w:tabs>
          <w:tab w:val="left" w:pos="8595"/>
        </w:tabs>
        <w:kinsoku/>
        <w:wordWrap/>
        <w:overflowPunct/>
        <w:topLinePunct w:val="0"/>
        <w:autoSpaceDE/>
        <w:autoSpaceDN/>
        <w:bidi w:val="0"/>
        <w:spacing w:line="540" w:lineRule="exact"/>
        <w:ind w:firstLineChars="1500" w:firstLine="480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202</w:t>
      </w:r>
      <w:r>
        <w:rPr>
          <w:rFonts w:ascii="仿宋_GB2312" w:eastAsia="仿宋_GB2312" w:cs="仿宋_GB2312" w:hint="eastAsia"/>
          <w:color w:val="000000"/>
          <w:sz w:val="32"/>
          <w:szCs w:val="32"/>
          <w:lang w:val="en-US" w:eastAsia="zh-CN"/>
        </w:rPr>
        <w:t>4</w:t>
      </w:r>
      <w:r>
        <w:rPr>
          <w:rFonts w:ascii="仿宋_GB2312" w:eastAsia="仿宋_GB2312" w:cs="仿宋_GB2312" w:hint="eastAsia"/>
          <w:color w:val="000000"/>
          <w:sz w:val="32"/>
          <w:szCs w:val="32"/>
        </w:rPr>
        <w:t>年</w:t>
      </w:r>
      <w:r>
        <w:rPr>
          <w:rFonts w:ascii="仿宋_GB2312" w:eastAsia="仿宋_GB2312" w:cs="仿宋_GB2312" w:hint="eastAsia"/>
          <w:color w:val="000000"/>
          <w:sz w:val="32"/>
          <w:szCs w:val="32"/>
          <w:lang w:val="en-US" w:eastAsia="zh-CN"/>
        </w:rPr>
        <w:t>2</w:t>
      </w:r>
      <w:r>
        <w:rPr>
          <w:rFonts w:ascii="仿宋_GB2312" w:eastAsia="仿宋_GB2312" w:cs="仿宋_GB2312" w:hint="eastAsia"/>
          <w:color w:val="000000"/>
          <w:sz w:val="32"/>
          <w:szCs w:val="32"/>
        </w:rPr>
        <w:t>月</w:t>
      </w:r>
      <w:r>
        <w:rPr>
          <w:rFonts w:ascii="仿宋_GB2312" w:eastAsia="仿宋_GB2312" w:cs="仿宋_GB2312" w:hint="eastAsia"/>
          <w:color w:val="000000"/>
          <w:sz w:val="32"/>
          <w:szCs w:val="32"/>
          <w:lang w:val="en-US" w:eastAsia="zh-CN"/>
        </w:rPr>
        <w:t>19</w:t>
      </w:r>
      <w:r>
        <w:rPr>
          <w:rFonts w:ascii="仿宋_GB2312" w:eastAsia="仿宋_GB2312" w:cs="仿宋_GB2312" w:hint="eastAsia"/>
          <w:color w:val="000000"/>
          <w:sz w:val="32"/>
          <w:szCs w:val="32"/>
        </w:rPr>
        <w:t>日</w:t>
      </w:r>
    </w:p>
    <w:p>
      <w:pPr>
        <w:pStyle w:val="15"/>
        <w:tabs>
          <w:tab w:val="center" w:pos="4153"/>
          <w:tab w:val="right" w:pos="8306"/>
        </w:tabs>
        <w:rPr>
          <w:rFonts w:ascii="仿宋_GB2312" w:eastAsia="仿宋_GB2312" w:cs="仿宋_GB2312"/>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auto"/>
    <w:pitch w:val="variable"/>
    <w:sig w:usb0="00000000" w:usb1="0000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宋体">
    <w:panose1 w:val="02010600030101010101"/>
    <w:charset w:val="50"/>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 w:name="Luxi Sans">
    <w:altName w:val="Segoe Print"/>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FjNjFlZjJiMzNlMjk1M2ZlZTNlOTNhYTBiM2ZlZ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Yozo_Office27021597764231179</Application>
  <Pages>2</Pages>
  <Words>716</Words>
  <Characters>740</Characters>
  <Lines>38</Lines>
  <Paragraphs>12</Paragraphs>
  <CharactersWithSpaces>742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2024-03-15T02:21:14Z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0BE1BE9B83AA4CB7918FFF123AF468EB_13</vt:lpwstr>
  </property>
</Properties>
</file>