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425"/>
      <w:bookmarkStart w:id="1" w:name="_Toc15377193"/>
      <w:bookmarkStart w:id="2" w:name="_Toc15378441"/>
      <w:bookmarkStart w:id="3" w:name="_Toc15396475"/>
      <w:bookmarkStart w:id="4" w:name="_Toc15396597"/>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hint="eastAsia"/>
          <w:sz w:val="72"/>
          <w:szCs w:val="72"/>
          <w:lang w:eastAsia="zh-CN"/>
        </w:rPr>
      </w:pPr>
      <w:bookmarkStart w:id="7" w:name="_Toc15396598"/>
      <w:bookmarkStart w:id="8" w:name="_Toc15377426"/>
      <w:bookmarkStart w:id="9" w:name="_Toc15377194"/>
      <w:bookmarkStart w:id="10" w:name="_Toc15306268"/>
      <w:bookmarkStart w:id="11" w:name="_Toc15378442"/>
      <w:bookmarkStart w:id="12" w:name="_Toc15396476"/>
      <w:bookmarkEnd w:id="5"/>
      <w:r>
        <w:rPr>
          <w:rFonts w:eastAsia="方正小标宋简体" w:cs="Times New Roman" w:hint="eastAsia"/>
          <w:sz w:val="72"/>
          <w:szCs w:val="72"/>
          <w:lang w:eastAsia="zh-CN"/>
        </w:rPr>
        <w:t>金川县供销合作社联合社</w:t>
      </w:r>
    </w:p>
    <w:p>
      <w:pPr>
        <w:adjustRightInd w:val="0"/>
        <w:snapToGrid w:val="0"/>
        <w:spacing w:line="360" w:lineRule="auto"/>
        <w:jc w:val="center"/>
        <w:outlineLvl w:val="0"/>
        <w:rPr>
          <w:rFonts w:ascii="Times New Roman" w:eastAsia="方正小标宋简体" w:cs="Times New Roman" w:hAnsi="Times New Roman"/>
          <w:sz w:val="72"/>
          <w:szCs w:val="72"/>
        </w:rPr>
      </w:pPr>
      <w:bookmarkStart w:id="13" w:name="_Toc26843603"/>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5"/>
        <w:spacing w:beforeLines="0" w:before="93"/>
        <w:rPr>
          <w:rFonts w:ascii="Times New Roman" w:eastAsia="方正小标宋简体" w:cs="Times New Roman" w:hAnsi="Times New Roman"/>
          <w:sz w:val="52"/>
          <w:szCs w:val="52"/>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w:t>
      </w:r>
      <w:r>
        <w:rPr>
          <w:rFonts w:ascii="Times New Roman" w:cs="Times New Roman" w:hAnsi="Times New Roman" w:hint="eastAsia"/>
          <w:lang w:val="en-US" w:eastAsia="zh-CN"/>
        </w:rPr>
        <w:t>25</w:t>
      </w:r>
      <w:r>
        <w:rPr>
          <w:rFonts w:ascii="Times New Roman" w:cs="Times New Roman" w:hAnsi="Times New Roman"/>
        </w:rPr>
        <w:t>日</w:t>
      </w:r>
    </w:p>
    <w:p>
      <w:pPr>
        <w:pStyle w:val="20"/>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5</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 xml:space="preserve">第二部分 </w:t>
      </w:r>
      <w:r>
        <w:rPr>
          <w:rFonts w:ascii="Times New Roman" w:cs="Times New Roman" w:hAnsi="Times New Roman" w:hint="eastAsia"/>
          <w:sz w:val="24"/>
          <w:lang w:eastAsia="zh-CN"/>
        </w:rPr>
        <w:t>2022年</w:t>
      </w:r>
      <w:r>
        <w:rPr>
          <w:rFonts w:ascii="Times New Roman" w:cs="Times New Roman" w:hAnsi="Times New Roman"/>
          <w:sz w:val="24"/>
        </w:rPr>
        <w:t>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15</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17</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二</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3</w:t>
      </w:r>
      <w:r>
        <w:rPr>
          <w:rFonts w:ascii="Times New Roman" w:cs="Times New Roman" w:hAnsi="Times New Roman"/>
          <w:sz w:val="24"/>
        </w:rPr>
        <w:fldChar w:fldCharType="end"/>
      </w:r>
      <w:r>
        <w:rPr>
          <w:rFonts w:cs="Times New Roman" w:hint="eastAsia"/>
          <w:sz w:val="24"/>
          <w:lang w:val="en-US" w:eastAsia="zh-CN"/>
        </w:rPr>
        <w:t>7</w:t>
      </w:r>
    </w:p>
    <w:p>
      <w:pPr>
        <w:pStyle w:val="23"/>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w:t>
      </w:r>
      <w:r>
        <w:rPr>
          <w:rFonts w:cs="Times New Roman" w:hint="eastAsia"/>
          <w:sz w:val="24"/>
          <w:lang w:val="en-US" w:eastAsia="zh-CN" w:bidi="ar-SA"/>
        </w:rPr>
        <w:t>三</w:t>
      </w:r>
      <w:r>
        <w:rPr>
          <w:rFonts w:ascii="Times New Roman" w:cs="Times New Roman" w:hAnsi="Times New Roman"/>
          <w:sz w:val="24"/>
          <w:lang w:val="en-US" w:eastAsia="zh-CN" w:bidi="ar-SA"/>
        </w:rPr>
        <w:t>、国有资本经营预算财政拨款支出决算表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37</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4" w:name="_Toc15396599"/>
      <w:bookmarkStart w:id="15" w:name="_Toc15377196"/>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7" w:name="_Toc26843605"/>
      <w:bookmarkStart w:id="18" w:name="_Toc15377197"/>
      <w:bookmarkStart w:id="19" w:name="_Toc15396600"/>
      <w:r>
        <w:rPr>
          <w:rStyle w:val="2Char"/>
          <w:rFonts w:ascii="Times New Roman" w:eastAsia="黑体" w:cs="Times New Roman" w:hAnsi="Times New Roman"/>
          <w:b w:val="0"/>
          <w:bCs w:val="0"/>
        </w:rPr>
        <w:t>一、基本职能及主要工作</w:t>
      </w:r>
      <w:bookmarkEnd w:id="17"/>
      <w:bookmarkEnd w:id="18"/>
      <w:bookmarkEnd w:id="19"/>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0" w:name="_Toc15377198"/>
      <w:bookmarkStart w:id="21" w:name="_Toc15378445"/>
      <w:r>
        <w:rPr>
          <w:rFonts w:ascii="Times New Roman" w:eastAsia="楷体" w:cs="Times New Roman" w:hAnsi="Times New Roman"/>
          <w:b/>
          <w:color w:val="000000"/>
          <w:kern w:val="0"/>
          <w:sz w:val="32"/>
          <w:szCs w:val="32"/>
          <w:shd w:val="clear" w:color="auto" w:fill="auto"/>
        </w:rPr>
        <w:t>（一）主要职能。</w:t>
      </w:r>
      <w:bookmarkEnd w:id="20"/>
      <w:bookmarkEnd w:id="21"/>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bookmarkStart w:id="22" w:name="_Toc15377199"/>
      <w:bookmarkStart w:id="23" w:name="_Toc15378446"/>
      <w:r>
        <w:rPr>
          <w:rFonts w:ascii="Times New Roman" w:eastAsia="仿宋_GB2312" w:cs="Times New Roman" w:hAnsi="Times New Roman" w:hint="eastAsia"/>
          <w:sz w:val="32"/>
          <w:szCs w:val="32"/>
        </w:rPr>
        <w:t>一是负责宣传贯彻党和国家有关农村经济工作和社会发展的方针政策，发挥党和政府密切联系农民群众桥梁纽带作用，巩固党在农村的执政基础；执行全国供销合作总社制定的行业管理制度和重大决策部署，执行上级联合社有关决议；二是组织农民入社，提高农民组织化程度，密切与农民在组织上和经济上的联结；向当地党委政府和上级联合社反映农民的诉求，争取扶持政策；三是领办创办农民专业合作社及其联合社，探索开展生产、供销、信用“三位一体”综合合作；组织开展对社员和职工的教育培训；</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w:t>
      </w:r>
      <w:r>
        <w:rPr>
          <w:rFonts w:eastAsia="方正楷体_GBK" w:cs="Times New Roman" w:hint="eastAsia"/>
          <w:b/>
          <w:bCs/>
          <w:color w:val="000000"/>
          <w:kern w:val="0"/>
          <w:sz w:val="32"/>
          <w:szCs w:val="32"/>
          <w:shd w:val="clear" w:color="auto" w:fill="auto"/>
          <w:lang w:eastAsia="zh-CN"/>
        </w:rPr>
        <w:t>2022年</w:t>
      </w:r>
      <w:r>
        <w:rPr>
          <w:rFonts w:ascii="Times New Roman" w:eastAsia="方正楷体_GBK" w:cs="Times New Roman" w:hAnsi="Times New Roman"/>
          <w:b/>
          <w:bCs/>
          <w:color w:val="000000"/>
          <w:kern w:val="0"/>
          <w:sz w:val="32"/>
          <w:szCs w:val="32"/>
          <w:shd w:val="clear" w:color="auto" w:fill="auto"/>
        </w:rPr>
        <w:t>重点工作完成情况。</w:t>
      </w:r>
      <w:bookmarkEnd w:id="22"/>
      <w:bookmarkEnd w:id="23"/>
    </w:p>
    <w:p>
      <w:pPr>
        <w:pageBreakBefore w:val="0"/>
        <w:widowControl w:val="0"/>
        <w:kinsoku/>
        <w:wordWrap/>
        <w:overflowPunct/>
        <w:topLinePunct w:val="0"/>
        <w:bidi w:val="0"/>
        <w:spacing w:line="576" w:lineRule="exact"/>
        <w:ind w:firstLineChars="200" w:firstLine="640"/>
        <w:rPr>
          <w:rFonts w:eastAsia="仿宋_GB2312" w:cs="Times New Roman" w:hint="eastAsia"/>
          <w:sz w:val="32"/>
          <w:szCs w:val="32"/>
          <w:lang w:val="en-US" w:eastAsia="zh-CN"/>
        </w:rPr>
      </w:pPr>
      <w:r>
        <w:rPr>
          <w:rFonts w:eastAsia="仿宋_GB2312" w:cs="Times New Roman" w:hint="eastAsia"/>
          <w:sz w:val="32"/>
          <w:szCs w:val="32"/>
          <w:lang w:val="en-US" w:eastAsia="zh-CN"/>
        </w:rPr>
        <w:t>1.全面提升农资经营服务“三农”的质量和效率，为我县农业增产，农民增收服好务。</w:t>
      </w:r>
    </w:p>
    <w:p>
      <w:pPr>
        <w:pageBreakBefore w:val="0"/>
        <w:widowControl w:val="0"/>
        <w:kinsoku/>
        <w:wordWrap/>
        <w:overflowPunct/>
        <w:topLinePunct w:val="0"/>
        <w:bidi w:val="0"/>
        <w:spacing w:line="576" w:lineRule="exact"/>
        <w:ind w:firstLineChars="200" w:firstLine="640"/>
        <w:rPr>
          <w:rFonts w:eastAsia="仿宋_GB2312" w:cs="Times New Roman" w:hint="eastAsia"/>
          <w:sz w:val="32"/>
          <w:szCs w:val="32"/>
          <w:lang w:val="en-US" w:eastAsia="zh-CN"/>
        </w:rPr>
      </w:pPr>
      <w:r>
        <w:rPr>
          <w:rFonts w:eastAsia="仿宋_GB2312" w:cs="Times New Roman" w:hint="eastAsia"/>
          <w:sz w:val="32"/>
          <w:szCs w:val="32"/>
          <w:lang w:val="en-US" w:eastAsia="zh-CN"/>
        </w:rPr>
        <w:t>2.监督并抓好全社安全生产工作，重点抓好烟花爆竹经营各环节的安全监管，落实安全责任。</w:t>
      </w:r>
    </w:p>
    <w:p>
      <w:pPr>
        <w:pageBreakBefore w:val="0"/>
        <w:widowControl w:val="0"/>
        <w:kinsoku/>
        <w:wordWrap/>
        <w:overflowPunct/>
        <w:topLinePunct w:val="0"/>
        <w:bidi w:val="0"/>
        <w:spacing w:line="576" w:lineRule="exact"/>
        <w:ind w:firstLineChars="200" w:firstLine="640"/>
        <w:rPr>
          <w:rFonts w:eastAsia="仿宋_GB2312" w:cs="Times New Roman" w:hint="eastAsia"/>
          <w:sz w:val="32"/>
          <w:szCs w:val="32"/>
          <w:lang w:val="en-US" w:eastAsia="zh-CN"/>
        </w:rPr>
      </w:pPr>
      <w:r>
        <w:rPr>
          <w:rFonts w:eastAsia="仿宋_GB2312" w:cs="Times New Roman" w:hint="eastAsia"/>
          <w:sz w:val="32"/>
          <w:szCs w:val="32"/>
          <w:lang w:val="en-US" w:eastAsia="zh-CN"/>
        </w:rPr>
        <w:t>3.努力促使社有企业正常运转，分渠道引进人才，解决企业管理和经营人员，使其步入正常经营轨道，为我县三农工作服好务。</w:t>
      </w:r>
    </w:p>
    <w:p>
      <w:pPr>
        <w:pageBreakBefore w:val="0"/>
        <w:widowControl w:val="0"/>
        <w:kinsoku/>
        <w:wordWrap/>
        <w:overflowPunct/>
        <w:topLinePunct w:val="0"/>
        <w:bidi w:val="0"/>
        <w:spacing w:line="576" w:lineRule="exact"/>
        <w:ind w:firstLineChars="200" w:firstLine="640"/>
        <w:rPr>
          <w:rFonts w:eastAsia="仿宋_GB2312" w:cs="Times New Roman" w:hint="eastAsia"/>
          <w:sz w:val="32"/>
          <w:szCs w:val="32"/>
          <w:lang w:val="en-US" w:eastAsia="zh-CN"/>
        </w:rPr>
      </w:pPr>
      <w:r>
        <w:rPr>
          <w:rFonts w:eastAsia="仿宋_GB2312" w:cs="Times New Roman" w:hint="eastAsia"/>
          <w:sz w:val="32"/>
          <w:szCs w:val="32"/>
          <w:lang w:val="en-US" w:eastAsia="zh-CN"/>
        </w:rPr>
        <w:t>4.努力促使社有企业拓展经营服务路径，提升其适应市场，不断壮大其营利能力，重点在再生资源回收利用、会计服务、电子商务等领域开拓经营。</w:t>
      </w:r>
    </w:p>
    <w:p>
      <w:pPr>
        <w:pageBreakBefore w:val="0"/>
        <w:widowControl w:val="0"/>
        <w:kinsoku/>
        <w:wordWrap/>
        <w:overflowPunct/>
        <w:topLinePunct w:val="0"/>
        <w:bidi w:val="0"/>
        <w:spacing w:line="576" w:lineRule="exact"/>
        <w:ind w:firstLineChars="200" w:firstLine="640"/>
        <w:rPr>
          <w:rFonts w:eastAsia="仿宋_GB2312" w:cs="Times New Roman" w:hint="eastAsia"/>
          <w:sz w:val="32"/>
          <w:szCs w:val="32"/>
          <w:lang w:val="en-US" w:eastAsia="zh-CN"/>
        </w:rPr>
      </w:pPr>
      <w:r>
        <w:rPr>
          <w:rFonts w:eastAsia="仿宋_GB2312" w:cs="Times New Roman" w:hint="eastAsia"/>
          <w:sz w:val="32"/>
          <w:szCs w:val="32"/>
          <w:lang w:val="en-US" w:eastAsia="zh-CN"/>
        </w:rPr>
        <w:t>5.做好“十四五”期间全社党建及党风廉政工作，确保全社清廉高效的开展各项工作。</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eastAsia="仿宋_GB2312" w:cs="Times New Roman" w:hint="eastAsia"/>
          <w:sz w:val="32"/>
          <w:szCs w:val="32"/>
          <w:lang w:val="en-US" w:eastAsia="zh-CN"/>
        </w:rPr>
        <w:t>6.服从县委县政府整体安排，积极投身我县“十四五”农业农村工作之中，为我县乡村振兴工作服好务，不断开拓创新。</w:t>
      </w:r>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4" w:name="_Toc79163855"/>
      <w:bookmarkStart w:id="25" w:name="_Toc79163605"/>
      <w:r>
        <w:rPr>
          <w:rFonts w:ascii="Times New Roman" w:eastAsia="黑体" w:cs="Times New Roman" w:hAnsi="Times New Roman"/>
          <w:b w:val="0"/>
          <w:color w:val="000000"/>
          <w:lang w:val="en-US" w:eastAsia="zh-CN"/>
        </w:rPr>
        <w:t xml:space="preserve">   </w:t>
      </w:r>
      <w:bookmarkStart w:id="26" w:name="_Toc26843606"/>
      <w:bookmarkStart w:id="27" w:name="_Toc15377200"/>
      <w:bookmarkStart w:id="28" w:name="_Toc15396601"/>
      <w:bookmarkEnd w:id="24"/>
      <w:bookmarkEnd w:id="25"/>
      <w:r>
        <w:rPr>
          <w:rStyle w:val="2Char"/>
          <w:rFonts w:ascii="Times New Roman" w:eastAsia="黑体" w:cs="Times New Roman" w:hAnsi="Times New Roman"/>
          <w:b w:val="0"/>
          <w:bCs w:val="0"/>
        </w:rPr>
        <w:t>二、机构设置</w:t>
      </w:r>
      <w:bookmarkEnd w:id="26"/>
      <w:bookmarkEnd w:id="27"/>
      <w:bookmarkEnd w:id="28"/>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eastAsia="仿宋_GB2312" w:cs="Times New Roman" w:hint="eastAsia"/>
          <w:sz w:val="32"/>
          <w:szCs w:val="32"/>
          <w:lang w:val="en-US" w:eastAsia="zh-CN"/>
        </w:rPr>
      </w:pPr>
      <w:r>
        <w:rPr>
          <w:rFonts w:eastAsia="仿宋_GB2312" w:cs="Times New Roman" w:hint="eastAsia"/>
          <w:sz w:val="32"/>
          <w:szCs w:val="32"/>
          <w:lang w:val="en-US" w:eastAsia="zh-CN"/>
        </w:rPr>
        <w:t xml:space="preserve"> 本单位属于一级预算单位，是参公管理的事业单位，设统一核算机构为1个，独立编制机构为1个。单位人员编制数7个。其中： 参公编制6个,行政工勤编制1个；2022年末，单位实有人数7人，其中：在职7人（参公6人、行政工勤1人）。</w:t>
      </w:r>
    </w:p>
    <w:p>
      <w:pPr>
        <w:pStyle w:val="21"/>
        <w:rPr>
          <w:rFonts w:eastAsia="仿宋_GB2312" w:cs="Times New Roman" w:hint="eastAsia"/>
          <w:sz w:val="32"/>
          <w:szCs w:val="32"/>
          <w:lang w:val="en-US" w:eastAsia="zh-CN"/>
        </w:rPr>
      </w:pPr>
    </w:p>
    <w:p>
      <w:pPr>
        <w:pStyle w:val="21"/>
        <w:rPr>
          <w:rFonts w:eastAsia="仿宋_GB2312" w:cs="Times New Roman" w:hint="eastAsia"/>
          <w:sz w:val="32"/>
          <w:szCs w:val="32"/>
          <w:lang w:val="en-US" w:eastAsia="zh-CN"/>
        </w:rPr>
      </w:pPr>
    </w:p>
    <w:p>
      <w:pPr>
        <w:pStyle w:val="21"/>
        <w:rPr>
          <w:rFonts w:eastAsia="仿宋_GB2312" w:cs="Times New Roman" w:hint="eastAsia"/>
          <w:sz w:val="32"/>
          <w:szCs w:val="32"/>
          <w:lang w:val="en-US" w:eastAsia="zh-CN"/>
        </w:rPr>
      </w:pPr>
    </w:p>
    <w:p>
      <w:pPr>
        <w:pStyle w:val="21"/>
        <w:rPr>
          <w:rFonts w:eastAsia="仿宋_GB2312" w:cs="Times New Roman" w:hint="eastAsia"/>
          <w:sz w:val="32"/>
          <w:szCs w:val="32"/>
          <w:lang w:val="en-US" w:eastAsia="zh-CN"/>
        </w:rPr>
      </w:pPr>
    </w:p>
    <w:p>
      <w:pPr>
        <w:pStyle w:val="21"/>
        <w:rPr>
          <w:rFonts w:eastAsia="仿宋_GB2312" w:cs="Times New Roman" w:hint="eastAsia"/>
          <w:sz w:val="32"/>
          <w:szCs w:val="32"/>
          <w:lang w:val="en-US" w:eastAsia="zh-CN"/>
        </w:rPr>
      </w:pPr>
    </w:p>
    <w:p>
      <w:pPr>
        <w:pStyle w:val="21"/>
        <w:rPr>
          <w:rFonts w:eastAsia="仿宋_GB2312" w:cs="Times New Roman" w:hint="eastAsia"/>
          <w:sz w:val="32"/>
          <w:szCs w:val="32"/>
          <w:lang w:val="en-US" w:eastAsia="zh-CN"/>
        </w:rPr>
      </w:pP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29" w:name="_Toc15396602"/>
      <w:bookmarkStart w:id="30" w:name="_Toc15377204"/>
      <w:bookmarkStart w:id="31" w:name="_Toc26843607"/>
      <w:r>
        <w:rPr>
          <w:rFonts w:ascii="Times New Roman" w:eastAsia="黑体" w:cs="Times New Roman" w:hAnsi="Times New Roman"/>
          <w:b w:val="0"/>
        </w:rPr>
        <w:t xml:space="preserve">第二部分 </w:t>
      </w:r>
      <w:r>
        <w:rPr>
          <w:rFonts w:eastAsia="黑体" w:cs="Times New Roman" w:hint="eastAsia"/>
          <w:b w:val="0"/>
          <w:lang w:eastAsia="zh-CN"/>
        </w:rPr>
        <w:t>2022年</w:t>
      </w:r>
      <w:r>
        <w:rPr>
          <w:rFonts w:ascii="Times New Roman" w:eastAsia="黑体" w:cs="Times New Roman" w:hAnsi="Times New Roman"/>
          <w:b w:val="0"/>
        </w:rPr>
        <w:t>度</w:t>
      </w:r>
      <w:r>
        <w:rPr>
          <w:rFonts w:ascii="Times New Roman" w:eastAsia="黑体" w:cs="Times New Roman" w:hAnsi="Times New Roman"/>
          <w:b w:val="0"/>
          <w:kern w:val="44"/>
          <w:sz w:val="44"/>
          <w:szCs w:val="44"/>
        </w:rPr>
        <w:t>部门决算情况说明</w:t>
      </w:r>
      <w:bookmarkEnd w:id="29"/>
      <w:bookmarkEnd w:id="30"/>
      <w:bookmarkEnd w:id="31"/>
    </w:p>
    <w:p>
      <w:pPr>
        <w:pageBreakBefore w:val="0"/>
        <w:widowControl w:val="0"/>
        <w:kinsoku/>
        <w:wordWrap/>
        <w:overflowPunct/>
        <w:topLinePunct w:val="0"/>
        <w:bidi w:val="0"/>
        <w:spacing w:line="576" w:lineRule="exact"/>
        <w:rPr>
          <w:rFonts w:ascii="Times New Roman" w:cs="Times New Roman" w:hAnsi="Times New Roman"/>
        </w:rPr>
      </w:pPr>
    </w:p>
    <w:p>
      <w:pPr>
        <w:pStyle w:val="31"/>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2" w:name="_Toc26843608"/>
      <w:bookmarkStart w:id="33" w:name="_Toc15377205"/>
      <w:bookmarkStart w:id="34" w:name="_Toc15396603"/>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2"/>
      <w:bookmarkEnd w:id="33"/>
      <w:bookmarkEnd w:id="34"/>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度收、支总计</w:t>
      </w:r>
      <w:r>
        <w:rPr>
          <w:rFonts w:eastAsia="仿宋_GB2312" w:cs="Times New Roman" w:hint="eastAsia"/>
          <w:spacing w:val="-2"/>
          <w:kern w:val="2"/>
          <w:sz w:val="32"/>
          <w:szCs w:val="32"/>
          <w:lang w:val="en-US" w:eastAsia="zh-CN" w:bidi="ar-SA"/>
        </w:rPr>
        <w:t>470.58</w:t>
      </w:r>
      <w:r>
        <w:rPr>
          <w:rFonts w:ascii="Times New Roman" w:eastAsia="仿宋_GB2312" w:cs="Times New Roman" w:hAnsi="Times New Roman"/>
          <w:sz w:val="32"/>
          <w:szCs w:val="32"/>
        </w:rPr>
        <w:t>万元。与</w:t>
      </w:r>
      <w:r>
        <w:rPr>
          <w:rFonts w:eastAsia="仿宋_GB2312" w:cs="Times New Roman" w:hint="eastAsia"/>
          <w:sz w:val="32"/>
          <w:szCs w:val="32"/>
          <w:lang w:eastAsia="zh-CN"/>
        </w:rPr>
        <w:t>2021年</w:t>
      </w:r>
      <w:r>
        <w:rPr>
          <w:rFonts w:ascii="Times New Roman" w:eastAsia="仿宋_GB2312" w:cs="Times New Roman" w:hAnsi="Times New Roman"/>
          <w:sz w:val="32"/>
          <w:szCs w:val="32"/>
        </w:rPr>
        <w:t>相比，收、支总计各增加</w:t>
      </w:r>
      <w:r>
        <w:rPr>
          <w:rFonts w:eastAsia="仿宋_GB2312" w:cs="Times New Roman" w:hint="eastAsia"/>
          <w:sz w:val="32"/>
          <w:szCs w:val="32"/>
          <w:lang w:val="en-US" w:eastAsia="zh-CN"/>
        </w:rPr>
        <w:t>58</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32.71</w:t>
      </w:r>
      <w:r>
        <w:rPr>
          <w:rFonts w:ascii="Times New Roman" w:eastAsia="仿宋_GB2312" w:cs="Times New Roman" w:hAnsi="Times New Roman"/>
          <w:sz w:val="32"/>
          <w:szCs w:val="32"/>
        </w:rPr>
        <w:t>%。主要变动原因是本年度</w:t>
      </w:r>
      <w:r>
        <w:rPr>
          <w:rFonts w:ascii="仿宋" w:eastAsia="仿宋" w:hint="eastAsia"/>
          <w:color w:val="000000"/>
          <w:sz w:val="32"/>
          <w:szCs w:val="32"/>
          <w:lang w:val="en-US" w:eastAsia="zh-CN"/>
        </w:rPr>
        <w:t>全年在职人数增加，以及项目资金增加</w:t>
      </w:r>
      <w:r>
        <w:rPr>
          <w:rFonts w:ascii="仿宋" w:eastAsia="仿宋" w:hint="eastAsia"/>
          <w:color w:val="000000"/>
          <w:sz w:val="32"/>
          <w:szCs w:val="32"/>
        </w:rPr>
        <w:t>。</w:t>
      </w:r>
      <w:r>
        <w:rPr>
          <w:rFonts w:ascii="Times New Roman" w:eastAsia="仿宋" w:cs="Times New Roman" w:hAnsi="Times New Roman" w:hint="eastAsia"/>
          <w:sz w:val="32"/>
          <w:szCs w:val="32"/>
          <w:lang w:eastAsia="zh-CN"/>
        </w:rPr>
        <w:drawing>
          <wp:anchor distT="0" distB="0" distL="114300" distR="114300" simplePos="0" relativeHeight="25" behindDoc="0" locked="0" layoutInCell="1" hidden="0" allowOverlap="1">
            <wp:simplePos x="0" y="0"/>
            <wp:positionH relativeFrom="column">
              <wp:posOffset>125095</wp:posOffset>
            </wp:positionH>
            <wp:positionV relativeFrom="paragraph">
              <wp:posOffset>92075</wp:posOffset>
            </wp:positionV>
            <wp:extent cx="4841875" cy="2466975"/>
            <wp:effectExtent l="0" t="0" r="0" b="0"/>
            <wp:wrapSquare wrapText="bothSides"/>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31"/>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5" w:name="_Toc15377206"/>
      <w:bookmarkStart w:id="36" w:name="_Toc26843609"/>
      <w:bookmarkStart w:id="37" w:name="_Toc15396604"/>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5"/>
      <w:bookmarkEnd w:id="36"/>
      <w:bookmarkEnd w:id="37"/>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color w:val="FF0000"/>
          <w:sz w:val="32"/>
          <w:szCs w:val="32"/>
        </w:rPr>
      </w:pPr>
      <w:bookmarkStart w:id="38" w:name="_Toc26843610"/>
      <w:r>
        <w:rPr>
          <w:rFonts w:eastAsia="仿宋_GB2312" w:cs="Times New Roman" w:hint="eastAsia"/>
          <w:sz w:val="32"/>
          <w:szCs w:val="32"/>
          <w:lang w:eastAsia="zh-CN"/>
        </w:rPr>
        <w:t>2022年预算收入235.29万元。</w:t>
      </w:r>
      <w:r>
        <w:rPr>
          <w:rFonts w:ascii="Times New Roman" w:eastAsia="仿宋_GB2312" w:cs="Times New Roman" w:hAnsi="Times New Roman"/>
          <w:sz w:val="32"/>
          <w:szCs w:val="32"/>
        </w:rPr>
        <w:t>其中：一般公共预算财政拨款收入</w:t>
      </w:r>
      <w:r>
        <w:rPr>
          <w:rFonts w:eastAsia="仿宋_GB2312" w:cs="Times New Roman" w:hint="eastAsia"/>
          <w:sz w:val="32"/>
          <w:szCs w:val="32"/>
          <w:lang w:eastAsia="zh-CN"/>
        </w:rPr>
        <w:t>235.29</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8"/>
      <w:r>
        <w:rPr>
          <w:rFonts w:ascii="Times New Roman" w:eastAsia="仿宋_GB2312" w:cs="Times New Roman" w:hAnsi="Times New Roman"/>
          <w:sz w:val="32"/>
          <w:szCs w:val="32"/>
        </w:rPr>
        <w:t>本年度财政应返还额度</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r>
        <w:rPr>
          <w:rFonts w:ascii="Times New Roman" w:eastAsia="仿宋" w:cs="Times New Roman" w:hAnsi="Times New Roman"/>
          <w:sz w:val="32"/>
          <w:szCs w:val="32"/>
          <w:lang w:val="en-US" w:eastAsia="zh-CN"/>
        </w:rPr>
        <w:drawing>
          <wp:anchor distT="0" distB="0" distL="114300" distR="114300" simplePos="0" relativeHeight="19" behindDoc="0" locked="0" layoutInCell="1" hidden="0" allowOverlap="1">
            <wp:simplePos x="0" y="0"/>
            <wp:positionH relativeFrom="column">
              <wp:posOffset>248920</wp:posOffset>
            </wp:positionH>
            <wp:positionV relativeFrom="paragraph">
              <wp:posOffset>64135</wp:posOffset>
            </wp:positionV>
            <wp:extent cx="4762500" cy="2616835"/>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31"/>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9" w:name="_Toc26843612"/>
      <w:bookmarkStart w:id="40" w:name="_Toc15377207"/>
      <w:bookmarkStart w:id="41" w:name="_Toc15396605"/>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9"/>
      <w:bookmarkEnd w:id="40"/>
      <w:bookmarkEnd w:id="41"/>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42" w:name="_Toc26843613"/>
      <w:r>
        <w:rPr>
          <w:rFonts w:eastAsia="仿宋_GB2312" w:cs="Times New Roman" w:hint="eastAsia"/>
          <w:sz w:val="32"/>
          <w:szCs w:val="32"/>
          <w:lang w:eastAsia="zh-CN"/>
        </w:rPr>
        <w:t>2022年</w:t>
      </w:r>
      <w:r>
        <w:rPr>
          <w:rFonts w:ascii="Times New Roman" w:eastAsia="仿宋_GB2312" w:cs="Times New Roman" w:hAnsi="Times New Roman"/>
          <w:sz w:val="32"/>
          <w:szCs w:val="32"/>
        </w:rPr>
        <w:t>度支出合计</w:t>
      </w:r>
      <w:r>
        <w:rPr>
          <w:rFonts w:eastAsia="仿宋_GB2312" w:cs="Times New Roman" w:hint="eastAsia"/>
          <w:spacing w:val="-2"/>
          <w:kern w:val="2"/>
          <w:sz w:val="32"/>
          <w:szCs w:val="32"/>
          <w:lang w:val="en-US" w:eastAsia="zh-CN" w:bidi="ar-SA"/>
        </w:rPr>
        <w:t>235.29</w:t>
      </w:r>
      <w:r>
        <w:rPr>
          <w:rFonts w:ascii="Times New Roman" w:eastAsia="仿宋_GB2312" w:cs="Times New Roman" w:hAnsi="Times New Roman"/>
          <w:sz w:val="32"/>
          <w:szCs w:val="32"/>
        </w:rPr>
        <w:t>万元，其中：基本支出</w:t>
      </w:r>
      <w:r>
        <w:rPr>
          <w:rFonts w:eastAsia="仿宋_GB2312" w:cs="Times New Roman" w:hint="eastAsia"/>
          <w:sz w:val="32"/>
          <w:szCs w:val="32"/>
          <w:lang w:val="en-US" w:eastAsia="zh-CN"/>
        </w:rPr>
        <w:t>176.29</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74.92</w:t>
      </w:r>
      <w:r>
        <w:rPr>
          <w:rFonts w:ascii="Times New Roman" w:eastAsia="仿宋_GB2312" w:cs="Times New Roman" w:hAnsi="Times New Roman"/>
          <w:sz w:val="32"/>
          <w:szCs w:val="32"/>
        </w:rPr>
        <w:t>%；项目支出</w:t>
      </w:r>
      <w:r>
        <w:rPr>
          <w:rFonts w:eastAsia="仿宋_GB2312" w:cs="Times New Roman" w:hint="eastAsia"/>
          <w:sz w:val="32"/>
          <w:szCs w:val="32"/>
          <w:lang w:val="en-US" w:eastAsia="zh-CN"/>
        </w:rPr>
        <w:t>59</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25.08</w:t>
      </w:r>
      <w:r>
        <w:rPr>
          <w:rFonts w:ascii="Times New Roman" w:eastAsia="仿宋_GB2312" w:cs="Times New Roman" w:hAnsi="Times New Roman"/>
          <w:sz w:val="32"/>
          <w:szCs w:val="32"/>
        </w:rPr>
        <w:t>%；上缴上级支出0万元，占0%；经营支出0万元，占0%；对附属单位补助支出0万元，占0%。</w:t>
      </w:r>
      <w:bookmarkEnd w:id="42"/>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r>
        <w:rPr>
          <w:rFonts w:ascii="Times New Roman" w:eastAsia="仿宋" w:cs="Times New Roman" w:hAnsi="Times New Roman"/>
          <w:sz w:val="32"/>
          <w:szCs w:val="32"/>
          <w:lang w:val="en-US" w:eastAsia="zh-CN"/>
        </w:rPr>
        <w:drawing>
          <wp:anchor distT="0" distB="0" distL="114300" distR="114300" simplePos="0" relativeHeight="21" behindDoc="0" locked="0" layoutInCell="1" hidden="0" allowOverlap="1">
            <wp:simplePos x="0" y="0"/>
            <wp:positionH relativeFrom="column">
              <wp:posOffset>221615</wp:posOffset>
            </wp:positionH>
            <wp:positionV relativeFrom="paragraph">
              <wp:posOffset>138430</wp:posOffset>
            </wp:positionV>
            <wp:extent cx="4911723" cy="2615565"/>
            <wp:effectExtent l="0" t="0" r="0" b="0"/>
            <wp:wrapNone/>
            <wp:docPr id="3"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5"/>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640"/>
        <w:jc w:val="both"/>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3" w:name="_Toc26843615"/>
      <w:bookmarkStart w:id="44" w:name="_Toc15396606"/>
      <w:bookmarkStart w:id="45" w:name="_Toc15377208"/>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3"/>
      <w:bookmarkEnd w:id="44"/>
      <w:bookmarkEnd w:id="45"/>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rPr>
      </w:pPr>
      <w:r>
        <w:rPr>
          <w:rFonts w:ascii="Times New Roman" w:cs="Times New Roman" w:hAnsi="Times New Roman" w:hint="eastAsia"/>
          <w:sz w:val="32"/>
          <w:szCs w:val="32"/>
          <w:lang w:val="en-US" w:eastAsia="zh-CN"/>
        </w:rPr>
        <w:t>2022年</w:t>
      </w:r>
      <w:r>
        <w:rPr>
          <w:rFonts w:ascii="Times New Roman" w:eastAsia="仿宋_GB2312" w:cs="Times New Roman" w:hAnsi="Times New Roman"/>
          <w:sz w:val="32"/>
          <w:szCs w:val="32"/>
          <w:lang w:val="en-US" w:eastAsia="zh-CN"/>
        </w:rPr>
        <w:t>财政拨款收、支总计</w:t>
      </w:r>
      <w:r>
        <w:rPr>
          <w:rFonts w:ascii="Times New Roman" w:cs="Times New Roman" w:hAnsi="Times New Roman" w:hint="eastAsia"/>
          <w:sz w:val="32"/>
          <w:szCs w:val="32"/>
          <w:lang w:val="en-US" w:eastAsia="zh-CN"/>
        </w:rPr>
        <w:t>470.58</w:t>
      </w:r>
      <w:r>
        <w:rPr>
          <w:rFonts w:ascii="Times New Roman" w:eastAsia="仿宋_GB2312" w:cs="Times New Roman" w:hAnsi="Times New Roman"/>
          <w:sz w:val="32"/>
          <w:szCs w:val="32"/>
          <w:lang w:val="en-US" w:eastAsia="zh-CN"/>
        </w:rPr>
        <w:t>万元。与</w:t>
      </w:r>
      <w:r>
        <w:rPr>
          <w:rFonts w:ascii="Times New Roman" w:cs="Times New Roman" w:hAnsi="Times New Roman" w:hint="eastAsia"/>
          <w:sz w:val="32"/>
          <w:szCs w:val="32"/>
          <w:lang w:val="en-US" w:eastAsia="zh-CN"/>
        </w:rPr>
        <w:t>2021年</w:t>
      </w:r>
      <w:r>
        <w:rPr>
          <w:rFonts w:ascii="Times New Roman" w:eastAsia="仿宋_GB2312" w:cs="Times New Roman" w:hAnsi="Times New Roman"/>
          <w:sz w:val="32"/>
          <w:szCs w:val="32"/>
          <w:lang w:val="en-US" w:eastAsia="zh-CN"/>
        </w:rPr>
        <w:t>相比，财政拨款收、支总计各增加</w:t>
      </w:r>
      <w:r>
        <w:rPr>
          <w:rFonts w:ascii="Times New Roman" w:cs="Times New Roman" w:hAnsi="Times New Roman" w:hint="eastAsia"/>
          <w:sz w:val="32"/>
          <w:szCs w:val="32"/>
          <w:lang w:val="en-US" w:eastAsia="zh-CN"/>
        </w:rPr>
        <w:t>58</w:t>
      </w:r>
      <w:r>
        <w:rPr>
          <w:rFonts w:ascii="Times New Roman" w:eastAsia="仿宋_GB2312" w:cs="Times New Roman" w:hAnsi="Times New Roman"/>
          <w:sz w:val="32"/>
          <w:szCs w:val="32"/>
          <w:lang w:val="en-US" w:eastAsia="zh-CN"/>
        </w:rPr>
        <w:t>万元，增长</w:t>
      </w:r>
      <w:r>
        <w:rPr>
          <w:rFonts w:ascii="Times New Roman" w:cs="Times New Roman" w:hAnsi="Times New Roman" w:hint="eastAsia"/>
          <w:sz w:val="32"/>
          <w:szCs w:val="32"/>
          <w:lang w:val="en-US" w:eastAsia="zh-CN"/>
        </w:rPr>
        <w:t>32.71</w:t>
      </w:r>
      <w:r>
        <w:rPr>
          <w:rFonts w:ascii="Times New Roman" w:eastAsia="仿宋_GB2312" w:cs="Times New Roman" w:hAnsi="Times New Roman"/>
          <w:sz w:val="32"/>
          <w:szCs w:val="32"/>
          <w:lang w:val="en-US" w:eastAsia="zh-CN"/>
        </w:rPr>
        <w:t>%。主要变动原因</w:t>
      </w:r>
      <w:r>
        <w:rPr>
          <w:rFonts w:ascii="Times New Roman" w:cs="Times New Roman" w:hAnsi="Times New Roman" w:hint="eastAsia"/>
          <w:sz w:val="32"/>
          <w:szCs w:val="32"/>
          <w:lang w:val="en-US" w:eastAsia="zh-CN"/>
        </w:rPr>
        <w:t>是</w:t>
      </w:r>
      <w:r>
        <w:rPr>
          <w:rFonts w:ascii="仿宋" w:eastAsia="仿宋" w:hint="eastAsia"/>
          <w:color w:val="000000"/>
          <w:sz w:val="32"/>
          <w:szCs w:val="32"/>
          <w:lang w:val="en-US" w:eastAsia="zh-CN"/>
        </w:rPr>
        <w:t>2022年全年在职人数增加，以及项目资金增加</w:t>
      </w:r>
      <w:r>
        <w:rPr>
          <w:rFonts w:ascii="Times New Roman" w:eastAsia="仿宋_GB2312" w:cs="Times New Roman" w:hAnsi="Times New Roman"/>
          <w:sz w:val="32"/>
          <w:szCs w:val="32"/>
          <w:lang w:val="en-US" w:eastAsia="zh-CN"/>
        </w:rPr>
        <w:t>。</w:t>
      </w:r>
    </w:p>
    <w:p>
      <w:pPr>
        <w:pStyle w:val="15"/>
        <w:pageBreakBefore w:val="0"/>
        <w:widowControl w:val="0"/>
        <w:kinsoku/>
        <w:wordWrap/>
        <w:overflowPunct/>
        <w:topLinePunct w:val="0"/>
        <w:bidi w:val="0"/>
        <w:spacing w:line="576" w:lineRule="exact"/>
        <w:rPr>
          <w:rFonts w:ascii="Times New Roman" w:eastAsia="仿宋_GB2312" w:cs="Times New Roman" w:hAnsi="Times New Roman"/>
          <w:color w:val="auto"/>
          <w:sz w:val="32"/>
          <w:szCs w:val="32"/>
        </w:rPr>
      </w:pPr>
      <w:r>
        <w:rPr>
          <w:rFonts w:ascii="Times New Roman" w:eastAsia="仿宋" w:cs="Times New Roman" w:hAnsi="Times New Roman" w:hint="eastAsia"/>
          <w:sz w:val="32"/>
          <w:szCs w:val="32"/>
          <w:lang w:eastAsia="zh-CN"/>
        </w:rPr>
        <w:drawing>
          <wp:anchor distT="0" distB="0" distL="114300" distR="114300" simplePos="0" relativeHeight="27" behindDoc="0" locked="0" layoutInCell="1" hidden="0" allowOverlap="1">
            <wp:simplePos x="0" y="0"/>
            <wp:positionH relativeFrom="column">
              <wp:posOffset>80645</wp:posOffset>
            </wp:positionH>
            <wp:positionV relativeFrom="paragraph">
              <wp:posOffset>170179</wp:posOffset>
            </wp:positionV>
            <wp:extent cx="4841875" cy="2466975"/>
            <wp:effectExtent l="0" t="0" r="0" b="0"/>
            <wp:wrapSquare wrapText="bothSides"/>
            <wp:docPr id="4" name="图表 2"/>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Times New Roman" w:eastAsia="仿宋_GB2312" w:cs="Times New Roman" w:hAnsi="Times New Roman"/>
          <w:color w:val="auto"/>
          <w:sz w:val="32"/>
          <w:szCs w:val="32"/>
        </w:rPr>
        <w:t>（图4：财政拨款收、支决算总计变动情况）（柱状图）</w:t>
      </w:r>
      <w:bookmarkStart w:id="46" w:name="_Toc26843616"/>
      <w:bookmarkStart w:id="47" w:name="_Toc15396607"/>
      <w:bookmarkStart w:id="48" w:name="_Toc15377209"/>
    </w:p>
    <w:p>
      <w:pPr>
        <w:pStyle w:val="15"/>
        <w:pageBreakBefore w:val="0"/>
        <w:widowControl w:val="0"/>
        <w:kinsoku/>
        <w:wordWrap/>
        <w:overflowPunct/>
        <w:topLinePunct w:val="0"/>
        <w:bidi w:val="0"/>
        <w:spacing w:line="576" w:lineRule="exact"/>
        <w:rPr>
          <w:rFonts w:ascii="Times New Roman" w:eastAsia="仿宋_GB2312" w:cs="Times New Roman" w:hAnsi="Times New Roman"/>
          <w:color w:val="auto"/>
          <w:sz w:val="32"/>
          <w:szCs w:val="32"/>
        </w:rPr>
      </w:pPr>
    </w:p>
    <w:p>
      <w:pPr>
        <w:pStyle w:val="15"/>
        <w:pageBreakBefore w:val="0"/>
        <w:widowControl w:val="0"/>
        <w:kinsoku/>
        <w:wordWrap/>
        <w:overflowPunct/>
        <w:topLinePunct w:val="0"/>
        <w:bidi w:val="0"/>
        <w:spacing w:line="576" w:lineRule="exact"/>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6"/>
      <w:bookmarkEnd w:id="47"/>
      <w:bookmarkEnd w:id="48"/>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9" w:name="_Toc15377210"/>
      <w:r>
        <w:rPr>
          <w:rFonts w:ascii="Times New Roman" w:eastAsia="仿宋" w:cs="Times New Roman" w:hAnsi="Times New Roman"/>
          <w:b/>
          <w:sz w:val="32"/>
          <w:szCs w:val="32"/>
        </w:rPr>
        <w:t>（一）一般公共预算财政拨款支出决算总体情况</w:t>
      </w:r>
      <w:bookmarkEnd w:id="49"/>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一般公共预算财政拨款支出</w:t>
      </w:r>
      <w:r>
        <w:rPr>
          <w:rFonts w:eastAsia="仿宋_GB2312" w:cs="Times New Roman" w:hint="eastAsia"/>
          <w:sz w:val="32"/>
          <w:szCs w:val="32"/>
          <w:lang w:val="en-US" w:eastAsia="zh-CN"/>
        </w:rPr>
        <w:t>235.29</w:t>
      </w:r>
      <w:r>
        <w:rPr>
          <w:rFonts w:ascii="Times New Roman" w:eastAsia="仿宋_GB2312" w:cs="Times New Roman" w:hAnsi="Times New Roman"/>
          <w:sz w:val="32"/>
          <w:szCs w:val="32"/>
        </w:rPr>
        <w:t>万元，占本年支出合计的100%。与</w:t>
      </w:r>
      <w:r>
        <w:rPr>
          <w:rFonts w:eastAsia="仿宋_GB2312" w:cs="Times New Roman" w:hint="eastAsia"/>
          <w:sz w:val="32"/>
          <w:szCs w:val="32"/>
          <w:lang w:eastAsia="zh-CN"/>
        </w:rPr>
        <w:t>2021年</w:t>
      </w:r>
      <w:r>
        <w:rPr>
          <w:rFonts w:ascii="Times New Roman" w:eastAsia="仿宋_GB2312" w:cs="Times New Roman" w:hAnsi="Times New Roman"/>
          <w:sz w:val="32"/>
          <w:szCs w:val="32"/>
        </w:rPr>
        <w:t>相比，一般公共预算财政拨款支出增加</w:t>
      </w:r>
      <w:r>
        <w:rPr>
          <w:rFonts w:eastAsia="仿宋_GB2312" w:cs="Times New Roman" w:hint="eastAsia"/>
          <w:sz w:val="32"/>
          <w:szCs w:val="32"/>
          <w:lang w:val="en-US" w:eastAsia="zh-CN"/>
        </w:rPr>
        <w:t>58</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32.71</w:t>
      </w:r>
      <w:r>
        <w:rPr>
          <w:rFonts w:ascii="Times New Roman" w:eastAsia="仿宋_GB2312" w:cs="Times New Roman" w:hAnsi="Times New Roman"/>
          <w:sz w:val="32"/>
          <w:szCs w:val="32"/>
        </w:rPr>
        <w:t>%。主要变动原因</w:t>
      </w:r>
      <w:r>
        <w:rPr>
          <w:rFonts w:ascii="Times New Roman" w:cs="Times New Roman" w:hAnsi="Times New Roman" w:hint="eastAsia"/>
          <w:sz w:val="32"/>
          <w:szCs w:val="32"/>
          <w:lang w:val="en-US" w:eastAsia="zh-CN"/>
        </w:rPr>
        <w:t>是</w:t>
      </w:r>
      <w:r>
        <w:rPr>
          <w:rFonts w:ascii="仿宋" w:eastAsia="仿宋" w:hint="eastAsia"/>
          <w:color w:val="000000"/>
          <w:sz w:val="32"/>
          <w:szCs w:val="32"/>
          <w:lang w:val="en-US" w:eastAsia="zh-CN"/>
        </w:rPr>
        <w:t>2022年全年在职人数增加，以及项目资金增加</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sz w:val="32"/>
          <w:szCs w:val="32"/>
        </w:rPr>
      </w:pPr>
      <w:r>
        <w:rPr>
          <w:rFonts w:ascii="Times New Roman" w:eastAsia="仿宋" w:cs="Times New Roman" w:hAnsi="Times New Roman" w:hint="eastAsia"/>
          <w:sz w:val="32"/>
          <w:szCs w:val="32"/>
          <w:lang w:eastAsia="zh-CN"/>
        </w:rPr>
        <w:drawing>
          <wp:anchor distT="0" distB="0" distL="114300" distR="114300" simplePos="0" relativeHeight="29" behindDoc="0" locked="0" layoutInCell="1" hidden="0" allowOverlap="1">
            <wp:simplePos x="0" y="0"/>
            <wp:positionH relativeFrom="column">
              <wp:posOffset>213994</wp:posOffset>
            </wp:positionH>
            <wp:positionV relativeFrom="paragraph">
              <wp:posOffset>-71755</wp:posOffset>
            </wp:positionV>
            <wp:extent cx="4841874" cy="2466975"/>
            <wp:effectExtent l="0" t="0" r="0" b="0"/>
            <wp:wrapSquare wrapText="bothSides"/>
            <wp:docPr id="5" name="图表 5"/>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Times New Roman" w:eastAsia="仿宋" w:cs="Times New Roman" w:hAnsi="Times New Roman"/>
          <w:color w:val="auto"/>
          <w:sz w:val="32"/>
          <w:szCs w:val="32"/>
        </w:rPr>
        <w:t>（图5：一般公共预算财政拨款支出决算变动情况</w:t>
      </w:r>
      <w:r>
        <w:rPr>
          <w:rFonts w:eastAsia="仿宋" w:cs="Times New Roman" w:hint="eastAsia"/>
          <w:color w:val="auto"/>
          <w:sz w:val="32"/>
          <w:szCs w:val="32"/>
          <w:lang w:eastAsia="zh-CN"/>
        </w:rPr>
        <w:t>）</w:t>
      </w:r>
      <w:r>
        <w:rPr>
          <w:rFonts w:ascii="Times New Roman" w:eastAsia="仿宋" w:cs="Times New Roman" w:hAnsi="Times New Roman"/>
          <w:color w:val="auto"/>
          <w:sz w:val="32"/>
          <w:szCs w:val="32"/>
        </w:rPr>
        <w:t>（柱状图）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1"/>
      <w:r>
        <w:rPr>
          <w:rFonts w:ascii="Times New Roman" w:eastAsia="仿宋" w:cs="Times New Roman" w:hAnsi="Times New Roman"/>
          <w:b/>
          <w:sz w:val="32"/>
          <w:szCs w:val="32"/>
        </w:rPr>
        <w:t>（二）一般公共预算财政拨款支出决算结构情况</w:t>
      </w:r>
      <w:bookmarkEnd w:id="50"/>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eastAsia="仿宋" w:cs="Times New Roman" w:hint="eastAsia"/>
          <w:sz w:val="32"/>
          <w:szCs w:val="32"/>
          <w:lang w:eastAsia="zh-CN"/>
        </w:rPr>
        <w:t>2022年</w:t>
      </w:r>
      <w:r>
        <w:rPr>
          <w:rFonts w:ascii="Times New Roman" w:eastAsia="仿宋" w:cs="Times New Roman" w:hAnsi="Times New Roman"/>
          <w:sz w:val="32"/>
          <w:szCs w:val="32"/>
        </w:rPr>
        <w:t>一般公共预算财政拨款支出</w:t>
      </w:r>
      <w:r>
        <w:rPr>
          <w:rFonts w:eastAsia="仿宋" w:cs="Times New Roman" w:hint="eastAsia"/>
          <w:sz w:val="32"/>
          <w:szCs w:val="32"/>
          <w:lang w:val="en-US" w:eastAsia="zh-CN"/>
        </w:rPr>
        <w:t>235.29</w:t>
      </w:r>
      <w:r>
        <w:rPr>
          <w:rFonts w:ascii="Times New Roman" w:eastAsia="仿宋" w:cs="Times New Roman" w:hAnsi="Times New Roman"/>
          <w:sz w:val="32"/>
          <w:szCs w:val="32"/>
        </w:rPr>
        <w:t>万元，主要用于以下方面:</w:t>
      </w:r>
      <w:r>
        <w:rPr>
          <w:rFonts w:ascii="Times New Roman" w:eastAsia="仿宋" w:cs="Times New Roman" w:hAnsi="Times New Roman" w:hint="eastAsia"/>
          <w:sz w:val="32"/>
          <w:szCs w:val="32"/>
        </w:rPr>
        <w:t>社会保障和就业（类）支出18.85万元，占8.01%；卫生健康支出9.13万元，占3.88%；农林水支出33万元，占14.03%；商业服务业等支出163.53万元，占69.5%；住房保障支出10.78万元，占4.58%。</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p>
    <w:p>
      <w:pPr>
        <w:pStyle w:val="15"/>
        <w:jc w:val="distribute"/>
        <w:rPr>
          <w:rFonts w:ascii="Times New Roman" w:eastAsia="仿宋" w:cs="Times New Roman" w:hAnsi="Times New Roman"/>
          <w:sz w:val="32"/>
          <w:szCs w:val="32"/>
        </w:rPr>
      </w:pPr>
      <w:r>
        <w:rPr>
          <w:rFonts w:ascii="Times New Roman" w:eastAsia="仿宋" w:cs="Times New Roman" w:hAnsi="Times New Roman"/>
          <w:sz w:val="32"/>
          <w:szCs w:val="32"/>
          <w:lang w:eastAsia="zh-CN"/>
        </w:rPr>
        <w:drawing>
          <wp:anchor distT="0" distB="0" distL="114300" distR="114300" simplePos="0" relativeHeight="23" behindDoc="0" locked="0" layoutInCell="1" hidden="0" allowOverlap="1">
            <wp:simplePos x="0" y="0"/>
            <wp:positionH relativeFrom="column">
              <wp:posOffset>522605</wp:posOffset>
            </wp:positionH>
            <wp:positionV relativeFrom="paragraph">
              <wp:posOffset>22224</wp:posOffset>
            </wp:positionV>
            <wp:extent cx="4586604" cy="2671445"/>
            <wp:effectExtent l="0" t="0" r="0" b="0"/>
            <wp:wrapNone/>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1" w:name="_Toc15377212"/>
      <w:r>
        <w:rPr>
          <w:rFonts w:ascii="Times New Roman" w:eastAsia="仿宋" w:cs="Times New Roman" w:hAnsi="Times New Roman"/>
          <w:b/>
          <w:sz w:val="32"/>
          <w:szCs w:val="32"/>
        </w:rPr>
        <w:t>（三）一般公共预算财政拨款支出决算具体情况</w:t>
      </w:r>
      <w:bookmarkEnd w:id="51"/>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52" w:name="_Toc15377444"/>
      <w:bookmarkStart w:id="53" w:name="_Toc15377213"/>
      <w:bookmarkStart w:id="54" w:name="_Toc15378460"/>
      <w:r>
        <w:rPr>
          <w:rFonts w:eastAsia="仿宋" w:cs="Times New Roman" w:hint="eastAsia"/>
          <w:b/>
          <w:sz w:val="32"/>
          <w:szCs w:val="32"/>
          <w:lang w:eastAsia="zh-CN"/>
        </w:rPr>
        <w:t>2022年</w:t>
      </w:r>
      <w:r>
        <w:rPr>
          <w:rFonts w:ascii="Times New Roman" w:eastAsia="仿宋" w:cs="Times New Roman" w:hAnsi="Times New Roman"/>
          <w:b/>
          <w:sz w:val="32"/>
          <w:szCs w:val="32"/>
        </w:rPr>
        <w:t>一般公共预算支出决算数为</w:t>
      </w:r>
      <w:r>
        <w:rPr>
          <w:rFonts w:eastAsia="仿宋" w:cs="Times New Roman" w:hint="eastAsia"/>
          <w:b/>
          <w:sz w:val="32"/>
          <w:szCs w:val="32"/>
          <w:lang w:val="en-US" w:eastAsia="zh-CN"/>
        </w:rPr>
        <w:t>235.29万元</w:t>
      </w:r>
      <w:r>
        <w:rPr>
          <w:rFonts w:ascii="Times New Roman" w:eastAsia="仿宋" w:cs="Times New Roman" w:hAnsi="Times New Roman"/>
          <w:sz w:val="32"/>
          <w:szCs w:val="32"/>
        </w:rPr>
        <w:t>，</w:t>
      </w:r>
      <w:r>
        <w:rPr>
          <w:rStyle w:val="25"/>
          <w:rFonts w:ascii="Times New Roman" w:eastAsia="仿宋" w:cs="Times New Roman" w:hAnsi="Times New Roman"/>
          <w:bCs/>
          <w:sz w:val="32"/>
          <w:szCs w:val="32"/>
        </w:rPr>
        <w:t>完成预算100%。其中：</w:t>
      </w:r>
      <w:bookmarkEnd w:id="52"/>
      <w:bookmarkEnd w:id="53"/>
      <w:bookmarkEnd w:id="54"/>
    </w:p>
    <w:p>
      <w:pPr>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eastAsia="仿宋" w:cs="Times New Roman" w:hint="eastAsia"/>
          <w:bCs/>
          <w:sz w:val="32"/>
          <w:szCs w:val="32"/>
          <w:lang w:val="en-US" w:eastAsia="zh-CN"/>
        </w:rPr>
        <w:t>1</w:t>
      </w:r>
      <w:r>
        <w:rPr>
          <w:rStyle w:val="25"/>
          <w:rFonts w:ascii="Times New Roman" w:eastAsia="仿宋" w:cs="Times New Roman" w:hAnsi="Times New Roman"/>
          <w:bCs/>
          <w:sz w:val="32"/>
          <w:szCs w:val="32"/>
        </w:rPr>
        <w:t>.社会保障和就业（208）行政事业单位养老（05），</w:t>
      </w:r>
      <w:r>
        <w:rPr>
          <w:rStyle w:val="25"/>
          <w:rFonts w:ascii="Times New Roman" w:eastAsia="仿宋" w:cs="Times New Roman" w:hAnsi="Times New Roman"/>
          <w:b w:val="0"/>
          <w:bCs/>
          <w:sz w:val="32"/>
          <w:szCs w:val="32"/>
        </w:rPr>
        <w:t>支出决算为</w:t>
      </w:r>
      <w:r>
        <w:rPr>
          <w:rStyle w:val="25"/>
          <w:rFonts w:eastAsia="仿宋" w:cs="Times New Roman" w:hint="eastAsia"/>
          <w:b w:val="0"/>
          <w:bCs/>
          <w:sz w:val="32"/>
          <w:szCs w:val="32"/>
          <w:lang w:val="en-US" w:eastAsia="zh-CN"/>
        </w:rPr>
        <w:t>18.85</w:t>
      </w:r>
      <w:r>
        <w:rPr>
          <w:rStyle w:val="25"/>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5"/>
          <w:rFonts w:ascii="Times New Roman" w:eastAsia="仿宋" w:cs="Times New Roman" w:hAnsi="Times New Roman"/>
          <w:b w:val="0"/>
          <w:bCs/>
          <w:sz w:val="32"/>
          <w:szCs w:val="32"/>
        </w:rPr>
      </w:pPr>
      <w:r>
        <w:rPr>
          <w:rFonts w:ascii="Times New Roman" w:cs="Times New Roman" w:hAnsi="Times New Roman" w:hint="eastAsia"/>
          <w:lang w:val="en-US" w:eastAsia="zh-CN"/>
        </w:rPr>
        <w:t>1</w:t>
      </w:r>
      <w:r>
        <w:rPr>
          <w:rFonts w:ascii="Times New Roman" w:cs="Times New Roman" w:hAnsi="Times New Roman"/>
        </w:rPr>
        <w:t>.1机关事业单位基本养老保险缴费（05）：</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hint="eastAsia"/>
          <w:b w:val="0"/>
          <w:bCs/>
          <w:sz w:val="32"/>
          <w:szCs w:val="32"/>
          <w:lang w:val="en-US" w:eastAsia="zh-CN"/>
        </w:rPr>
        <w:t>12.57</w:t>
      </w:r>
      <w:r>
        <w:rPr>
          <w:rStyle w:val="25"/>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40"/>
        <w:rPr>
          <w:rFonts w:ascii="Times New Roman" w:cs="Times New Roman" w:hAnsi="Times New Roman"/>
        </w:rPr>
      </w:pPr>
      <w:r>
        <w:rPr>
          <w:rStyle w:val="25"/>
          <w:rFonts w:ascii="Times New Roman" w:eastAsia="仿宋" w:cs="Times New Roman" w:hAnsi="Times New Roman" w:hint="eastAsia"/>
          <w:b w:val="0"/>
          <w:bCs/>
          <w:sz w:val="32"/>
          <w:szCs w:val="32"/>
          <w:lang w:val="en-US" w:eastAsia="zh-CN"/>
        </w:rPr>
        <w:t>1</w:t>
      </w:r>
      <w:r>
        <w:rPr>
          <w:rStyle w:val="25"/>
          <w:rFonts w:ascii="Times New Roman" w:eastAsia="仿宋" w:cs="Times New Roman" w:hAnsi="Times New Roman"/>
          <w:b w:val="0"/>
          <w:bCs/>
          <w:sz w:val="32"/>
          <w:szCs w:val="32"/>
        </w:rPr>
        <w:t>.2</w:t>
      </w:r>
      <w:r>
        <w:rPr>
          <w:rFonts w:ascii="Times New Roman" w:cs="Times New Roman" w:hAnsi="Times New Roman"/>
        </w:rPr>
        <w:t>机关事业单位职业年金缴费（06）：</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hint="eastAsia"/>
          <w:b w:val="0"/>
          <w:bCs/>
          <w:sz w:val="32"/>
          <w:szCs w:val="32"/>
          <w:lang w:val="en-US" w:eastAsia="zh-CN"/>
        </w:rPr>
        <w:t>6.28</w:t>
      </w:r>
      <w:r>
        <w:rPr>
          <w:rStyle w:val="25"/>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eastAsia="仿宋" w:cs="Times New Roman" w:hint="eastAsia"/>
          <w:bCs/>
          <w:sz w:val="32"/>
          <w:szCs w:val="32"/>
          <w:lang w:val="en-US" w:eastAsia="zh-CN"/>
        </w:rPr>
        <w:t>2</w:t>
      </w:r>
      <w:r>
        <w:rPr>
          <w:rStyle w:val="25"/>
          <w:rFonts w:ascii="Times New Roman" w:eastAsia="仿宋" w:cs="Times New Roman" w:hAnsi="Times New Roman"/>
          <w:bCs/>
          <w:sz w:val="32"/>
          <w:szCs w:val="32"/>
        </w:rPr>
        <w:t>.</w:t>
      </w:r>
      <w:r>
        <w:rPr>
          <w:rFonts w:ascii="Times New Roman" w:eastAsia="仿宋" w:cs="Times New Roman" w:hAnsi="Times New Roman"/>
          <w:b/>
          <w:bCs/>
          <w:sz w:val="32"/>
          <w:szCs w:val="32"/>
        </w:rPr>
        <w:t>卫生健康</w:t>
      </w:r>
      <w:r>
        <w:rPr>
          <w:rStyle w:val="25"/>
          <w:rFonts w:ascii="Times New Roman" w:eastAsia="仿宋" w:cs="Times New Roman" w:hAnsi="Times New Roman"/>
          <w:bCs/>
          <w:sz w:val="32"/>
          <w:szCs w:val="32"/>
        </w:rPr>
        <w:t>（210）行政事业单位医疗（11）:</w:t>
      </w:r>
      <w:r>
        <w:rPr>
          <w:rStyle w:val="25"/>
          <w:rFonts w:ascii="Times New Roman" w:eastAsia="仿宋" w:cs="Times New Roman" w:hAnsi="Times New Roman"/>
          <w:b w:val="0"/>
          <w:bCs/>
          <w:sz w:val="32"/>
          <w:szCs w:val="32"/>
        </w:rPr>
        <w:t>支出决算为</w:t>
      </w:r>
      <w:r>
        <w:rPr>
          <w:rStyle w:val="25"/>
          <w:rFonts w:eastAsia="仿宋" w:cs="Times New Roman" w:hint="eastAsia"/>
          <w:b w:val="0"/>
          <w:bCs/>
          <w:sz w:val="32"/>
          <w:szCs w:val="32"/>
          <w:lang w:val="en-US" w:eastAsia="zh-CN"/>
        </w:rPr>
        <w:t>9.13</w:t>
      </w:r>
      <w:r>
        <w:rPr>
          <w:rStyle w:val="25"/>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5"/>
          <w:rFonts w:ascii="Times New Roman" w:eastAsia="仿宋" w:cs="Times New Roman" w:hAnsi="Times New Roman"/>
          <w:b w:val="0"/>
          <w:bCs/>
          <w:sz w:val="32"/>
          <w:szCs w:val="32"/>
        </w:rPr>
      </w:pPr>
      <w:r>
        <w:rPr>
          <w:rFonts w:ascii="Times New Roman" w:cs="Times New Roman" w:hAnsi="Times New Roman" w:hint="eastAsia"/>
          <w:lang w:val="en-US" w:eastAsia="zh-CN"/>
        </w:rPr>
        <w:t>2</w:t>
      </w:r>
      <w:r>
        <w:rPr>
          <w:rFonts w:ascii="Times New Roman" w:cs="Times New Roman" w:hAnsi="Times New Roman"/>
        </w:rPr>
        <w:t>.1行政单位医疗（01）：</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hint="eastAsia"/>
          <w:b w:val="0"/>
          <w:bCs/>
          <w:sz w:val="32"/>
          <w:szCs w:val="32"/>
          <w:lang w:val="en-US" w:eastAsia="zh-CN"/>
        </w:rPr>
        <w:t>5.46</w:t>
      </w:r>
      <w:r>
        <w:rPr>
          <w:rStyle w:val="25"/>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ascii="Times New Roman" w:eastAsia="仿宋" w:cs="Times New Roman" w:hAnsi="Times New Roman" w:hint="eastAsia"/>
          <w:b w:val="0"/>
          <w:bCs/>
          <w:sz w:val="32"/>
          <w:szCs w:val="32"/>
          <w:lang w:val="en-US" w:eastAsia="zh-CN"/>
        </w:rPr>
        <w:t>2</w:t>
      </w:r>
      <w:r>
        <w:rPr>
          <w:rStyle w:val="25"/>
          <w:rFonts w:ascii="Times New Roman" w:eastAsia="仿宋" w:cs="Times New Roman" w:hAnsi="Times New Roman"/>
          <w:b w:val="0"/>
          <w:bCs/>
          <w:sz w:val="32"/>
          <w:szCs w:val="32"/>
        </w:rPr>
        <w:t>.</w:t>
      </w:r>
      <w:r>
        <w:rPr>
          <w:rStyle w:val="25"/>
          <w:rFonts w:ascii="Times New Roman" w:eastAsia="仿宋" w:cs="Times New Roman" w:hAnsi="Times New Roman" w:hint="eastAsia"/>
          <w:b w:val="0"/>
          <w:bCs/>
          <w:sz w:val="32"/>
          <w:szCs w:val="32"/>
          <w:lang w:val="en-US" w:eastAsia="zh-CN"/>
        </w:rPr>
        <w:t>2</w:t>
      </w:r>
      <w:r>
        <w:rPr>
          <w:rStyle w:val="25"/>
          <w:rFonts w:ascii="Times New Roman" w:eastAsia="仿宋" w:cs="Times New Roman" w:hAnsi="Times New Roman"/>
          <w:b w:val="0"/>
          <w:bCs/>
          <w:sz w:val="32"/>
          <w:szCs w:val="32"/>
        </w:rPr>
        <w:t>公务员医疗补助（03）：支出决算为</w:t>
      </w:r>
      <w:r>
        <w:rPr>
          <w:rStyle w:val="25"/>
          <w:rFonts w:ascii="Times New Roman" w:eastAsia="仿宋" w:cs="Times New Roman" w:hAnsi="Times New Roman" w:hint="eastAsia"/>
          <w:b w:val="0"/>
          <w:bCs/>
          <w:sz w:val="32"/>
          <w:szCs w:val="32"/>
          <w:lang w:val="en-US" w:eastAsia="zh-CN"/>
        </w:rPr>
        <w:t>3.67</w:t>
      </w:r>
      <w:r>
        <w:rPr>
          <w:rStyle w:val="25"/>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eastAsia="仿宋" w:cs="Times New Roman" w:hint="eastAsia"/>
          <w:bCs/>
          <w:sz w:val="32"/>
          <w:szCs w:val="32"/>
          <w:lang w:val="en-US" w:eastAsia="zh-CN"/>
        </w:rPr>
        <w:t>3</w:t>
      </w:r>
      <w:r>
        <w:rPr>
          <w:rStyle w:val="25"/>
          <w:rFonts w:ascii="Times New Roman" w:eastAsia="仿宋" w:cs="Times New Roman" w:hAnsi="Times New Roman"/>
          <w:bCs/>
          <w:sz w:val="32"/>
          <w:szCs w:val="32"/>
        </w:rPr>
        <w:t>.</w:t>
      </w:r>
      <w:r>
        <w:rPr>
          <w:rFonts w:ascii="Times New Roman" w:eastAsia="仿宋" w:cs="Times New Roman" w:hAnsi="Times New Roman" w:hint="eastAsia"/>
          <w:b/>
          <w:bCs/>
          <w:sz w:val="32"/>
          <w:szCs w:val="32"/>
        </w:rPr>
        <w:t>农林水支出</w:t>
      </w:r>
      <w:r>
        <w:rPr>
          <w:rFonts w:ascii="Times New Roman" w:eastAsia="仿宋" w:cs="Times New Roman" w:hAnsi="Times New Roman" w:hint="eastAsia"/>
          <w:b/>
          <w:bCs/>
          <w:sz w:val="32"/>
          <w:szCs w:val="32"/>
          <w:lang w:eastAsia="zh-CN"/>
        </w:rPr>
        <w:t>（</w:t>
      </w:r>
      <w:r>
        <w:rPr>
          <w:rStyle w:val="25"/>
          <w:rFonts w:ascii="Times New Roman" w:eastAsia="仿宋" w:cs="Times New Roman" w:hAnsi="Times New Roman" w:hint="eastAsia"/>
          <w:bCs/>
          <w:sz w:val="32"/>
          <w:szCs w:val="32"/>
          <w:lang w:val="en-US" w:eastAsia="zh-CN"/>
        </w:rPr>
        <w:t>213</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rPr>
        <w:t>农业农村</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lang w:val="en-US" w:eastAsia="zh-CN"/>
        </w:rPr>
        <w:t>01</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rPr>
        <w:t>其他农业农村支出（01）</w:t>
      </w:r>
      <w:r>
        <w:rPr>
          <w:rStyle w:val="25"/>
          <w:rFonts w:ascii="Times New Roman" w:eastAsia="仿宋" w:cs="Times New Roman" w:hAnsi="Times New Roman"/>
          <w:bCs/>
          <w:sz w:val="32"/>
          <w:szCs w:val="32"/>
        </w:rPr>
        <w:t>:</w:t>
      </w:r>
      <w:r>
        <w:rPr>
          <w:rStyle w:val="25"/>
          <w:rFonts w:ascii="Times New Roman" w:eastAsia="仿宋" w:cs="Times New Roman" w:hAnsi="Times New Roman"/>
          <w:b w:val="0"/>
          <w:bCs/>
          <w:sz w:val="32"/>
          <w:szCs w:val="32"/>
        </w:rPr>
        <w:t>支出决算为</w:t>
      </w:r>
      <w:r>
        <w:rPr>
          <w:rStyle w:val="25"/>
          <w:rFonts w:eastAsia="仿宋" w:cs="Times New Roman" w:hint="eastAsia"/>
          <w:b w:val="0"/>
          <w:bCs/>
          <w:sz w:val="32"/>
          <w:szCs w:val="32"/>
          <w:lang w:val="en-US" w:eastAsia="zh-CN"/>
        </w:rPr>
        <w:t>23</w:t>
      </w:r>
      <w:r>
        <w:rPr>
          <w:rStyle w:val="25"/>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eastAsia="仿宋" w:cs="Times New Roman" w:hint="eastAsia"/>
          <w:bCs/>
          <w:sz w:val="32"/>
          <w:szCs w:val="32"/>
          <w:lang w:val="en-US" w:eastAsia="zh-CN"/>
        </w:rPr>
        <w:t>4</w:t>
      </w:r>
      <w:r>
        <w:rPr>
          <w:rStyle w:val="25"/>
          <w:rFonts w:ascii="Times New Roman" w:eastAsia="仿宋" w:cs="Times New Roman" w:hAnsi="Times New Roman"/>
          <w:bCs/>
          <w:sz w:val="32"/>
          <w:szCs w:val="32"/>
        </w:rPr>
        <w:t>.</w:t>
      </w:r>
      <w:r>
        <w:rPr>
          <w:rFonts w:ascii="Times New Roman" w:eastAsia="仿宋" w:cs="Times New Roman" w:hAnsi="Times New Roman" w:hint="eastAsia"/>
          <w:b/>
          <w:bCs/>
          <w:sz w:val="32"/>
          <w:szCs w:val="32"/>
        </w:rPr>
        <w:t>农林水支出</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lang w:val="en-US" w:eastAsia="zh-CN"/>
        </w:rPr>
        <w:t>213</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rPr>
        <w:t>巩固脱贫衔接乡村振兴</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lang w:val="en-US" w:eastAsia="zh-CN"/>
        </w:rPr>
        <w:t>05</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rPr>
        <w:t>生产发展（05）</w:t>
      </w:r>
      <w:r>
        <w:rPr>
          <w:rStyle w:val="25"/>
          <w:rFonts w:ascii="Times New Roman" w:eastAsia="仿宋" w:cs="Times New Roman" w:hAnsi="Times New Roman"/>
          <w:bCs/>
          <w:sz w:val="32"/>
          <w:szCs w:val="32"/>
        </w:rPr>
        <w:t>:</w:t>
      </w:r>
      <w:r>
        <w:rPr>
          <w:rStyle w:val="25"/>
          <w:rFonts w:ascii="Times New Roman" w:eastAsia="仿宋" w:cs="Times New Roman" w:hAnsi="Times New Roman"/>
          <w:b w:val="0"/>
          <w:bCs/>
          <w:sz w:val="32"/>
          <w:szCs w:val="32"/>
        </w:rPr>
        <w:t>支出决算为</w:t>
      </w:r>
      <w:r>
        <w:rPr>
          <w:rStyle w:val="25"/>
          <w:rFonts w:eastAsia="仿宋" w:cs="Times New Roman" w:hint="eastAsia"/>
          <w:b w:val="0"/>
          <w:bCs/>
          <w:sz w:val="32"/>
          <w:szCs w:val="32"/>
          <w:lang w:val="en-US" w:eastAsia="zh-CN"/>
        </w:rPr>
        <w:t>10</w:t>
      </w:r>
      <w:r>
        <w:rPr>
          <w:rStyle w:val="25"/>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eastAsia="仿宋" w:cs="Times New Roman" w:hint="eastAsia"/>
          <w:bCs/>
          <w:sz w:val="32"/>
          <w:szCs w:val="32"/>
          <w:lang w:val="en-US" w:eastAsia="zh-CN"/>
        </w:rPr>
        <w:t>5</w:t>
      </w:r>
      <w:r>
        <w:rPr>
          <w:rStyle w:val="25"/>
          <w:rFonts w:ascii="Times New Roman" w:eastAsia="仿宋" w:cs="Times New Roman" w:hAnsi="Times New Roman"/>
          <w:bCs/>
          <w:sz w:val="32"/>
          <w:szCs w:val="32"/>
        </w:rPr>
        <w:t>.</w:t>
      </w:r>
      <w:r>
        <w:rPr>
          <w:rFonts w:ascii="Times New Roman" w:eastAsia="仿宋" w:cs="Times New Roman" w:hAnsi="Times New Roman" w:hint="eastAsia"/>
          <w:b/>
          <w:bCs/>
          <w:sz w:val="32"/>
          <w:szCs w:val="32"/>
        </w:rPr>
        <w:t>商业服务业等支出</w:t>
      </w:r>
      <w:r>
        <w:rPr>
          <w:rFonts w:ascii="Times New Roman" w:eastAsia="仿宋" w:cs="Times New Roman" w:hAnsi="Times New Roman" w:hint="eastAsia"/>
          <w:b/>
          <w:bCs/>
          <w:sz w:val="32"/>
          <w:szCs w:val="32"/>
          <w:lang w:eastAsia="zh-CN"/>
        </w:rPr>
        <w:t>（</w:t>
      </w:r>
      <w:r>
        <w:rPr>
          <w:rFonts w:ascii="Times New Roman" w:eastAsia="仿宋" w:cs="Times New Roman" w:hAnsi="Times New Roman" w:hint="eastAsia"/>
          <w:b/>
          <w:bCs/>
          <w:sz w:val="32"/>
          <w:szCs w:val="32"/>
          <w:lang w:val="en-US" w:eastAsia="zh-CN"/>
        </w:rPr>
        <w:t>216</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rPr>
        <w:t>商业流通事务</w:t>
      </w:r>
      <w:r>
        <w:rPr>
          <w:rStyle w:val="25"/>
          <w:rFonts w:ascii="Times New Roman" w:eastAsia="仿宋" w:cs="Times New Roman" w:hAnsi="Times New Roman"/>
          <w:bCs/>
          <w:sz w:val="32"/>
          <w:szCs w:val="32"/>
        </w:rPr>
        <w:t>（</w:t>
      </w:r>
      <w:r>
        <w:rPr>
          <w:rStyle w:val="25"/>
          <w:rFonts w:ascii="Times New Roman" w:eastAsia="仿宋" w:cs="Times New Roman" w:hAnsi="Times New Roman" w:hint="eastAsia"/>
          <w:bCs/>
          <w:sz w:val="32"/>
          <w:szCs w:val="32"/>
          <w:lang w:val="en-US" w:eastAsia="zh-CN"/>
        </w:rPr>
        <w:t>02</w:t>
      </w:r>
      <w:r>
        <w:rPr>
          <w:rStyle w:val="25"/>
          <w:rFonts w:ascii="Times New Roman" w:eastAsia="仿宋" w:cs="Times New Roman" w:hAnsi="Times New Roman"/>
          <w:bCs/>
          <w:sz w:val="32"/>
          <w:szCs w:val="32"/>
        </w:rPr>
        <w:t>）:</w:t>
      </w:r>
      <w:r>
        <w:rPr>
          <w:rStyle w:val="25"/>
          <w:rFonts w:ascii="Times New Roman" w:eastAsia="仿宋" w:cs="Times New Roman" w:hAnsi="Times New Roman"/>
          <w:b w:val="0"/>
          <w:bCs/>
          <w:sz w:val="32"/>
          <w:szCs w:val="32"/>
        </w:rPr>
        <w:t>支出决算为</w:t>
      </w:r>
      <w:r>
        <w:rPr>
          <w:rStyle w:val="25"/>
          <w:rFonts w:eastAsia="仿宋" w:cs="Times New Roman" w:hint="eastAsia"/>
          <w:b w:val="0"/>
          <w:bCs/>
          <w:sz w:val="32"/>
          <w:szCs w:val="32"/>
          <w:lang w:val="en-US" w:eastAsia="zh-CN"/>
        </w:rPr>
        <w:t>163.53</w:t>
      </w:r>
      <w:r>
        <w:rPr>
          <w:rStyle w:val="25"/>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5"/>
          <w:rFonts w:ascii="Times New Roman" w:eastAsia="仿宋" w:cs="Times New Roman" w:hAnsi="Times New Roman"/>
          <w:b w:val="0"/>
          <w:bCs/>
          <w:sz w:val="32"/>
          <w:szCs w:val="32"/>
        </w:rPr>
      </w:pPr>
      <w:r>
        <w:rPr>
          <w:rFonts w:ascii="Times New Roman" w:cs="Times New Roman" w:hAnsi="Times New Roman" w:hint="eastAsia"/>
          <w:lang w:val="en-US" w:eastAsia="zh-CN"/>
        </w:rPr>
        <w:t>5</w:t>
      </w:r>
      <w:r>
        <w:rPr>
          <w:rFonts w:ascii="Times New Roman" w:cs="Times New Roman" w:hAnsi="Times New Roman"/>
        </w:rPr>
        <w:t>.</w:t>
      </w:r>
      <w:r>
        <w:rPr>
          <w:rFonts w:ascii="Times New Roman" w:cs="Times New Roman" w:hAnsi="Times New Roman" w:hint="eastAsia"/>
          <w:lang w:val="en-US" w:eastAsia="zh-CN"/>
        </w:rPr>
        <w:t>1</w:t>
      </w:r>
      <w:r>
        <w:rPr>
          <w:rFonts w:ascii="Times New Roman" w:cs="Times New Roman" w:hAnsi="Times New Roman" w:hint="eastAsia"/>
        </w:rPr>
        <w:t xml:space="preserve"> 行政运行</w:t>
      </w:r>
      <w:r>
        <w:rPr>
          <w:rFonts w:ascii="Times New Roman" w:cs="Times New Roman" w:hAnsi="Times New Roman"/>
        </w:rPr>
        <w:t>（01）：</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hint="eastAsia"/>
          <w:b w:val="0"/>
          <w:bCs/>
          <w:sz w:val="32"/>
          <w:szCs w:val="32"/>
          <w:lang w:val="en-US" w:eastAsia="zh-CN"/>
        </w:rPr>
        <w:t>137.53</w:t>
      </w:r>
      <w:r>
        <w:rPr>
          <w:rStyle w:val="25"/>
          <w:rFonts w:ascii="Times New Roman" w:eastAsia="仿宋" w:cs="Times New Roman" w:hAnsi="Times New Roman"/>
          <w:b w:val="0"/>
          <w:bCs/>
          <w:sz w:val="32"/>
          <w:szCs w:val="32"/>
        </w:rPr>
        <w:t>万元，完成预算100%。</w:t>
      </w:r>
    </w:p>
    <w:p>
      <w:pPr>
        <w:pStyle w:val="15"/>
        <w:pageBreakBefore w:val="0"/>
        <w:widowControl w:val="0"/>
        <w:kinsoku/>
        <w:wordWrap/>
        <w:overflowPunct/>
        <w:topLinePunct w:val="0"/>
        <w:bidi w:val="0"/>
        <w:spacing w:line="576" w:lineRule="exact"/>
        <w:ind w:firstLineChars="200" w:firstLine="600"/>
        <w:rPr>
          <w:rStyle w:val="25"/>
          <w:rFonts w:ascii="Times New Roman" w:eastAsia="仿宋" w:cs="Times New Roman" w:hAnsi="Times New Roman"/>
          <w:b w:val="0"/>
          <w:bCs/>
          <w:sz w:val="32"/>
          <w:szCs w:val="32"/>
        </w:rPr>
      </w:pPr>
      <w:r>
        <w:rPr>
          <w:rFonts w:ascii="Times New Roman" w:cs="Times New Roman" w:hAnsi="Times New Roman" w:hint="eastAsia"/>
          <w:lang w:val="en-US" w:eastAsia="zh-CN"/>
        </w:rPr>
        <w:t>5</w:t>
      </w:r>
      <w:r>
        <w:rPr>
          <w:rFonts w:ascii="Times New Roman" w:cs="Times New Roman" w:hAnsi="Times New Roman"/>
        </w:rPr>
        <w:t>.</w:t>
      </w:r>
      <w:r>
        <w:rPr>
          <w:rFonts w:ascii="Times New Roman" w:cs="Times New Roman" w:hAnsi="Times New Roman" w:hint="eastAsia"/>
          <w:lang w:val="en-US" w:eastAsia="zh-CN"/>
        </w:rPr>
        <w:t>2</w:t>
      </w:r>
      <w:r>
        <w:rPr>
          <w:rFonts w:ascii="Times New Roman" w:cs="Times New Roman" w:hAnsi="Times New Roman" w:hint="eastAsia"/>
        </w:rPr>
        <w:t>其他商业流通事务支出</w:t>
      </w:r>
      <w:r>
        <w:rPr>
          <w:rFonts w:ascii="Times New Roman" w:cs="Times New Roman" w:hAnsi="Times New Roman"/>
        </w:rPr>
        <w:t>（</w:t>
      </w:r>
      <w:r>
        <w:rPr>
          <w:rFonts w:ascii="Times New Roman" w:cs="Times New Roman" w:hAnsi="Times New Roman" w:hint="eastAsia"/>
          <w:lang w:val="en-US" w:eastAsia="zh-CN"/>
        </w:rPr>
        <w:t>99</w:t>
      </w:r>
      <w:r>
        <w:rPr>
          <w:rFonts w:ascii="Times New Roman" w:cs="Times New Roman" w:hAnsi="Times New Roman"/>
        </w:rPr>
        <w:t>）：</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hint="eastAsia"/>
          <w:b w:val="0"/>
          <w:bCs/>
          <w:sz w:val="32"/>
          <w:szCs w:val="32"/>
          <w:lang w:val="en-US" w:eastAsia="zh-CN"/>
        </w:rPr>
        <w:t>26</w:t>
      </w:r>
      <w:r>
        <w:rPr>
          <w:rStyle w:val="25"/>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Times New Roman" w:eastAsia="仿宋" w:cs="Times New Roman" w:hAnsi="Times New Roman"/>
          <w:b w:val="0"/>
          <w:bCs/>
          <w:sz w:val="32"/>
          <w:szCs w:val="32"/>
        </w:rPr>
      </w:pPr>
      <w:r>
        <w:rPr>
          <w:rStyle w:val="25"/>
          <w:rFonts w:eastAsia="仿宋" w:cs="Times New Roman" w:hint="eastAsia"/>
          <w:bCs/>
          <w:sz w:val="32"/>
          <w:szCs w:val="32"/>
          <w:lang w:val="en-US" w:eastAsia="zh-CN"/>
        </w:rPr>
        <w:t>6</w:t>
      </w:r>
      <w:r>
        <w:rPr>
          <w:rStyle w:val="25"/>
          <w:rFonts w:ascii="Times New Roman" w:eastAsia="仿宋" w:cs="Times New Roman" w:hAnsi="Times New Roman"/>
          <w:bCs/>
          <w:sz w:val="32"/>
          <w:szCs w:val="32"/>
        </w:rPr>
        <w:t>.</w:t>
      </w:r>
      <w:r>
        <w:rPr>
          <w:rFonts w:ascii="Times New Roman" w:eastAsia="仿宋" w:cs="Times New Roman" w:hAnsi="Times New Roman"/>
          <w:b/>
          <w:bCs/>
          <w:sz w:val="32"/>
          <w:szCs w:val="32"/>
        </w:rPr>
        <w:t>住房保障</w:t>
      </w:r>
      <w:r>
        <w:rPr>
          <w:rStyle w:val="25"/>
          <w:rFonts w:ascii="Times New Roman" w:eastAsia="仿宋" w:cs="Times New Roman" w:hAnsi="Times New Roman"/>
          <w:bCs/>
          <w:sz w:val="32"/>
          <w:szCs w:val="32"/>
        </w:rPr>
        <w:t>（221）住房改革（02）住房公积金（01）:</w:t>
      </w:r>
      <w:r>
        <w:rPr>
          <w:rStyle w:val="25"/>
          <w:rFonts w:ascii="Times New Roman" w:eastAsia="仿宋" w:cs="Times New Roman" w:hAnsi="Times New Roman"/>
          <w:b w:val="0"/>
          <w:bCs/>
          <w:sz w:val="32"/>
          <w:szCs w:val="32"/>
        </w:rPr>
        <w:t>支出决算为</w:t>
      </w:r>
      <w:r>
        <w:rPr>
          <w:rStyle w:val="25"/>
          <w:rFonts w:eastAsia="仿宋" w:cs="Times New Roman" w:hint="eastAsia"/>
          <w:b w:val="0"/>
          <w:bCs/>
          <w:sz w:val="32"/>
          <w:szCs w:val="32"/>
          <w:lang w:val="en-US" w:eastAsia="zh-CN"/>
        </w:rPr>
        <w:t>10.78</w:t>
      </w:r>
      <w:r>
        <w:rPr>
          <w:rStyle w:val="25"/>
          <w:rFonts w:ascii="Times New Roman" w:eastAsia="仿宋" w:cs="Times New Roman" w:hAnsi="Times New Roman"/>
          <w:b w:val="0"/>
          <w:bCs/>
          <w:sz w:val="32"/>
          <w:szCs w:val="32"/>
        </w:rPr>
        <w:t>万元，完成预算100%。</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bookmarkStart w:id="55" w:name="_Toc15396608"/>
      <w:bookmarkStart w:id="56" w:name="_Toc15377214"/>
      <w:bookmarkStart w:id="57" w:name="_Toc26843617"/>
      <w:r>
        <w:rPr>
          <w:rFonts w:ascii="Times New Roman" w:eastAsia="黑体" w:cs="Times New Roman" w:hAnsi="Times New Roman"/>
          <w:color w:val="auto"/>
          <w:sz w:val="32"/>
          <w:szCs w:val="32"/>
        </w:rPr>
        <w:t>六</w:t>
      </w:r>
      <w:r>
        <w:rPr>
          <w:rFonts w:ascii="Times New Roman" w:eastAsia="黑体" w:cs="Times New Roman" w:hAnsi="Times New Roman"/>
          <w:b/>
          <w:color w:val="auto"/>
          <w:sz w:val="32"/>
          <w:szCs w:val="32"/>
        </w:rPr>
        <w:t>、一</w:t>
      </w:r>
      <w:r>
        <w:rPr>
          <w:rStyle w:val="2Char"/>
          <w:rFonts w:ascii="Times New Roman" w:eastAsia="黑体" w:cs="Times New Roman" w:hAnsi="Times New Roman"/>
          <w:b w:val="0"/>
          <w:color w:val="auto"/>
        </w:rPr>
        <w:t>般公共预算财政拨款基本支出决算情况说明</w:t>
      </w:r>
      <w:bookmarkEnd w:id="55"/>
      <w:bookmarkEnd w:id="56"/>
      <w:r>
        <w:rPr>
          <w:rStyle w:val="2Char"/>
          <w:rFonts w:ascii="Times New Roman" w:eastAsia="黑体" w:cs="Times New Roman" w:hAnsi="Times New Roman"/>
          <w:b w:val="0"/>
        </w:rPr>
        <w:tab/>
      </w:r>
      <w:bookmarkEnd w:id="57"/>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一般公共预算财政拨款基本支出</w:t>
      </w:r>
      <w:r>
        <w:rPr>
          <w:rFonts w:eastAsia="仿宋_GB2312" w:cs="Times New Roman" w:hint="eastAsia"/>
          <w:sz w:val="32"/>
          <w:szCs w:val="32"/>
          <w:lang w:val="en-US" w:eastAsia="zh-CN"/>
        </w:rPr>
        <w:t>176.29</w:t>
      </w:r>
      <w:r>
        <w:rPr>
          <w:rFonts w:ascii="Times New Roman" w:eastAsia="仿宋_GB2312" w:cs="Times New Roman" w:hAnsi="Times New Roman"/>
          <w:sz w:val="32"/>
          <w:szCs w:val="32"/>
        </w:rPr>
        <w:t>万元，其中：</w:t>
      </w:r>
    </w:p>
    <w:p>
      <w:pPr>
        <w:pageBreakBefore w:val="0"/>
        <w:widowControl w:val="0"/>
        <w:kinsoku/>
        <w:wordWrap/>
        <w:overflowPunct/>
        <w:topLinePunct w:val="0"/>
        <w:bidi w:val="0"/>
        <w:spacing w:line="576" w:lineRule="exact"/>
        <w:ind w:firstLine="645"/>
        <w:rPr>
          <w:rFonts w:hint="eastAsia"/>
        </w:rPr>
      </w:pPr>
      <w:r>
        <w:rPr>
          <w:rFonts w:ascii="仿宋" w:eastAsia="仿宋" w:hint="eastAsia"/>
          <w:color w:val="000000"/>
          <w:sz w:val="32"/>
          <w:szCs w:val="32"/>
          <w:lang w:eastAsia="zh-CN"/>
        </w:rPr>
        <w:drawing>
          <wp:anchor distT="0" distB="0" distL="114300" distR="114300" simplePos="0" relativeHeight="33" behindDoc="0" locked="0" layoutInCell="1" hidden="0" allowOverlap="1">
            <wp:simplePos x="0" y="0"/>
            <wp:positionH relativeFrom="column">
              <wp:posOffset>175895</wp:posOffset>
            </wp:positionH>
            <wp:positionV relativeFrom="page">
              <wp:posOffset>6019800</wp:posOffset>
            </wp:positionV>
            <wp:extent cx="4906645" cy="3445509"/>
            <wp:effectExtent l="0" t="0" r="0" b="0"/>
            <wp:wrapSquare wrapText="bothSides"/>
            <wp:docPr id="7" name="图表 8"/>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Times New Roman" w:eastAsia="仿宋_GB2312" w:cs="Times New Roman" w:hAnsi="Times New Roman" w:hint="eastAsia"/>
          <w:sz w:val="32"/>
          <w:szCs w:val="32"/>
        </w:rPr>
        <w:t>人员经费163.82万元，主要包括：基本工资32.67万元、津贴补贴35.33万元、奖金25.7万元、机关事业单位基本养老保险缴费12.57万元、职业年金缴费6.28万元、职工基本医疗保险缴费5.46万元、公务员医疗补助缴费3.67万元、其他社会保障缴费0.95万元、住房公积金10.78万元、生活补助14.57万元、抚恤金0万元、奖励金15.83万元。</w:t>
      </w:r>
    </w:p>
    <w:p>
      <w:pPr>
        <w:spacing w:line="600" w:lineRule="exact"/>
        <w:ind w:firstLine="640"/>
        <w:rPr>
          <w:rFonts w:ascii="Times New Roman" w:cs="Times New Roman" w:hAnsi="Times New Roman"/>
        </w:rPr>
      </w:pPr>
      <w:r>
        <w:rPr>
          <w:rFonts w:ascii="仿宋" w:eastAsia="仿宋" w:hint="eastAsia"/>
          <w:color w:val="000000"/>
          <w:sz w:val="32"/>
          <w:szCs w:val="32"/>
        </w:rPr>
        <w:t>公用经费</w:t>
      </w:r>
      <w:r>
        <w:rPr>
          <w:rFonts w:ascii="仿宋" w:eastAsia="仿宋" w:hint="eastAsia"/>
          <w:color w:val="000000"/>
          <w:sz w:val="32"/>
          <w:szCs w:val="32"/>
          <w:lang w:val="en-US" w:eastAsia="zh-CN"/>
        </w:rPr>
        <w:t>12.47</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4.39</w:t>
      </w:r>
      <w:r>
        <w:rPr>
          <w:rFonts w:ascii="仿宋" w:eastAsia="仿宋" w:hint="eastAsia"/>
          <w:color w:val="000000"/>
          <w:sz w:val="32"/>
          <w:szCs w:val="32"/>
        </w:rPr>
        <w:t>万元、水费0.1万元、电费0.2万元、邮电费0.65万元、差旅费</w:t>
      </w:r>
      <w:r>
        <w:rPr>
          <w:rFonts w:ascii="仿宋" w:eastAsia="仿宋" w:hint="eastAsia"/>
          <w:color w:val="000000"/>
          <w:sz w:val="32"/>
          <w:szCs w:val="32"/>
          <w:lang w:val="en-US" w:eastAsia="zh-CN"/>
        </w:rPr>
        <w:t>3.8</w:t>
      </w:r>
      <w:r>
        <w:rPr>
          <w:rFonts w:ascii="仿宋" w:eastAsia="仿宋" w:hint="eastAsia"/>
          <w:color w:val="000000"/>
          <w:sz w:val="32"/>
          <w:szCs w:val="32"/>
        </w:rPr>
        <w:t>万元、</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0.6、</w:t>
      </w:r>
      <w:r>
        <w:rPr>
          <w:rFonts w:ascii="仿宋" w:eastAsia="仿宋" w:hint="eastAsia"/>
          <w:color w:val="000000"/>
          <w:sz w:val="32"/>
          <w:szCs w:val="32"/>
        </w:rPr>
        <w:t>其他交通费用</w:t>
      </w:r>
      <w:r>
        <w:rPr>
          <w:rFonts w:ascii="仿宋" w:eastAsia="仿宋" w:hint="eastAsia"/>
          <w:color w:val="000000"/>
          <w:sz w:val="32"/>
          <w:szCs w:val="32"/>
          <w:lang w:val="en-US" w:eastAsia="zh-CN"/>
        </w:rPr>
        <w:t>2.73</w:t>
      </w:r>
      <w:r>
        <w:rPr>
          <w:rFonts w:ascii="仿宋" w:eastAsia="仿宋" w:hint="eastAsia"/>
          <w:color w:val="000000"/>
          <w:sz w:val="32"/>
          <w:szCs w:val="32"/>
        </w:rPr>
        <w:t>万元。</w:t>
      </w:r>
      <w:r>
        <w:rPr>
          <w:rFonts w:ascii="仿宋" w:eastAsia="仿宋" w:hint="eastAsia"/>
          <w:color w:val="000000"/>
          <w:sz w:val="32"/>
          <w:szCs w:val="32"/>
          <w:lang w:eastAsia="zh-CN"/>
        </w:rPr>
        <w:drawing>
          <wp:anchor distT="0" distB="0" distL="114300" distR="114300" simplePos="0" relativeHeight="31" behindDoc="0" locked="0" layoutInCell="1" hidden="0" allowOverlap="1">
            <wp:simplePos x="0" y="0"/>
            <wp:positionH relativeFrom="column">
              <wp:posOffset>280034</wp:posOffset>
            </wp:positionH>
            <wp:positionV relativeFrom="page">
              <wp:posOffset>2171700</wp:posOffset>
            </wp:positionV>
            <wp:extent cx="4868545" cy="3216275"/>
            <wp:effectExtent l="0" t="0" r="0" b="0"/>
            <wp:wrapSquare wrapText="bothSides"/>
            <wp:docPr id="8" name="图表 6"/>
            <wp:cNvGraphicFramePr>
              <a:graphicFrameLocks noChangeAspect="0"/>
            </wp:cNvGraphicFramePr>
            <a:graphic>
              <a:graphicData uri="http://schemas.openxmlformats.org/drawingml/2006/chart">
                <c:chart xmlns:c="http://schemas.openxmlformats.org/drawingml/2006/chart" r:id="rId11"/>
              </a:graphicData>
            </a:graphic>
          </wp:anchor>
        </w:drawing>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58" w:name="_Toc26843618"/>
      <w:bookmarkStart w:id="59" w:name="_Toc15396609"/>
      <w:bookmarkStart w:id="60" w:name="_Toc15377215"/>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8"/>
      <w:bookmarkEnd w:id="59"/>
      <w:bookmarkEnd w:id="60"/>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1" w:name="_Toc15377216"/>
      <w:r>
        <w:rPr>
          <w:rFonts w:ascii="Times New Roman" w:eastAsia="仿宋" w:cs="Times New Roman" w:hAnsi="Times New Roman"/>
          <w:b/>
          <w:sz w:val="32"/>
          <w:szCs w:val="32"/>
        </w:rPr>
        <w:t>（一）“三公”经费财政拨款支出决算总体情况说明</w:t>
      </w:r>
      <w:bookmarkEnd w:id="61"/>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“三公”经费财政拨款支出决算为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万元，完成预算</w:t>
      </w:r>
      <w:r>
        <w:rPr>
          <w:rFonts w:eastAsia="仿宋_GB2312" w:cs="Times New Roman" w:hint="eastAsia"/>
          <w:sz w:val="32"/>
          <w:szCs w:val="32"/>
          <w:lang w:val="en-US" w:eastAsia="zh-CN"/>
        </w:rPr>
        <w:t>0</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2" w:name="_Toc15377217"/>
      <w:r>
        <w:rPr>
          <w:rFonts w:ascii="Times New Roman" w:eastAsia="仿宋" w:cs="Times New Roman" w:hAnsi="Times New Roman"/>
          <w:b/>
          <w:sz w:val="32"/>
          <w:szCs w:val="32"/>
        </w:rPr>
        <w:t>（二）“三公”经费财政拨款支出决算具体情况说明</w:t>
      </w:r>
      <w:bookmarkEnd w:id="62"/>
    </w:p>
    <w:p>
      <w:pPr>
        <w:spacing w:line="600" w:lineRule="exact"/>
        <w:ind w:firstLineChars="200" w:firstLine="640"/>
        <w:rPr>
          <w:rFonts w:ascii="仿宋_GB2312" w:eastAsia="仿宋_GB2312" w:hint="eastAsia"/>
          <w:color w:val="000000"/>
          <w:sz w:val="32"/>
          <w:szCs w:val="32"/>
        </w:rPr>
      </w:pPr>
      <w:r>
        <w:rPr>
          <w:rFonts w:eastAsia="仿宋_GB2312" w:cs="Times New Roman" w:hint="eastAsia"/>
          <w:sz w:val="32"/>
          <w:szCs w:val="32"/>
          <w:lang w:eastAsia="zh-CN"/>
        </w:rPr>
        <w:t>2022年因公出国（境）费支出0元，较2021年0元对比，持平。2022年公务用车购置及运行维护费0万元,其中：公务用车购置费支出0元，较2021年0元对比，持平；公务用车运行维护费支出0万元，较2021年0元对比，持平；公务接待费支出0万元，较2021年0元对比，</w:t>
      </w:r>
      <w:r>
        <w:rPr>
          <w:rFonts w:ascii="仿宋_GB2312" w:eastAsia="仿宋_GB2312" w:hint="eastAsia"/>
          <w:color w:val="000000"/>
          <w:sz w:val="32"/>
          <w:szCs w:val="32"/>
        </w:rPr>
        <w:t>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人次，共计支出</w:t>
      </w:r>
      <w:r>
        <w:rPr>
          <w:rFonts w:ascii="仿宋_GB2312" w:eastAsia="仿宋_GB2312"/>
          <w:color w:val="000000"/>
          <w:sz w:val="32"/>
          <w:szCs w:val="32"/>
        </w:rPr>
        <w:t>0</w:t>
      </w:r>
      <w:bookmarkStart w:id="63" w:name="_GoBack"/>
      <w:bookmarkEnd w:id="63"/>
      <w:r>
        <w:rPr>
          <w:rFonts w:ascii="仿宋_GB2312" w:eastAsia="仿宋_GB2312" w:hint="eastAsia"/>
          <w:color w:val="000000"/>
          <w:sz w:val="32"/>
          <w:szCs w:val="32"/>
        </w:rPr>
        <w:t>万元。</w:t>
      </w:r>
    </w:p>
    <w:p>
      <w:pPr>
        <w:pageBreakBefore w:val="0"/>
        <w:widowControl w:val="0"/>
        <w:kinsoku/>
        <w:wordWrap/>
        <w:overflowPunct/>
        <w:topLinePunct w:val="0"/>
        <w:spacing w:line="576" w:lineRule="exact"/>
        <w:ind w:firstLine="640"/>
        <w:rPr>
          <w:rFonts w:eastAsia="仿宋_GB2312"/>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r>
        <w:rPr>
          <w:rFonts w:eastAsia="仿宋_GB2312" w:cs="Times New Roman" w:hint="eastAsia"/>
          <w:sz w:val="32"/>
          <w:szCs w:val="32"/>
          <w:lang w:eastAsia="zh-CN"/>
        </w:rPr>
        <w:t>持平。</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 w:cs="Times New Roman" w:hAnsi="Times New Roman"/>
          <w:sz w:val="32"/>
          <w:szCs w:val="32"/>
        </w:rPr>
        <w:t>具体情况如下：</w:t>
      </w:r>
    </w:p>
    <w:tbl>
      <w:tblPr>
        <w:tblpPr w:leftFromText="180" w:rightFromText="180" w:vertAnchor="text" w:horzAnchor="page" w:tblpX="1904" w:tblpY="379"/>
        <w:tblOverlap w:val="never"/>
        <w:tblW w:w="8537"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216"/>
        <w:gridCol w:w="1384"/>
        <w:gridCol w:w="1314"/>
        <w:gridCol w:w="1609"/>
        <w:gridCol w:w="1014"/>
      </w:tblGrid>
      <w:tr>
        <w:trPr>
          <w:trHeight w:val="1040"/>
        </w:trPr>
        <w:tc>
          <w:tcPr>
            <w:tcW w:w="3216"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　</w:t>
            </w:r>
          </w:p>
        </w:tc>
        <w:tc>
          <w:tcPr>
            <w:tcW w:w="138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202</w:t>
            </w:r>
            <w:r>
              <w:rPr>
                <w:rFonts w:ascii="仿宋_GB2312" w:cs="宋体" w:hAnsi="仿宋_GB2312" w:hint="eastAsia"/>
                <w:color w:val="333333"/>
                <w:kern w:val="0"/>
                <w:sz w:val="21"/>
                <w:szCs w:val="21"/>
                <w:lang w:val="en-US" w:eastAsia="zh-CN"/>
              </w:rPr>
              <w:t>2</w:t>
            </w:r>
            <w:r>
              <w:rPr>
                <w:rFonts w:ascii="仿宋_GB2312" w:eastAsia="仿宋_GB2312" w:cs="宋体" w:hint="eastAsia"/>
                <w:color w:val="333333"/>
                <w:kern w:val="0"/>
                <w:sz w:val="21"/>
                <w:szCs w:val="21"/>
                <w:lang w:val="zh-CN"/>
              </w:rPr>
              <w:t>年</w:t>
            </w:r>
          </w:p>
        </w:tc>
        <w:tc>
          <w:tcPr>
            <w:tcW w:w="131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202</w:t>
            </w:r>
            <w:r>
              <w:rPr>
                <w:rFonts w:ascii="仿宋_GB2312" w:cs="宋体" w:hAnsi="仿宋_GB2312" w:hint="eastAsia"/>
                <w:color w:val="333333"/>
                <w:kern w:val="0"/>
                <w:sz w:val="21"/>
                <w:szCs w:val="21"/>
                <w:lang w:val="en-US" w:eastAsia="zh-CN"/>
              </w:rPr>
              <w:t>1</w:t>
            </w:r>
            <w:r>
              <w:rPr>
                <w:rFonts w:ascii="仿宋_GB2312" w:eastAsia="仿宋_GB2312" w:cs="宋体" w:hint="eastAsia"/>
                <w:color w:val="333333"/>
                <w:kern w:val="0"/>
                <w:sz w:val="21"/>
                <w:szCs w:val="21"/>
                <w:lang w:val="zh-CN"/>
              </w:rPr>
              <w:t>年</w:t>
            </w:r>
          </w:p>
        </w:tc>
        <w:tc>
          <w:tcPr>
            <w:tcW w:w="1609"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比上年增减</w:t>
            </w:r>
          </w:p>
        </w:tc>
        <w:tc>
          <w:tcPr>
            <w:tcW w:w="101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增减％</w:t>
            </w:r>
          </w:p>
        </w:tc>
      </w:tr>
      <w:tr>
        <w:trPr>
          <w:trHeight w:val="525"/>
        </w:trPr>
        <w:tc>
          <w:tcPr>
            <w:tcW w:w="3216"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“三公”经费支出</w:t>
            </w:r>
          </w:p>
        </w:tc>
        <w:tc>
          <w:tcPr>
            <w:tcW w:w="138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3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525"/>
        </w:trPr>
        <w:tc>
          <w:tcPr>
            <w:tcW w:w="3216"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因公出国（境）费</w:t>
            </w:r>
          </w:p>
        </w:tc>
        <w:tc>
          <w:tcPr>
            <w:tcW w:w="138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3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1040"/>
        </w:trPr>
        <w:tc>
          <w:tcPr>
            <w:tcW w:w="3216"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公务用车购置及运行维护费</w:t>
            </w:r>
          </w:p>
        </w:tc>
        <w:tc>
          <w:tcPr>
            <w:tcW w:w="138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3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994"/>
        </w:trPr>
        <w:tc>
          <w:tcPr>
            <w:tcW w:w="3216"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其中：公务用车购置费</w:t>
            </w:r>
          </w:p>
        </w:tc>
        <w:tc>
          <w:tcPr>
            <w:tcW w:w="138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3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994"/>
        </w:trPr>
        <w:tc>
          <w:tcPr>
            <w:tcW w:w="3216"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公务用车运行维护费</w:t>
            </w:r>
          </w:p>
        </w:tc>
        <w:tc>
          <w:tcPr>
            <w:tcW w:w="138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3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534"/>
        </w:trPr>
        <w:tc>
          <w:tcPr>
            <w:tcW w:w="3216"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公务接待费</w:t>
            </w:r>
          </w:p>
        </w:tc>
        <w:tc>
          <w:tcPr>
            <w:tcW w:w="138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3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bl>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ascii="仿宋_GB2312" w:eastAsia="仿宋_GB2312" w:cs="Times New Roman" w:hint="eastAsia"/>
          <w:bCs/>
          <w:sz w:val="32"/>
          <w:szCs w:val="32"/>
          <w:lang w:val="zh-CN"/>
        </w:rPr>
      </w:pPr>
    </w:p>
    <w:p>
      <w:pPr>
        <w:pageBreakBefore w:val="0"/>
        <w:widowControl w:val="0"/>
        <w:kinsoku/>
        <w:wordWrap/>
        <w:overflowPunct/>
        <w:topLinePunct w:val="0"/>
        <w:bidi w:val="0"/>
        <w:spacing w:line="576" w:lineRule="exact"/>
        <w:outlineLvl w:val="1"/>
        <w:rPr>
          <w:rFonts w:ascii="Times New Roman" w:eastAsia="黑体" w:cs="Times New Roman" w:hAnsi="Times New Roman"/>
          <w:sz w:val="32"/>
          <w:szCs w:val="32"/>
          <w:lang w:val="en-US" w:eastAsia="zh-CN"/>
        </w:rPr>
      </w:pPr>
      <w:bookmarkStart w:id="64" w:name="_Toc15396610"/>
      <w:bookmarkStart w:id="65"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66"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4"/>
      <w:bookmarkEnd w:id="65"/>
      <w:bookmarkEnd w:id="66"/>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7" w:name="_Toc15396611"/>
      <w:bookmarkStart w:id="68" w:name="_Toc26843620"/>
      <w:bookmarkStart w:id="69" w:name="_Toc15377219"/>
      <w:r>
        <w:rPr>
          <w:rStyle w:val="2Char"/>
          <w:rFonts w:ascii="Times New Roman" w:eastAsia="黑体" w:cs="Times New Roman" w:hAnsi="Times New Roman"/>
          <w:b w:val="0"/>
        </w:rPr>
        <w:t>国有资本经营预算支出决算情况说明</w:t>
      </w:r>
      <w:bookmarkEnd w:id="67"/>
      <w:bookmarkEnd w:id="68"/>
      <w:bookmarkEnd w:id="69"/>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国有资本经营预算财政拨款支出0万元。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0" w:name="_Toc15396612"/>
      <w:bookmarkStart w:id="71" w:name="_Toc26843621"/>
      <w:bookmarkStart w:id="72" w:name="_Toc15377221"/>
      <w:r>
        <w:rPr>
          <w:rStyle w:val="2Char"/>
          <w:rFonts w:ascii="Times New Roman" w:eastAsia="黑体" w:cs="Times New Roman" w:hAnsi="Times New Roman"/>
          <w:b w:val="0"/>
        </w:rPr>
        <w:t>其他重要事项的情况说明</w:t>
      </w:r>
      <w:bookmarkEnd w:id="70"/>
      <w:bookmarkEnd w:id="71"/>
      <w:bookmarkEnd w:id="7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73" w:name="_Toc15377222"/>
      <w:r>
        <w:rPr>
          <w:rFonts w:ascii="Times New Roman" w:eastAsia="仿宋" w:cs="Times New Roman" w:hAnsi="Times New Roman"/>
          <w:b/>
          <w:sz w:val="32"/>
          <w:szCs w:val="32"/>
        </w:rPr>
        <w:t>（一）机关运行经费支出情况</w:t>
      </w:r>
      <w:bookmarkEnd w:id="73"/>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eastAsia="仿宋_GB2312" w:cs="Times New Roman" w:hint="eastAsia"/>
          <w:sz w:val="32"/>
          <w:szCs w:val="32"/>
          <w:lang w:eastAsia="zh-CN"/>
        </w:rPr>
        <w:t>2022年，金川县供销合作社联合社运行经费支出12.47万元，比2021年减少0.49万元，下降3.78%。主要原因为办公费等有所减少。</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4" w:name="_Toc15377223"/>
      <w:r>
        <w:rPr>
          <w:rFonts w:ascii="Times New Roman" w:eastAsia="仿宋" w:cs="Times New Roman" w:hAnsi="Times New Roman"/>
          <w:b/>
          <w:sz w:val="32"/>
          <w:szCs w:val="32"/>
        </w:rPr>
        <w:t>（二）政府采购支出情况</w:t>
      </w:r>
      <w:bookmarkEnd w:id="74"/>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eastAsia="仿宋_GB2312" w:cs="Times New Roman" w:hint="eastAsia"/>
          <w:sz w:val="32"/>
          <w:szCs w:val="32"/>
          <w:lang w:eastAsia="zh-CN"/>
        </w:rPr>
        <w:t>2022年</w:t>
      </w:r>
      <w:r>
        <w:rPr>
          <w:rFonts w:ascii="Times New Roman" w:eastAsia="仿宋_GB2312" w:cs="Times New Roman" w:hAnsi="Times New Roman"/>
          <w:sz w:val="32"/>
          <w:szCs w:val="32"/>
        </w:rPr>
        <w:t>，</w:t>
      </w:r>
      <w:r>
        <w:rPr>
          <w:rFonts w:eastAsia="仿宋_GB2312" w:cs="Times New Roman" w:hint="eastAsia"/>
          <w:sz w:val="32"/>
          <w:szCs w:val="32"/>
          <w:lang w:eastAsia="zh-CN"/>
        </w:rPr>
        <w:t>金川县供销合作社联合社</w:t>
      </w:r>
      <w:r>
        <w:rPr>
          <w:rFonts w:ascii="Times New Roman" w:eastAsia="仿宋_GB2312" w:cs="Times New Roman" w:hAnsi="Times New Roman"/>
          <w:sz w:val="32"/>
          <w:szCs w:val="32"/>
        </w:rPr>
        <w:t>采购支出总额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5" w:name="_Toc15377224"/>
      <w:r>
        <w:rPr>
          <w:rFonts w:ascii="Times New Roman" w:eastAsia="仿宋" w:cs="Times New Roman" w:hAnsi="Times New Roman"/>
          <w:b/>
          <w:sz w:val="32"/>
          <w:szCs w:val="32"/>
        </w:rPr>
        <w:t>（三）国有资产占有使用情况</w:t>
      </w:r>
      <w:bookmarkEnd w:id="75"/>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截至</w:t>
      </w:r>
      <w:r>
        <w:rPr>
          <w:rFonts w:ascii="Times New Roman" w:eastAsia="仿宋_GB2312" w:cs="Times New Roman" w:hAnsi="Times New Roman" w:hint="eastAsia"/>
          <w:sz w:val="32"/>
          <w:szCs w:val="32"/>
          <w:lang w:eastAsia="zh-CN"/>
        </w:rPr>
        <w:t>2022年</w:t>
      </w:r>
      <w:r>
        <w:rPr>
          <w:rFonts w:ascii="Times New Roman" w:eastAsia="仿宋_GB2312" w:cs="Times New Roman" w:hAnsi="Times New Roman"/>
          <w:sz w:val="32"/>
          <w:szCs w:val="32"/>
        </w:rPr>
        <w:t>12月31日，</w:t>
      </w:r>
      <w:r>
        <w:rPr>
          <w:rFonts w:ascii="Times New Roman" w:eastAsia="仿宋_GB2312" w:cs="Times New Roman" w:hAnsi="Times New Roman" w:hint="eastAsia"/>
          <w:sz w:val="32"/>
          <w:szCs w:val="32"/>
          <w:lang w:eastAsia="zh-CN"/>
        </w:rPr>
        <w:t>金川县供销合作社联合社</w:t>
      </w:r>
      <w:r>
        <w:rPr>
          <w:rFonts w:ascii="Times New Roman" w:eastAsia="仿宋_GB2312" w:cs="Times New Roman" w:hAnsi="Times New Roman" w:hint="eastAsia"/>
          <w:sz w:val="32"/>
          <w:szCs w:val="32"/>
        </w:rPr>
        <w:t>共有车辆0辆</w:t>
      </w:r>
      <w:r>
        <w:rPr>
          <w:rFonts w:ascii="Times New Roman" w:eastAsia="仿宋_GB2312" w:cs="Times New Roman" w:hAnsi="Times New Roman"/>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w:t>
      </w:r>
      <w:r>
        <w:rPr>
          <w:rFonts w:eastAsia="仿宋_GB2312" w:cs="Times New Roman" w:hint="eastAsia"/>
          <w:sz w:val="32"/>
          <w:szCs w:val="32"/>
          <w:lang w:val="en-US" w:eastAsia="zh-CN"/>
        </w:rPr>
        <w:t>本单位</w:t>
      </w:r>
      <w:r>
        <w:rPr>
          <w:rFonts w:ascii="Times New Roman" w:eastAsia="仿宋_GB2312" w:cs="Times New Roman" w:hAnsi="Times New Roman"/>
          <w:sz w:val="32"/>
          <w:szCs w:val="32"/>
        </w:rPr>
        <w:t>在</w:t>
      </w:r>
      <w:r>
        <w:rPr>
          <w:rFonts w:eastAsia="仿宋_GB2312" w:cs="Times New Roman" w:hint="eastAsia"/>
          <w:sz w:val="32"/>
          <w:szCs w:val="32"/>
          <w:lang w:eastAsia="zh-CN"/>
        </w:rPr>
        <w:t>2022年</w:t>
      </w:r>
      <w:r>
        <w:rPr>
          <w:rFonts w:ascii="Times New Roman" w:eastAsia="仿宋_GB2312" w:cs="Times New Roman" w:hAnsi="Times New Roman"/>
          <w:sz w:val="32"/>
          <w:szCs w:val="32"/>
        </w:rPr>
        <w:t>度预算编制阶段，组织对</w:t>
      </w:r>
      <w:r>
        <w:rPr>
          <w:rFonts w:ascii="Times New Roman" w:eastAsia="仿宋_GB2312" w:cs="Times New Roman" w:hAnsi="Times New Roman" w:hint="eastAsia"/>
          <w:sz w:val="32"/>
          <w:szCs w:val="32"/>
        </w:rPr>
        <w:t>农资储备和价格补贴专项经费</w:t>
      </w:r>
      <w:r>
        <w:rPr>
          <w:rFonts w:ascii="Times New Roman" w:eastAsia="仿宋_GB2312" w:cs="Times New Roman" w:hAnsi="Times New Roman"/>
          <w:sz w:val="32"/>
          <w:szCs w:val="32"/>
        </w:rPr>
        <w:t>项目等</w:t>
      </w:r>
      <w:r>
        <w:rPr>
          <w:rFonts w:eastAsia="仿宋_GB2312" w:cs="Times New Roman" w:hint="eastAsia"/>
          <w:sz w:val="32"/>
          <w:szCs w:val="32"/>
          <w:lang w:val="en-US" w:eastAsia="zh-CN"/>
        </w:rPr>
        <w:t>3</w:t>
      </w:r>
      <w:r>
        <w:rPr>
          <w:rFonts w:ascii="Times New Roman" w:eastAsia="仿宋_GB2312" w:cs="Times New Roman" w:hAnsi="Times New Roman"/>
          <w:sz w:val="32"/>
          <w:szCs w:val="32"/>
        </w:rPr>
        <w:t>个项目开展了预算事前绩效评估，对</w:t>
      </w:r>
      <w:r>
        <w:rPr>
          <w:rFonts w:eastAsia="仿宋_GB2312" w:cs="Times New Roman" w:hint="eastAsia"/>
          <w:sz w:val="32"/>
          <w:szCs w:val="32"/>
          <w:lang w:val="en-US" w:eastAsia="zh-CN"/>
        </w:rPr>
        <w:t>3</w:t>
      </w:r>
      <w:r>
        <w:rPr>
          <w:rFonts w:ascii="Times New Roman" w:eastAsia="仿宋_GB2312" w:cs="Times New Roman" w:hAnsi="Times New Roman"/>
          <w:sz w:val="32"/>
          <w:szCs w:val="32"/>
        </w:rPr>
        <w:t>个项目编制了绩效目标，预算执行过程中，选取</w:t>
      </w:r>
      <w:r>
        <w:rPr>
          <w:rFonts w:eastAsia="仿宋_GB2312" w:cs="Times New Roman" w:hint="eastAsia"/>
          <w:sz w:val="32"/>
          <w:szCs w:val="32"/>
          <w:lang w:val="en-US" w:eastAsia="zh-CN"/>
        </w:rPr>
        <w:t>3</w:t>
      </w:r>
      <w:r>
        <w:rPr>
          <w:rFonts w:ascii="Times New Roman" w:eastAsia="仿宋_GB2312" w:cs="Times New Roman" w:hAnsi="Times New Roman"/>
          <w:sz w:val="32"/>
          <w:szCs w:val="32"/>
        </w:rPr>
        <w:t>个项目开展绩效监控，年终执行完毕后，对</w:t>
      </w:r>
      <w:r>
        <w:rPr>
          <w:rFonts w:eastAsia="仿宋_GB2312" w:cs="Times New Roman" w:hint="eastAsia"/>
          <w:sz w:val="32"/>
          <w:szCs w:val="32"/>
          <w:lang w:val="en-US" w:eastAsia="zh-CN"/>
        </w:rPr>
        <w:t>3</w:t>
      </w:r>
      <w:r>
        <w:rPr>
          <w:rFonts w:ascii="Times New Roman" w:eastAsia="仿宋_GB2312" w:cs="Times New Roman" w:hAnsi="Times New Roman"/>
          <w:sz w:val="32"/>
          <w:szCs w:val="32"/>
        </w:rPr>
        <w:t>个项目开展了绩效自评。同时，本部门对</w:t>
      </w:r>
      <w:r>
        <w:rPr>
          <w:rFonts w:eastAsia="仿宋_GB2312" w:cs="Times New Roman" w:hint="eastAsia"/>
          <w:sz w:val="32"/>
          <w:szCs w:val="32"/>
          <w:lang w:eastAsia="zh-CN"/>
        </w:rPr>
        <w:t>2022年</w:t>
      </w:r>
      <w:r>
        <w:rPr>
          <w:rFonts w:ascii="Times New Roman" w:eastAsia="仿宋_GB2312" w:cs="Times New Roman" w:hAnsi="Times New Roman"/>
          <w:sz w:val="32"/>
          <w:szCs w:val="32"/>
        </w:rPr>
        <w:t>部门整体开展绩效自评，《</w:t>
      </w:r>
      <w:r>
        <w:rPr>
          <w:rFonts w:eastAsia="仿宋_GB2312" w:cs="Times New Roman" w:hint="eastAsia"/>
          <w:sz w:val="32"/>
          <w:szCs w:val="32"/>
          <w:lang w:eastAsia="zh-CN"/>
        </w:rPr>
        <w:t>2022年</w:t>
      </w:r>
      <w:r>
        <w:rPr>
          <w:rFonts w:eastAsia="仿宋_GB2312" w:cs="Times New Roman" w:hint="eastAsia"/>
          <w:sz w:val="32"/>
          <w:szCs w:val="32"/>
          <w:lang w:val="en-US" w:eastAsia="zh-CN"/>
        </w:rPr>
        <w:t>金川县供销合作社联合社</w:t>
      </w:r>
      <w:r>
        <w:rPr>
          <w:rFonts w:ascii="Times New Roman" w:eastAsia="仿宋_GB2312" w:cs="Times New Roman" w:hAnsi="Times New Roman"/>
          <w:sz w:val="32"/>
          <w:szCs w:val="32"/>
        </w:rPr>
        <w:t>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6" w:name="_Toc15377225"/>
      <w:bookmarkStart w:id="77" w:name="_Toc26843622"/>
      <w:bookmarkStart w:id="78" w:name="_Toc15396613"/>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6"/>
      <w:bookmarkEnd w:id="77"/>
      <w:bookmarkEnd w:id="78"/>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9" w:name="_Toc15377226"/>
      <w:r>
        <w:rPr>
          <w:rFonts w:ascii="Times New Roman" w:cs="Times New Roman" w:hAnsi="Times New Roman"/>
          <w:b/>
          <w:sz w:val="44"/>
          <w:szCs w:val="44"/>
        </w:rPr>
        <w:br w:type="page"/>
      </w:r>
      <w:bookmarkStart w:id="80" w:name="_Toc26843623"/>
      <w:bookmarkStart w:id="81" w:name="_Toc15396614"/>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80"/>
      <w:bookmarkEnd w:id="81"/>
    </w:p>
    <w:p>
      <w:pPr>
        <w:pageBreakBefore w:val="0"/>
        <w:widowControl w:val="0"/>
        <w:kinsoku/>
        <w:wordWrap/>
        <w:overflowPunct/>
        <w:topLinePunct w:val="0"/>
        <w:bidi w:val="0"/>
        <w:spacing w:line="576" w:lineRule="exact"/>
        <w:jc w:val="left"/>
        <w:outlineLvl w:val="0"/>
        <w:rPr>
          <w:rFonts w:ascii="Times New Roman" w:eastAsia="黑体" w:cs="Times New Roman" w:hAnsi="Times New Roman" w:hint="eastAsia"/>
          <w:sz w:val="44"/>
          <w:szCs w:val="44"/>
          <w:lang w:val="en-US" w:eastAsia="zh-CN"/>
        </w:rPr>
      </w:pPr>
      <w:bookmarkStart w:id="82" w:name="_Toc26843624"/>
      <w:r>
        <w:rPr>
          <w:rFonts w:ascii="Times New Roman" w:eastAsia="黑体" w:cs="Times New Roman" w:hAnsi="Times New Roman"/>
          <w:sz w:val="32"/>
          <w:szCs w:val="32"/>
        </w:rPr>
        <w:t>附件</w:t>
      </w:r>
      <w:bookmarkEnd w:id="82"/>
      <w:r>
        <w:rPr>
          <w:rFonts w:eastAsia="黑体" w:cs="Times New Roman" w:hint="eastAsia"/>
          <w:sz w:val="32"/>
          <w:szCs w:val="32"/>
          <w:lang w:val="en-US" w:eastAsia="zh-CN"/>
        </w:rPr>
        <w:t>1</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hint="eastAsia"/>
          <w:kern w:val="0"/>
          <w:sz w:val="40"/>
          <w:szCs w:val="44"/>
          <w:lang w:eastAsia="zh-CN"/>
        </w:rPr>
      </w:pPr>
      <w:r>
        <w:rPr>
          <w:rFonts w:eastAsia="方正小标宋简体" w:cs="Times New Roman" w:hint="eastAsia"/>
          <w:kern w:val="0"/>
          <w:sz w:val="40"/>
          <w:szCs w:val="44"/>
          <w:lang w:eastAsia="zh-CN"/>
        </w:rPr>
        <w:t>金川县供销合作社联合社</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eastAsia="方正小标宋简体" w:cs="Times New Roman" w:hint="eastAsia"/>
          <w:kern w:val="0"/>
          <w:sz w:val="40"/>
          <w:szCs w:val="44"/>
          <w:lang w:eastAsia="zh-CN"/>
        </w:rPr>
        <w:t>2022年</w:t>
      </w:r>
      <w:r>
        <w:rPr>
          <w:rFonts w:ascii="Times New Roman" w:eastAsia="方正小标宋简体" w:cs="Times New Roman" w:hAnsi="Times New Roman"/>
          <w:kern w:val="0"/>
          <w:sz w:val="40"/>
          <w:szCs w:val="44"/>
        </w:rPr>
        <w:t>部门整体绩效评价报告</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lang w:val="zh-CN"/>
        </w:rPr>
      </w:pPr>
      <w:r>
        <w:rPr>
          <w:rFonts w:ascii="Times New Roman" w:eastAsia="黑体" w:cs="Times New Roman" w:hAnsi="Times New Roman"/>
          <w:kern w:val="0"/>
          <w:sz w:val="32"/>
          <w:szCs w:val="32"/>
          <w:shd w:val="clear" w:color="auto" w:fill="FFFFFF"/>
        </w:rPr>
        <w:t>一、</w:t>
      </w:r>
      <w:r>
        <w:rPr>
          <w:rFonts w:ascii="Times New Roman" w:eastAsia="黑体" w:cs="Times New Roman" w:hAnsi="Times New Roman"/>
          <w:kern w:val="0"/>
          <w:sz w:val="32"/>
          <w:szCs w:val="32"/>
          <w:shd w:val="clear" w:color="auto" w:fill="FFFFFF"/>
          <w:lang w:val="zh-CN"/>
        </w:rPr>
        <w:t>部门（单位）概况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（一）机构组成。</w:t>
      </w:r>
    </w:p>
    <w:p>
      <w:pPr>
        <w:pStyle w:val="30"/>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kern w:val="0"/>
          <w:sz w:val="32"/>
          <w:szCs w:val="32"/>
        </w:rPr>
      </w:pPr>
      <w:r>
        <w:rPr>
          <w:rFonts w:ascii="仿宋_GB2312" w:eastAsia="仿宋_GB2312" w:cs="宋体" w:hint="eastAsia"/>
          <w:color w:val="000000"/>
          <w:kern w:val="0"/>
          <w:sz w:val="32"/>
          <w:szCs w:val="24"/>
          <w:lang w:val="zh-CN" w:eastAsia="zh-CN"/>
        </w:rPr>
        <w:t>本单位属于一级预算单位，是参公管理的事业单位。</w:t>
      </w:r>
      <w:r>
        <w:rPr>
          <w:rFonts w:ascii="仿宋_GB2312" w:eastAsia="仿宋_GB2312" w:cs="宋体" w:hint="eastAsia"/>
          <w:color w:val="000000"/>
          <w:kern w:val="0"/>
          <w:sz w:val="32"/>
          <w:szCs w:val="24"/>
          <w:lang w:val="en-US" w:eastAsia="zh-CN"/>
        </w:rPr>
        <w:t>设统一核算机构为1个，独立编制机构为1个。</w:t>
      </w:r>
      <w:r>
        <w:rPr>
          <w:rFonts w:ascii="仿宋_GB2312" w:cs="宋体" w:hAnsi="仿宋_GB2312" w:hint="eastAsia"/>
          <w:color w:val="000000"/>
          <w:kern w:val="0"/>
          <w:szCs w:val="32"/>
          <w:shd w:val="clear" w:color="auto" w:fill="FFFFFF"/>
        </w:rPr>
        <w:t xml:space="preserve"> </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（二）机构职能。</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hint="eastAsia"/>
          <w:bCs/>
          <w:kern w:val="0"/>
          <w:sz w:val="32"/>
          <w:szCs w:val="32"/>
          <w:shd w:val="clear" w:color="auto" w:fill="FFFFFF"/>
          <w:lang w:val="zh-CN"/>
        </w:rPr>
        <w:t>一是负责宣传贯彻党和国家有关农村经济工作和社会发展的方针政策，发挥党和政府密切联系农民群众桥梁纽带作用，巩固党在农村的执政基础；执行全国供销合作总社制定的行业管理制度和重大决策部署，执行上级联合社有关决议；二是组织农民入社，提高农民组织化程度，密切与农民在组织上和经济上的联结；向当地党委政府和上级联合社反映农民的诉求，争取扶持政策；三是领办创办农民专业合作社及其联合社，探索开展生产、供销、信用“三位一体”综合合作；组织开展对社员和职工的教育培训</w:t>
      </w:r>
      <w:r>
        <w:rPr>
          <w:rFonts w:ascii="Times New Roman" w:eastAsia="仿宋_GB2312" w:cs="Times New Roman" w:hAnsi="Times New Roman"/>
          <w:bCs/>
          <w:kern w:val="0"/>
          <w:sz w:val="32"/>
          <w:szCs w:val="32"/>
          <w:shd w:val="clear" w:color="auto" w:fill="FFFFFF"/>
          <w:lang w:val="zh-CN"/>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（三）人员概况</w:t>
      </w:r>
      <w:r>
        <w:rPr>
          <w:rFonts w:ascii="Times New Roman" w:eastAsia="仿宋_GB2312" w:cs="Times New Roman" w:hAnsi="Times New Roman"/>
          <w:kern w:val="0"/>
          <w:sz w:val="32"/>
          <w:szCs w:val="32"/>
          <w:shd w:val="clear" w:color="auto" w:fill="FFFFFF"/>
          <w:lang w:val="zh-CN"/>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hint="eastAsia"/>
          <w:bCs/>
          <w:kern w:val="0"/>
          <w:sz w:val="32"/>
          <w:szCs w:val="32"/>
          <w:shd w:val="clear" w:color="auto" w:fill="FFFFFF"/>
          <w:lang w:val="zh-CN"/>
        </w:rPr>
        <w:t>单位</w:t>
      </w:r>
      <w:r>
        <w:rPr>
          <w:rFonts w:eastAsia="仿宋_GB2312" w:cs="Times New Roman" w:hint="eastAsia"/>
          <w:bCs/>
          <w:kern w:val="0"/>
          <w:sz w:val="32"/>
          <w:szCs w:val="32"/>
          <w:shd w:val="clear" w:color="auto" w:fill="FFFFFF"/>
          <w:lang w:val="en-US" w:eastAsia="zh-CN"/>
        </w:rPr>
        <w:t>人员</w:t>
      </w:r>
      <w:r>
        <w:rPr>
          <w:rFonts w:ascii="Times New Roman" w:eastAsia="仿宋_GB2312" w:cs="Times New Roman" w:hAnsi="Times New Roman" w:hint="eastAsia"/>
          <w:bCs/>
          <w:kern w:val="0"/>
          <w:sz w:val="32"/>
          <w:szCs w:val="32"/>
          <w:shd w:val="clear" w:color="auto" w:fill="FFFFFF"/>
          <w:lang w:val="zh-CN"/>
        </w:rPr>
        <w:t>编制数7个。其中： 参公编制6个,行政工勤编制1个；截至2023年6月，单位实有人数7人，其中：在职7人（参公6人、行政工勤1人），退休12人，遗属3人</w:t>
      </w:r>
      <w:r>
        <w:rPr>
          <w:rFonts w:ascii="Times New Roman" w:eastAsia="仿宋_GB2312" w:cs="Times New Roman" w:hAnsi="Times New Roman"/>
          <w:bCs/>
          <w:kern w:val="0"/>
          <w:sz w:val="32"/>
          <w:szCs w:val="32"/>
          <w:shd w:val="clear" w:color="auto" w:fill="FFFFFF"/>
          <w:lang w:val="zh-CN" w:eastAsia="zh-CN"/>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二、部门财政资金收支情况</w:t>
      </w:r>
    </w:p>
    <w:p>
      <w:pPr>
        <w:pageBreakBefore w:val="0"/>
        <w:widowControl/>
        <w:numPr>
          <w:ilvl w:val="0"/>
          <w:numId w:val="4"/>
        </w:numPr>
        <w:kinsoku/>
        <w:wordWrap/>
        <w:overflowPunct/>
        <w:topLinePunct w:val="0"/>
        <w:bidi w:val="0"/>
        <w:adjustRightInd w:val="0"/>
        <w:snapToGrid w:val="0"/>
        <w:spacing w:line="576" w:lineRule="exact"/>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部门财政资金收入情况。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eastAsia="仿宋_GB2312" w:cs="Times New Roman" w:hint="eastAsia"/>
          <w:bCs/>
          <w:kern w:val="0"/>
          <w:sz w:val="32"/>
          <w:szCs w:val="32"/>
          <w:shd w:val="clear" w:color="auto" w:fill="FFFFFF"/>
          <w:lang w:val="zh-CN"/>
        </w:rPr>
        <w:t>2022年预算收入235.29万元。截止2022年底，实际共收到财政拨款收入235.29万元。其中，政府性基金预算财政拨款0万元。</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（二）部门财政资金支出情况。</w:t>
      </w:r>
    </w:p>
    <w:p>
      <w:pPr>
        <w:pStyle w:val="15"/>
        <w:ind w:firstLineChars="200" w:firstLine="640"/>
        <w:rPr>
          <w:lang w:val="en-US" w:eastAsia="zh-CN"/>
        </w:rPr>
      </w:pPr>
      <w:r>
        <w:rPr>
          <w:rFonts w:ascii="Times New Roman" w:eastAsia="仿宋_GB2312" w:cs="Times New Roman" w:hAnsi="Times New Roman" w:hint="eastAsia"/>
          <w:bCs/>
          <w:kern w:val="0"/>
          <w:sz w:val="32"/>
          <w:szCs w:val="32"/>
          <w:shd w:val="clear" w:color="auto" w:fill="FFFFFF"/>
          <w:lang w:val="zh-CN" w:eastAsia="zh-CN"/>
        </w:rPr>
        <w:t>2022年预算支出235.29万元。截止2022年底，实际各类支出共计235.29万元。其中，基本支出176.29万元，占总支出的74.92%；项目支出59万元，占总支出的25.08%。</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三、部门整体预算绩效管理情况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（一）部门预算项目绩效管理。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预算编制按照规定做到了细化，内容真实、完整。各项收入均列入部门预算，按要求编制了政府采购预算，结余结转资金规范化管理，按规定及时公开了部门预算。</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eastAsia="zh-CN"/>
        </w:rPr>
        <w:t>我</w:t>
      </w:r>
      <w:r>
        <w:rPr>
          <w:rFonts w:eastAsia="仿宋_GB2312" w:cs="Times New Roman" w:hint="eastAsia"/>
          <w:bCs/>
          <w:kern w:val="0"/>
          <w:sz w:val="32"/>
          <w:szCs w:val="32"/>
          <w:shd w:val="clear" w:color="auto" w:fill="FFFFFF"/>
          <w:lang w:val="en-US" w:eastAsia="zh-CN"/>
        </w:rPr>
        <w:t>单位</w:t>
      </w:r>
      <w:r>
        <w:rPr>
          <w:rFonts w:ascii="Times New Roman" w:eastAsia="仿宋_GB2312" w:cs="Times New Roman" w:hAnsi="Times New Roman"/>
          <w:bCs/>
          <w:kern w:val="0"/>
          <w:sz w:val="32"/>
          <w:szCs w:val="32"/>
          <w:shd w:val="clear" w:color="auto" w:fill="FFFFFF"/>
          <w:lang w:val="zh-CN" w:eastAsia="zh-CN"/>
        </w:rPr>
        <w:t>通过建立完善的内控制度，</w:t>
      </w:r>
      <w:r>
        <w:rPr>
          <w:rFonts w:ascii="Times New Roman" w:eastAsia="仿宋_GB2312" w:cs="Times New Roman" w:hAnsi="Times New Roman"/>
          <w:bCs/>
          <w:kern w:val="0"/>
          <w:sz w:val="32"/>
          <w:szCs w:val="32"/>
          <w:shd w:val="clear" w:color="auto" w:fill="FFFFFF"/>
          <w:lang w:val="zh-CN"/>
        </w:rPr>
        <w:t>所有</w:t>
      </w:r>
      <w:r>
        <w:rPr>
          <w:rFonts w:ascii="Times New Roman" w:eastAsia="仿宋_GB2312" w:cs="Times New Roman" w:hAnsi="Times New Roman"/>
          <w:bCs/>
          <w:kern w:val="0"/>
          <w:sz w:val="32"/>
          <w:szCs w:val="32"/>
          <w:shd w:val="clear" w:color="auto" w:fill="FFFFFF"/>
          <w:lang w:val="zh-CN" w:eastAsia="zh-CN"/>
        </w:rPr>
        <w:t>经费</w:t>
      </w:r>
      <w:r>
        <w:rPr>
          <w:rFonts w:ascii="Times New Roman" w:eastAsia="仿宋_GB2312" w:cs="Times New Roman" w:hAnsi="Times New Roman"/>
          <w:bCs/>
          <w:kern w:val="0"/>
          <w:sz w:val="32"/>
          <w:szCs w:val="32"/>
          <w:shd w:val="clear" w:color="auto" w:fill="FFFFFF"/>
          <w:lang w:val="zh-CN"/>
        </w:rPr>
        <w:t>支出均</w:t>
      </w:r>
      <w:r>
        <w:rPr>
          <w:rFonts w:ascii="Times New Roman" w:eastAsia="仿宋_GB2312" w:cs="Times New Roman" w:hAnsi="Times New Roman"/>
          <w:bCs/>
          <w:kern w:val="0"/>
          <w:sz w:val="32"/>
          <w:szCs w:val="32"/>
          <w:shd w:val="clear" w:color="auto" w:fill="FFFFFF"/>
          <w:lang w:val="zh-CN" w:eastAsia="zh-CN"/>
        </w:rPr>
        <w:t>严格</w:t>
      </w:r>
      <w:r>
        <w:rPr>
          <w:rFonts w:ascii="Times New Roman" w:eastAsia="仿宋_GB2312" w:cs="Times New Roman" w:hAnsi="Times New Roman"/>
          <w:bCs/>
          <w:kern w:val="0"/>
          <w:sz w:val="32"/>
          <w:szCs w:val="32"/>
          <w:shd w:val="clear" w:color="auto" w:fill="FFFFFF"/>
          <w:lang w:val="zh-CN"/>
        </w:rPr>
        <w:t>履行</w:t>
      </w:r>
      <w:r>
        <w:rPr>
          <w:rFonts w:ascii="Times New Roman" w:eastAsia="仿宋_GB2312" w:cs="Times New Roman" w:hAnsi="Times New Roman"/>
          <w:bCs/>
          <w:kern w:val="0"/>
          <w:sz w:val="32"/>
          <w:szCs w:val="32"/>
          <w:shd w:val="clear" w:color="auto" w:fill="FFFFFF"/>
          <w:lang w:val="zh-CN" w:eastAsia="zh-CN"/>
        </w:rPr>
        <w:t>报账</w:t>
      </w:r>
      <w:r>
        <w:rPr>
          <w:rFonts w:ascii="Times New Roman" w:eastAsia="仿宋_GB2312" w:cs="Times New Roman" w:hAnsi="Times New Roman"/>
          <w:bCs/>
          <w:kern w:val="0"/>
          <w:sz w:val="32"/>
          <w:szCs w:val="32"/>
          <w:shd w:val="clear" w:color="auto" w:fill="FFFFFF"/>
          <w:lang w:val="zh-CN"/>
        </w:rPr>
        <w:t>审批手续。基本支出严格执行国家的有关政策及规定，无</w:t>
      </w:r>
      <w:r>
        <w:rPr>
          <w:rFonts w:ascii="Times New Roman" w:eastAsia="仿宋_GB2312" w:cs="Times New Roman" w:hAnsi="Times New Roman"/>
          <w:bCs/>
          <w:kern w:val="0"/>
          <w:sz w:val="32"/>
          <w:szCs w:val="32"/>
          <w:shd w:val="clear" w:color="auto" w:fill="FFFFFF"/>
          <w:lang w:val="zh-CN" w:eastAsia="zh-CN"/>
        </w:rPr>
        <w:t>违规</w:t>
      </w:r>
      <w:r>
        <w:rPr>
          <w:rFonts w:ascii="Times New Roman" w:eastAsia="仿宋_GB2312" w:cs="Times New Roman" w:hAnsi="Times New Roman"/>
          <w:bCs/>
          <w:kern w:val="0"/>
          <w:sz w:val="32"/>
          <w:szCs w:val="32"/>
          <w:shd w:val="clear" w:color="auto" w:fill="FFFFFF"/>
          <w:lang w:val="zh-CN"/>
        </w:rPr>
        <w:t>扩大开支范围和提高开支标准</w:t>
      </w:r>
      <w:r>
        <w:rPr>
          <w:rFonts w:ascii="Times New Roman" w:eastAsia="仿宋_GB2312" w:cs="Times New Roman" w:hAnsi="Times New Roman"/>
          <w:bCs/>
          <w:kern w:val="0"/>
          <w:sz w:val="32"/>
          <w:szCs w:val="32"/>
          <w:shd w:val="clear" w:color="auto" w:fill="FFFFFF"/>
          <w:lang w:val="zh-CN" w:eastAsia="zh-CN"/>
        </w:rPr>
        <w:t>的情况</w:t>
      </w:r>
      <w:r>
        <w:rPr>
          <w:rFonts w:ascii="Times New Roman" w:eastAsia="仿宋_GB2312" w:cs="Times New Roman" w:hAnsi="Times New Roman"/>
          <w:bCs/>
          <w:kern w:val="0"/>
          <w:sz w:val="32"/>
          <w:szCs w:val="32"/>
          <w:shd w:val="clear" w:color="auto" w:fill="FFFFFF"/>
          <w:lang w:val="zh-CN"/>
        </w:rPr>
        <w:t>，单位津补贴、奖金和福利均按照国家或地方的规定发放，无滥发奖金、补贴或福利现象。项目支出均按照批准的项目和用途以及项目实施方案执行</w:t>
      </w:r>
      <w:r>
        <w:rPr>
          <w:rFonts w:ascii="Times New Roman" w:eastAsia="仿宋_GB2312" w:cs="Times New Roman" w:hAnsi="Times New Roman"/>
          <w:bCs/>
          <w:kern w:val="0"/>
          <w:sz w:val="32"/>
          <w:szCs w:val="32"/>
          <w:shd w:val="clear" w:color="auto" w:fill="FFFFFF"/>
          <w:lang w:val="zh-CN" w:eastAsia="zh-CN"/>
        </w:rPr>
        <w:t>。按照国家相关法律规定真实完整的进行预决算编报和信息公开，根据预算执行进度及时进行部门绩效自我评价并依法接受财政监督审查。</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（二）结果应用情况。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eastAsia="仿宋_GB2312" w:cs="Times New Roman" w:hint="eastAsia"/>
          <w:bCs/>
          <w:kern w:val="0"/>
          <w:sz w:val="32"/>
          <w:szCs w:val="32"/>
          <w:shd w:val="clear" w:color="auto" w:fill="FFFFFF"/>
          <w:lang w:val="zh-CN"/>
        </w:rPr>
        <w:t>我单位2022年</w:t>
      </w:r>
      <w:r>
        <w:rPr>
          <w:rFonts w:ascii="Times New Roman" w:eastAsia="仿宋_GB2312" w:cs="Times New Roman" w:hAnsi="Times New Roman"/>
          <w:bCs/>
          <w:kern w:val="0"/>
          <w:sz w:val="32"/>
          <w:szCs w:val="32"/>
          <w:shd w:val="clear" w:color="auto" w:fill="FFFFFF"/>
          <w:lang w:val="zh-CN"/>
        </w:rPr>
        <w:t>度整体支出绩效评价合格，并按规定将自评情况及时报送财政部门备案，对于自评过程中发现的不足及问题，</w:t>
      </w:r>
      <w:r>
        <w:rPr>
          <w:rFonts w:eastAsia="仿宋_GB2312" w:cs="Times New Roman" w:hint="eastAsia"/>
          <w:bCs/>
          <w:kern w:val="0"/>
          <w:sz w:val="32"/>
          <w:szCs w:val="32"/>
          <w:shd w:val="clear" w:color="auto" w:fill="FFFFFF"/>
          <w:lang w:val="zh-CN"/>
        </w:rPr>
        <w:t>我单位</w:t>
      </w:r>
      <w:r>
        <w:rPr>
          <w:rFonts w:ascii="Times New Roman" w:eastAsia="仿宋_GB2312" w:cs="Times New Roman" w:hAnsi="Times New Roman"/>
          <w:bCs/>
          <w:kern w:val="0"/>
          <w:sz w:val="32"/>
          <w:szCs w:val="32"/>
          <w:shd w:val="clear" w:color="auto" w:fill="FFFFFF"/>
          <w:lang w:val="zh-CN"/>
        </w:rPr>
        <w:t>积极整改，力求下一年度通过完善相关政策制度，建立更加切合实际的绩效评价体系。</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（三）自评质量</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eastAsia="zh-CN"/>
        </w:rPr>
        <w:t>1.预算编制。</w:t>
      </w:r>
      <w:r>
        <w:rPr>
          <w:rFonts w:ascii="Times New Roman" w:eastAsia="仿宋_GB2312" w:cs="Times New Roman" w:hAnsi="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rPr>
        <w:t>2.预算执行。</w:t>
      </w:r>
      <w:r>
        <w:rPr>
          <w:rFonts w:ascii="Times New Roman" w:eastAsia="仿宋_GB2312" w:cs="Times New Roman" w:hAnsi="Times New Roman"/>
          <w:bCs/>
          <w:kern w:val="0"/>
          <w:sz w:val="32"/>
          <w:szCs w:val="32"/>
          <w:shd w:val="clear" w:color="auto" w:fill="FFFFFF"/>
          <w:lang w:val="zh-CN" w:eastAsia="zh-CN"/>
        </w:rPr>
        <w:t>支出控制方面，日常公用经费、项目支出中“办公费、印刷费、水费、电费、物业管理费”等科目预决算偏差度为</w:t>
      </w:r>
      <w:r>
        <w:rPr>
          <w:rFonts w:eastAsia="仿宋_GB2312" w:cs="Times New Roman" w:hint="eastAsia"/>
          <w:bCs/>
          <w:kern w:val="0"/>
          <w:sz w:val="32"/>
          <w:szCs w:val="32"/>
          <w:shd w:val="clear" w:color="auto" w:fill="FFFFFF"/>
          <w:lang w:val="en-US" w:eastAsia="zh-CN"/>
        </w:rPr>
        <w:t>0</w:t>
      </w:r>
      <w:r>
        <w:rPr>
          <w:rFonts w:ascii="Times New Roman" w:eastAsia="仿宋_GB2312" w:cs="Times New Roman" w:hAnsi="Times New Roman"/>
          <w:bCs/>
          <w:kern w:val="0"/>
          <w:sz w:val="32"/>
          <w:szCs w:val="32"/>
          <w:shd w:val="clear" w:color="auto" w:fill="FFFFFF"/>
          <w:lang w:val="zh-CN" w:eastAsia="zh-CN"/>
        </w:rPr>
        <w:t>%，小于10%控制标准，支出控制科学合理；执行进度方面，全年在6月、9月、11月进行测算，实际支出执行进度完全高于阶段性量化指标，预算执行良好。</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
          <w:bCs/>
          <w:kern w:val="0"/>
          <w:sz w:val="32"/>
          <w:szCs w:val="32"/>
          <w:shd w:val="clear" w:color="auto" w:fill="FFFFFF"/>
          <w:lang w:val="zh-CN"/>
        </w:rPr>
        <w:t>3.预算完成。</w:t>
      </w:r>
      <w:r>
        <w:rPr>
          <w:rFonts w:ascii="Times New Roman" w:eastAsia="仿宋_GB2312" w:cs="Times New Roman" w:hAnsi="Times New Roman"/>
          <w:bCs/>
          <w:kern w:val="0"/>
          <w:sz w:val="32"/>
          <w:szCs w:val="32"/>
          <w:shd w:val="clear" w:color="auto" w:fill="FFFFFF"/>
          <w:lang w:val="zh-CN" w:eastAsia="zh-CN"/>
        </w:rPr>
        <w:t>截止</w:t>
      </w:r>
      <w:r>
        <w:rPr>
          <w:rFonts w:eastAsia="仿宋_GB2312" w:cs="Times New Roman" w:hint="eastAsia"/>
          <w:bCs/>
          <w:kern w:val="0"/>
          <w:sz w:val="32"/>
          <w:szCs w:val="32"/>
          <w:shd w:val="clear" w:color="auto" w:fill="FFFFFF"/>
          <w:lang w:val="zh-CN" w:eastAsia="zh-CN"/>
        </w:rPr>
        <w:t>2022年</w:t>
      </w:r>
      <w:r>
        <w:rPr>
          <w:rFonts w:ascii="Times New Roman" w:eastAsia="仿宋_GB2312" w:cs="Times New Roman" w:hAnsi="Times New Roman"/>
          <w:bCs/>
          <w:kern w:val="0"/>
          <w:sz w:val="32"/>
          <w:szCs w:val="32"/>
          <w:shd w:val="clear" w:color="auto" w:fill="FFFFFF"/>
          <w:lang w:val="zh-CN" w:eastAsia="zh-CN"/>
        </w:rPr>
        <w:t>12月31日，全年预算完成率达到</w:t>
      </w:r>
      <w:r>
        <w:rPr>
          <w:rFonts w:eastAsia="仿宋_GB2312" w:cs="Times New Roman" w:hint="eastAsia"/>
          <w:bCs/>
          <w:kern w:val="0"/>
          <w:sz w:val="32"/>
          <w:szCs w:val="32"/>
          <w:shd w:val="clear" w:color="auto" w:fill="FFFFFF"/>
          <w:lang w:val="en-US" w:eastAsia="zh-CN"/>
        </w:rPr>
        <w:t>100</w:t>
      </w:r>
      <w:r>
        <w:rPr>
          <w:rFonts w:ascii="Times New Roman" w:eastAsia="仿宋_GB2312" w:cs="Times New Roman" w:hAnsi="Times New Roman"/>
          <w:bCs/>
          <w:kern w:val="0"/>
          <w:sz w:val="32"/>
          <w:szCs w:val="32"/>
          <w:shd w:val="clear" w:color="auto" w:fill="FFFFFF"/>
          <w:lang w:val="zh-CN" w:eastAsia="zh-CN"/>
        </w:rPr>
        <w:t>%，整体支出实现了年初既定目标，未收到审计、财政等监督部门关于预算管理方面违纪违规问题通报，预算管理合规。</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（一）评价结论。</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eastAsia="仿宋_GB2312" w:cs="Times New Roman" w:hint="eastAsia"/>
          <w:bCs/>
          <w:kern w:val="0"/>
          <w:sz w:val="32"/>
          <w:szCs w:val="32"/>
          <w:shd w:val="clear" w:color="auto" w:fill="FFFFFF"/>
          <w:lang w:val="zh-CN" w:eastAsia="zh-CN"/>
        </w:rPr>
        <w:t>我单位</w:t>
      </w:r>
      <w:r>
        <w:rPr>
          <w:rFonts w:ascii="Times New Roman" w:eastAsia="仿宋_GB2312" w:cs="Times New Roman" w:hAnsi="Times New Roman"/>
          <w:bCs/>
          <w:kern w:val="0"/>
          <w:sz w:val="32"/>
          <w:szCs w:val="32"/>
          <w:shd w:val="clear" w:color="auto" w:fill="FFFFFF"/>
          <w:lang w:val="zh-CN" w:eastAsia="zh-CN"/>
        </w:rPr>
        <w:t>对</w:t>
      </w:r>
      <w:r>
        <w:rPr>
          <w:rFonts w:eastAsia="仿宋_GB2312" w:cs="Times New Roman" w:hint="eastAsia"/>
          <w:bCs/>
          <w:kern w:val="0"/>
          <w:sz w:val="32"/>
          <w:szCs w:val="32"/>
          <w:shd w:val="clear" w:color="auto" w:fill="FFFFFF"/>
          <w:lang w:val="zh-CN" w:eastAsia="zh-CN"/>
        </w:rPr>
        <w:t>2022年</w:t>
      </w:r>
      <w:r>
        <w:rPr>
          <w:rFonts w:ascii="Times New Roman" w:eastAsia="仿宋_GB2312" w:cs="Times New Roman" w:hAnsi="Times New Roman"/>
          <w:bCs/>
          <w:kern w:val="0"/>
          <w:sz w:val="32"/>
          <w:szCs w:val="32"/>
          <w:shd w:val="clear" w:color="auto" w:fill="FFFFFF"/>
          <w:lang w:val="zh-CN" w:eastAsia="zh-CN"/>
        </w:rPr>
        <w:t>度整体支出情况开展自评，得分</w:t>
      </w:r>
      <w:r>
        <w:rPr>
          <w:rFonts w:eastAsia="仿宋_GB2312" w:cs="Times New Roman" w:hint="eastAsia"/>
          <w:bCs/>
          <w:kern w:val="0"/>
          <w:sz w:val="32"/>
          <w:szCs w:val="32"/>
          <w:shd w:val="clear" w:color="auto" w:fill="FFFFFF"/>
          <w:lang w:val="en-US" w:eastAsia="zh-CN"/>
        </w:rPr>
        <w:t>92</w:t>
      </w:r>
      <w:r>
        <w:rPr>
          <w:rFonts w:ascii="Times New Roman" w:eastAsia="仿宋_GB2312" w:cs="Times New Roman" w:hAnsi="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eastAsia="仿宋_GB2312" w:cs="Times New Roman" w:hint="eastAsia"/>
          <w:bCs/>
          <w:kern w:val="0"/>
          <w:sz w:val="32"/>
          <w:szCs w:val="32"/>
          <w:shd w:val="clear" w:color="auto" w:fill="FFFFFF"/>
          <w:lang w:val="en-US" w:eastAsia="zh-CN"/>
        </w:rPr>
        <w:t>100</w:t>
      </w:r>
      <w:r>
        <w:rPr>
          <w:rFonts w:ascii="Times New Roman" w:eastAsia="仿宋_GB2312" w:cs="Times New Roman" w:hAnsi="Times New Roman"/>
          <w:bCs/>
          <w:kern w:val="0"/>
          <w:sz w:val="32"/>
          <w:szCs w:val="32"/>
          <w:shd w:val="clear" w:color="auto" w:fill="FFFFFF"/>
          <w:lang w:val="zh-CN" w:eastAsia="zh-CN"/>
        </w:rPr>
        <w:t>%，绩效目标实际实现程度与预期目标的偏离度为</w:t>
      </w:r>
      <w:r>
        <w:rPr>
          <w:rFonts w:eastAsia="仿宋_GB2312" w:cs="Times New Roman" w:hint="eastAsia"/>
          <w:bCs/>
          <w:kern w:val="0"/>
          <w:sz w:val="32"/>
          <w:szCs w:val="32"/>
          <w:shd w:val="clear" w:color="auto" w:fill="FFFFFF"/>
          <w:lang w:val="en-US" w:eastAsia="zh-CN"/>
        </w:rPr>
        <w:t>0</w:t>
      </w:r>
      <w:r>
        <w:rPr>
          <w:rFonts w:ascii="Times New Roman" w:eastAsia="仿宋_GB2312" w:cs="Times New Roman" w:hAnsi="Times New Roman"/>
          <w:bCs/>
          <w:kern w:val="0"/>
          <w:sz w:val="32"/>
          <w:szCs w:val="32"/>
          <w:shd w:val="clear" w:color="auto" w:fill="FFFFFF"/>
          <w:lang w:val="zh-CN" w:eastAsia="zh-CN"/>
        </w:rPr>
        <w:t>%，整体绩效管理合理合规；一般公共预算项目支出完成预算的</w:t>
      </w:r>
      <w:r>
        <w:rPr>
          <w:rFonts w:eastAsia="仿宋_GB2312" w:cs="Times New Roman" w:hint="eastAsia"/>
          <w:bCs/>
          <w:kern w:val="0"/>
          <w:sz w:val="32"/>
          <w:szCs w:val="32"/>
          <w:shd w:val="clear" w:color="auto" w:fill="FFFFFF"/>
          <w:lang w:val="en-US" w:eastAsia="zh-CN"/>
        </w:rPr>
        <w:t>100</w:t>
      </w:r>
      <w:r>
        <w:rPr>
          <w:rFonts w:ascii="Times New Roman" w:eastAsia="仿宋_GB2312" w:cs="Times New Roman" w:hAnsi="Times New Roman"/>
          <w:bCs/>
          <w:kern w:val="0"/>
          <w:sz w:val="32"/>
          <w:szCs w:val="32"/>
          <w:shd w:val="clear" w:color="auto" w:fill="FFFFFF"/>
          <w:lang w:val="zh-CN" w:eastAsia="zh-CN"/>
        </w:rPr>
        <w:t>%，绩效目标实际实现程度与预期目标的偏离度为</w:t>
      </w:r>
      <w:r>
        <w:rPr>
          <w:rFonts w:eastAsia="仿宋_GB2312" w:cs="Times New Roman" w:hint="eastAsia"/>
          <w:bCs/>
          <w:kern w:val="0"/>
          <w:sz w:val="32"/>
          <w:szCs w:val="32"/>
          <w:shd w:val="clear" w:color="auto" w:fill="FFFFFF"/>
          <w:lang w:val="en-US" w:eastAsia="zh-CN"/>
        </w:rPr>
        <w:t>0</w:t>
      </w:r>
      <w:r>
        <w:rPr>
          <w:rFonts w:ascii="Times New Roman" w:eastAsia="仿宋_GB2312" w:cs="Times New Roman" w:hAnsi="Times New Roman"/>
          <w:bCs/>
          <w:kern w:val="0"/>
          <w:sz w:val="32"/>
          <w:szCs w:val="32"/>
          <w:shd w:val="clear" w:color="auto" w:fill="FFFFFF"/>
          <w:lang w:val="zh-CN" w:eastAsia="zh-CN"/>
        </w:rPr>
        <w:t>%，整体绩效管理合理合规。</w:t>
      </w:r>
      <w:r>
        <w:rPr>
          <w:rFonts w:eastAsia="仿宋_GB2312" w:cs="Times New Roman" w:hint="eastAsia"/>
          <w:bCs/>
          <w:kern w:val="0"/>
          <w:sz w:val="32"/>
          <w:szCs w:val="32"/>
          <w:shd w:val="clear" w:color="auto" w:fill="FFFFFF"/>
          <w:lang w:val="zh-CN" w:eastAsia="zh-CN"/>
        </w:rPr>
        <w:t>2022年</w:t>
      </w:r>
      <w:r>
        <w:rPr>
          <w:rFonts w:ascii="Times New Roman" w:eastAsia="仿宋_GB2312" w:cs="Times New Roman" w:hAnsi="Times New Roman"/>
          <w:bCs/>
          <w:kern w:val="0"/>
          <w:sz w:val="32"/>
          <w:szCs w:val="32"/>
          <w:shd w:val="clear" w:color="auto" w:fill="FFFFFF"/>
          <w:lang w:val="zh-CN" w:eastAsia="zh-CN"/>
        </w:rPr>
        <w:t>度整体支出绩效评价优好，无违纪违规问题，预算编制、预算执行、完成结果等均达到既定目标管理。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（二）存在问题。</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hint="eastAsia"/>
          <w:bCs/>
          <w:kern w:val="0"/>
          <w:sz w:val="32"/>
          <w:szCs w:val="32"/>
          <w:shd w:val="clear" w:color="auto" w:fill="FFFFFF"/>
          <w:lang w:val="zh-CN"/>
        </w:rPr>
        <w:t>预算编制前根据年度内单位可预见的工作任务，确定了单位年度预算目标，细化了预算指标，通过对我单位整体支出情况的分析，反映出目前整体支出的预算编制、执行和管理过程中，主要存在两点不足。一是预算经费支出进度较缓；二是部门决算上报处理效率还需继续提升。</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（三）改进建议。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eastAsia="仿宋_GB2312" w:cs="Times New Roman" w:hint="eastAsia"/>
          <w:bCs/>
          <w:kern w:val="0"/>
          <w:sz w:val="32"/>
          <w:szCs w:val="32"/>
          <w:shd w:val="clear" w:color="auto" w:fill="FFFFFF"/>
          <w:lang w:val="zh-CN"/>
        </w:rPr>
        <w:t>我单位</w:t>
      </w:r>
      <w:r>
        <w:rPr>
          <w:rFonts w:ascii="Times New Roman" w:eastAsia="仿宋_GB2312" w:cs="Times New Roman" w:hAnsi="Times New Roman"/>
          <w:bCs/>
          <w:kern w:val="0"/>
          <w:sz w:val="32"/>
          <w:szCs w:val="32"/>
          <w:shd w:val="clear" w:color="auto" w:fill="FFFFFF"/>
          <w:lang w:val="zh-CN"/>
        </w:rPr>
        <w:t>将</w:t>
      </w:r>
      <w:r>
        <w:rPr>
          <w:rFonts w:ascii="Times New Roman" w:eastAsia="仿宋_GB2312" w:cs="Times New Roman" w:hAnsi="Times New Roman" w:hint="eastAsia"/>
          <w:bCs/>
          <w:kern w:val="0"/>
          <w:sz w:val="32"/>
          <w:szCs w:val="32"/>
          <w:shd w:val="clear" w:color="auto" w:fill="FFFFFF"/>
          <w:lang w:val="zh-CN"/>
        </w:rPr>
        <w:t>加强会计核算和财务管理能力，</w:t>
      </w:r>
      <w:r>
        <w:rPr>
          <w:rFonts w:ascii="Times New Roman" w:eastAsia="仿宋_GB2312" w:cs="Times New Roman" w:hAnsi="Times New Roman"/>
          <w:bCs/>
          <w:kern w:val="0"/>
          <w:sz w:val="32"/>
          <w:szCs w:val="32"/>
          <w:shd w:val="clear" w:color="auto" w:fill="FFFFFF"/>
          <w:lang w:val="zh-CN"/>
        </w:rPr>
        <w:t>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eastAsia="仿宋_GB2312" w:cs="Times New Roman" w:hAnsi="Times New Roman" w:hint="eastAsia"/>
          <w:lang w:val="en-US" w:eastAsia="zh-CN"/>
        </w:rPr>
      </w:pPr>
      <w:r>
        <w:rPr>
          <w:rFonts w:ascii="Times New Roman" w:cs="Times New Roman" w:hAnsi="Times New Roman"/>
          <w:sz w:val="32"/>
          <w:szCs w:val="32"/>
          <w:shd w:val="clear" w:color="auto" w:fill="FFFFFF"/>
          <w:lang w:val="zh-CN"/>
        </w:rPr>
        <w:t>附件</w:t>
      </w:r>
      <w:r>
        <w:rPr>
          <w:rFonts w:ascii="Times New Roman" w:cs="Times New Roman" w:hAnsi="Times New Roman" w:hint="eastAsia"/>
          <w:sz w:val="32"/>
          <w:szCs w:val="32"/>
          <w:shd w:val="clear" w:color="auto" w:fill="FFFFFF"/>
          <w:lang w:val="en-US" w:eastAsia="zh-CN"/>
        </w:rPr>
        <w:t>2</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0"/>
          <w:szCs w:val="40"/>
          <w:lang w:val="zh-CN"/>
        </w:rPr>
      </w:pPr>
      <w:r>
        <w:rPr>
          <w:rFonts w:ascii="Times New Roman" w:eastAsia="方正小标宋简体" w:cs="Times New Roman" w:hAnsi="Times New Roman"/>
          <w:sz w:val="40"/>
          <w:szCs w:val="40"/>
        </w:rPr>
        <w:t>2022年</w:t>
      </w:r>
      <w:r>
        <w:rPr>
          <w:rFonts w:ascii="Times New Roman" w:eastAsia="方正小标宋简体" w:cs="Times New Roman" w:hAnsi="Times New Roman" w:hint="eastAsia"/>
          <w:sz w:val="40"/>
          <w:szCs w:val="40"/>
          <w:lang w:val="zh-CN"/>
        </w:rPr>
        <w:t>州级财政农资储备和价格补贴专项经费项目支出绩效评价报告</w:t>
      </w:r>
    </w:p>
    <w:p>
      <w:pPr>
        <w:pStyle w:val="15"/>
        <w:pageBreakBefore w:val="0"/>
        <w:widowControl w:val="0"/>
        <w:bidi w:val="0"/>
        <w:rPr>
          <w:rFonts w:ascii="Times New Roman" w:cs="Times New Roman" w:hAnsi="Times New Roman"/>
        </w:rPr>
      </w:pPr>
    </w:p>
    <w:p>
      <w:pPr>
        <w:pStyle w:val="24"/>
        <w:keepNext w:val="0"/>
        <w:keepLines w:val="0"/>
        <w:widowControl/>
        <w:numPr>
          <w:ilvl w:val="0"/>
          <w:numId w:val="5"/>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内容摘要</w:t>
      </w:r>
    </w:p>
    <w:p>
      <w:pPr>
        <w:snapToGrid w:val="0"/>
        <w:spacing w:line="600" w:lineRule="exact"/>
        <w:ind w:leftChars="200" w:left="2660" w:hangingChars="800" w:hanging="2240"/>
        <w:rPr>
          <w:rFonts w:ascii="仿宋_GB2312" w:eastAsia="仿宋_GB2312" w:cs="Times New Roman"/>
          <w:sz w:val="32"/>
          <w:szCs w:val="32"/>
          <w:lang w:val="en-US" w:eastAsia="zh-CN"/>
        </w:rPr>
      </w:pPr>
      <w:r>
        <w:rPr>
          <w:rFonts w:ascii="黑体" w:eastAsia="黑体" w:cs="黑体" w:hint="eastAsia"/>
          <w:color w:val="000000"/>
          <w:kern w:val="0"/>
          <w:sz w:val="28"/>
          <w:szCs w:val="28"/>
          <w:lang w:val="en-US" w:eastAsia="zh-CN"/>
        </w:rPr>
        <w:t>（一）项目名称：</w:t>
      </w:r>
      <w:r>
        <w:rPr>
          <w:rFonts w:ascii="仿宋_GB2312" w:eastAsia="仿宋_GB2312" w:cs="Times New Roman" w:hint="eastAsia"/>
          <w:sz w:val="32"/>
          <w:szCs w:val="32"/>
          <w:lang w:val="en-US" w:eastAsia="zh-CN"/>
        </w:rPr>
        <w:t>2022年州级财政农资储备和价格补贴专项经费</w:t>
      </w:r>
    </w:p>
    <w:p>
      <w:pPr>
        <w:snapToGrid w:val="0"/>
        <w:spacing w:line="600" w:lineRule="exact"/>
        <w:ind w:firstLineChars="200" w:firstLine="560"/>
        <w:rPr>
          <w:rFonts w:ascii="Times New Roman" w:eastAsia="楷体_GB2312" w:hAnsi="Times New Roman"/>
          <w:szCs w:val="32"/>
          <w:u w:val="single"/>
          <w:lang w:val="en-US" w:eastAsia="zh-CN"/>
        </w:rPr>
      </w:pPr>
      <w:r>
        <w:rPr>
          <w:rFonts w:ascii="黑体" w:eastAsia="黑体" w:cs="黑体" w:hint="eastAsia"/>
          <w:color w:val="000000"/>
          <w:kern w:val="0"/>
          <w:sz w:val="28"/>
          <w:szCs w:val="28"/>
          <w:lang w:val="en-US" w:eastAsia="zh-CN"/>
        </w:rPr>
        <w:t>（二）项目单位：</w:t>
      </w:r>
      <w:r>
        <w:rPr>
          <w:rFonts w:ascii="仿宋_GB2312" w:eastAsia="仿宋_GB2312" w:cs="Times New Roman" w:hint="eastAsia"/>
          <w:sz w:val="32"/>
          <w:szCs w:val="32"/>
          <w:lang w:val="en-US" w:eastAsia="zh-CN"/>
        </w:rPr>
        <w:t>金川县供销合作社联合社</w:t>
      </w:r>
    </w:p>
    <w:p>
      <w:pPr>
        <w:snapToGrid w:val="0"/>
        <w:spacing w:line="600" w:lineRule="exact"/>
        <w:ind w:firstLineChars="200" w:firstLine="560"/>
        <w:rPr>
          <w:rFonts w:ascii="仿宋_GB2312" w:eastAsia="仿宋_GB2312" w:cs="Times New Roman" w:hint="eastAsia"/>
          <w:sz w:val="32"/>
          <w:szCs w:val="32"/>
          <w:lang w:val="en-US" w:eastAsia="zh-CN"/>
        </w:rPr>
      </w:pPr>
      <w:r>
        <w:rPr>
          <w:rFonts w:ascii="黑体" w:eastAsia="黑体" w:cs="黑体" w:hint="eastAsia"/>
          <w:color w:val="000000"/>
          <w:kern w:val="0"/>
          <w:sz w:val="28"/>
          <w:szCs w:val="28"/>
          <w:lang w:val="en-US" w:eastAsia="zh-CN"/>
        </w:rPr>
        <w:t>（三）项目属性：</w:t>
      </w:r>
      <w:r>
        <w:rPr>
          <w:rFonts w:ascii="仿宋_GB2312" w:eastAsia="仿宋_GB2312" w:cs="Times New Roman" w:hint="eastAsia"/>
          <w:sz w:val="32"/>
          <w:szCs w:val="32"/>
          <w:lang w:val="en-US" w:eastAsia="zh-CN"/>
        </w:rPr>
        <w:t>延续性项目</w:t>
      </w:r>
    </w:p>
    <w:p>
      <w:pPr>
        <w:snapToGrid w:val="0"/>
        <w:spacing w:line="600" w:lineRule="exact"/>
        <w:ind w:firstLineChars="200" w:firstLine="560"/>
        <w:rPr>
          <w:rFonts w:ascii="仿宋_GB2312" w:eastAsia="仿宋_GB2312" w:cs="Times New Roman"/>
          <w:sz w:val="32"/>
          <w:szCs w:val="32"/>
          <w:lang w:val="en-US" w:eastAsia="zh-CN"/>
        </w:rPr>
      </w:pPr>
      <w:r>
        <w:rPr>
          <w:rFonts w:ascii="黑体" w:eastAsia="黑体" w:cs="黑体" w:hint="eastAsia"/>
          <w:color w:val="000000"/>
          <w:kern w:val="0"/>
          <w:sz w:val="28"/>
          <w:szCs w:val="28"/>
          <w:lang w:val="en-US" w:eastAsia="zh-CN"/>
        </w:rPr>
        <w:t>（四）项目起止年限：</w:t>
      </w:r>
      <w:r>
        <w:rPr>
          <w:rFonts w:ascii="仿宋_GB2312" w:eastAsia="仿宋_GB2312" w:cs="Times New Roman" w:hint="eastAsia"/>
          <w:sz w:val="32"/>
          <w:szCs w:val="32"/>
          <w:lang w:val="en-US" w:eastAsia="zh-CN"/>
        </w:rPr>
        <w:t>2022年-2022年</w:t>
      </w:r>
    </w:p>
    <w:p>
      <w:pPr>
        <w:snapToGrid w:val="0"/>
        <w:spacing w:line="600" w:lineRule="exact"/>
        <w:ind w:firstLineChars="200" w:firstLine="560"/>
        <w:rPr>
          <w:rFonts w:ascii="Times New Roman" w:eastAsia="楷体_GB2312" w:hAnsi="Times New Roman"/>
          <w:szCs w:val="32"/>
          <w:lang w:val="en-US" w:eastAsia="zh-CN"/>
        </w:rPr>
      </w:pPr>
      <w:r>
        <w:rPr>
          <w:rFonts w:ascii="黑体" w:eastAsia="黑体" w:cs="黑体" w:hint="eastAsia"/>
          <w:color w:val="000000"/>
          <w:kern w:val="0"/>
          <w:sz w:val="28"/>
          <w:szCs w:val="28"/>
          <w:lang w:val="en-US" w:eastAsia="zh-CN"/>
        </w:rPr>
        <w:t>（五）资金申请情况：</w:t>
      </w:r>
      <w:r>
        <w:rPr>
          <w:rFonts w:ascii="仿宋_GB2312" w:eastAsia="仿宋_GB2312" w:cs="Times New Roman" w:hint="eastAsia"/>
          <w:sz w:val="32"/>
          <w:szCs w:val="32"/>
          <w:lang w:val="en-US" w:eastAsia="zh-CN"/>
        </w:rPr>
        <w:t>全额申请</w:t>
      </w:r>
    </w:p>
    <w:p>
      <w:pPr>
        <w:snapToGrid w:val="0"/>
        <w:spacing w:line="600" w:lineRule="exact"/>
        <w:ind w:firstLineChars="200" w:firstLine="560"/>
        <w:rPr>
          <w:rFonts w:ascii="黑体" w:eastAsia="黑体" w:cs="黑体" w:hint="eastAsia"/>
          <w:color w:val="000000"/>
          <w:kern w:val="0"/>
          <w:sz w:val="28"/>
          <w:szCs w:val="28"/>
          <w:lang w:val="en-US" w:eastAsia="zh-CN"/>
        </w:rPr>
      </w:pPr>
      <w:r>
        <w:rPr>
          <w:rFonts w:ascii="黑体" w:eastAsia="黑体" w:cs="黑体" w:hint="eastAsia"/>
          <w:color w:val="000000"/>
          <w:kern w:val="0"/>
          <w:sz w:val="28"/>
          <w:szCs w:val="28"/>
          <w:lang w:val="en-US" w:eastAsia="zh-CN"/>
        </w:rPr>
        <w:t>（六）项目概况：</w:t>
      </w:r>
    </w:p>
    <w:p>
      <w:pPr>
        <w:snapToGrid w:val="0"/>
        <w:spacing w:line="600" w:lineRule="exact"/>
        <w:ind w:firstLineChars="200" w:firstLine="640"/>
        <w:jc w:val="left"/>
        <w:rPr>
          <w:rFonts w:ascii="仿宋_GB2312" w:eastAsia="仿宋_GB2312" w:cs="仿宋_GB2312" w:hint="eastAsia"/>
          <w:snapToGrid/>
          <w:color w:val="auto"/>
          <w:spacing w:val="0"/>
          <w:w w:val="100"/>
          <w:kern w:val="0"/>
          <w:position w:val="0"/>
          <w:sz w:val="32"/>
          <w:szCs w:val="32"/>
          <w:u w:val="none" w:color="auto"/>
          <w:vertAlign w:val="baseline"/>
          <w:lang w:val="en-US" w:eastAsia="zh-CN"/>
        </w:rPr>
      </w:pPr>
      <w:r>
        <w:rPr>
          <w:rFonts w:ascii="仿宋_GB2312" w:eastAsia="仿宋_GB2312" w:cs="仿宋_GB2312" w:hint="eastAsia"/>
          <w:snapToGrid/>
          <w:color w:val="auto"/>
          <w:spacing w:val="0"/>
          <w:w w:val="100"/>
          <w:kern w:val="0"/>
          <w:position w:val="0"/>
          <w:sz w:val="32"/>
          <w:szCs w:val="32"/>
          <w:u w:val="none" w:color="auto"/>
          <w:vertAlign w:val="baseline"/>
          <w:lang w:val="en-US" w:eastAsia="zh-CN"/>
        </w:rPr>
        <w:t>各级政府为支持农业发展，改善农业生产条件和生态环境，优化农业和农村经济结构，提高农业综合生产能力和综合效益，该专项资金包括价格补贴资金18万元以及储备补贴资金5万元，主要通过降低化肥销售价格让农牧民直接享受补贴以及补贴农资储备的方法，降低农牧民生产成本，保障春耕生产需求，保障农资商品质量安全，一定程度上促进农业可持续发展。</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lang w:val="en-US" w:eastAsia="zh-CN"/>
        </w:rPr>
        <w:t>二</w:t>
      </w:r>
      <w:r>
        <w:rPr>
          <w:rFonts w:ascii="黑体" w:eastAsia="黑体" w:cs="黑体" w:hint="eastAsia"/>
          <w:color w:val="000000"/>
          <w:sz w:val="31"/>
          <w:szCs w:val="31"/>
        </w:rPr>
        <w:t>、评价工作开展及项目情况</w:t>
      </w:r>
    </w:p>
    <w:p>
      <w:pPr>
        <w:pStyle w:val="22"/>
        <w:keepNext w:val="0"/>
        <w:keepLines w:val="0"/>
        <w:pageBreakBefore w:val="0"/>
        <w:widowControl w:val="0"/>
        <w:suppressLineNumbers w:val="0"/>
        <w:suppressAutoHyphens/>
        <w:kinsoku/>
        <w:wordWrap/>
        <w:overflowPunct/>
        <w:topLinePunct w:val="0"/>
        <w:autoSpaceDE/>
        <w:autoSpaceDN/>
        <w:bidi w:val="0"/>
        <w:adjustRightInd w:val="0"/>
        <w:snapToGrid w:val="0"/>
        <w:spacing w:line="540" w:lineRule="exact"/>
        <w:ind w:leftChars="0" w:left="0" w:firstLineChars="200" w:firstLine="640"/>
        <w:jc w:val="left"/>
        <w:textAlignment w:val="auto"/>
        <w:rPr>
          <w:rFonts w:ascii="仿宋_GB2312" w:eastAsia="仿宋_GB2312" w:cs="仿宋_GB2312" w:hint="eastAsia"/>
          <w:snapToGrid/>
          <w:color w:val="auto"/>
          <w:spacing w:val="0"/>
          <w:w w:val="100"/>
          <w:kern w:val="0"/>
          <w:position w:val="0"/>
          <w:sz w:val="32"/>
          <w:szCs w:val="32"/>
          <w:u w:val="none"/>
          <w:vertAlign w:val="baseline"/>
          <w:lang w:val="en-US" w:eastAsia="zh-CN"/>
        </w:rPr>
      </w:pPr>
      <w:r>
        <w:rPr>
          <w:rFonts w:ascii="仿宋_GB2312" w:eastAsia="仿宋_GB2312" w:cs="仿宋_GB2312" w:hint="eastAsia"/>
          <w:snapToGrid/>
          <w:color w:val="auto"/>
          <w:spacing w:val="0"/>
          <w:w w:val="100"/>
          <w:kern w:val="0"/>
          <w:position w:val="0"/>
          <w:sz w:val="32"/>
          <w:szCs w:val="32"/>
          <w:u w:val="none"/>
          <w:vertAlign w:val="baseline"/>
          <w:lang w:val="en-US" w:eastAsia="zh-CN"/>
        </w:rPr>
        <w:t>根据《金川县财政局 关于开展2023年部门、政策和项目支出绩效评价工作的通知》（【2023】32号）文件要求，我单位通过成立领导小组、召开座谈会的方式开展项目自评。我单位成立了以主任何传伟为组长，分管副主任陶燕为副组长，办公室、财务室人员为成员的自评工作领导小组。收集2022年州级财政农资储备和价格补贴专项经费项目相关基础资料，查阅资料、收集数据等信息，通过采用成本效益分析法、比较法、因素分析法、最低成本法、公众评判法等，对项目的立项必要性、投入经济性、目标合理性、方案可行性以及筹资合规性实施评估。深入论证分析后，形成项目支出绩效评估报告。</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lang w:val="en-US" w:eastAsia="zh-CN"/>
        </w:rPr>
        <w:t>三</w:t>
      </w:r>
      <w:r>
        <w:rPr>
          <w:rFonts w:ascii="黑体" w:eastAsia="黑体" w:cs="黑体" w:hint="eastAsia"/>
          <w:color w:val="000000"/>
          <w:sz w:val="31"/>
          <w:szCs w:val="31"/>
        </w:rPr>
        <w:t>、评价结论及绩效分析</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（一）评价结论</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sz w:val="32"/>
          <w:szCs w:val="32"/>
          <w:lang w:val="en-US" w:eastAsia="zh-CN"/>
        </w:rPr>
        <w:t>通过对项目的立项必要性、投入经济性、目标合理性、方案可行性以及筹资合规性等实施深入评估，</w:t>
      </w:r>
      <w:r>
        <w:rPr>
          <w:rFonts w:ascii="仿宋_GB2312" w:eastAsia="仿宋_GB2312" w:cs="Times New Roman" w:hint="eastAsia"/>
          <w:sz w:val="32"/>
          <w:szCs w:val="32"/>
          <w:lang w:val="en-US" w:eastAsia="zh-CN"/>
        </w:rPr>
        <w:t>2022年州级财政农资储备和价格补贴专项经费项目财政支出目标明确、具体，决策程序科学、有效，项目管理完善，项目目标和效果基本达成。通过指标的自评汇总分析，我单位项目绩效自评为95分。</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（二）绩效分析</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1.项目决策</w:t>
      </w:r>
    </w:p>
    <w:p>
      <w:pPr>
        <w:snapToGrid w:val="0"/>
        <w:spacing w:line="600" w:lineRule="exact"/>
        <w:ind w:firstLineChars="200" w:firstLine="640"/>
        <w:jc w:val="left"/>
        <w:rPr>
          <w:rFonts w:ascii="仿宋_GB2312" w:eastAsia="仿宋_GB2312" w:cs="仿宋_GB2312" w:hint="eastAsia"/>
          <w:snapToGrid/>
          <w:color w:val="auto"/>
          <w:spacing w:val="0"/>
          <w:w w:val="100"/>
          <w:kern w:val="0"/>
          <w:position w:val="0"/>
          <w:sz w:val="32"/>
          <w:szCs w:val="32"/>
          <w:u w:val="none" w:color="auto"/>
          <w:vertAlign w:val="baseline"/>
          <w:lang w:val="en-US" w:eastAsia="zh-CN"/>
        </w:rPr>
      </w:pPr>
      <w:r>
        <w:rPr>
          <w:rFonts w:ascii="仿宋_GB2312" w:eastAsia="仿宋_GB2312" w:cs="仿宋_GB2312" w:hint="eastAsia"/>
          <w:snapToGrid/>
          <w:color w:val="auto"/>
          <w:spacing w:val="0"/>
          <w:w w:val="100"/>
          <w:kern w:val="0"/>
          <w:position w:val="0"/>
          <w:sz w:val="32"/>
          <w:szCs w:val="32"/>
          <w:u w:val="none" w:color="auto"/>
          <w:vertAlign w:val="baseline"/>
          <w:lang w:val="en-US" w:eastAsia="zh-CN"/>
        </w:rPr>
        <w:t>项目立项符合党的十九大和十九届历次全会精神以及习近平总书记对供销合作社工作的重要指示批示精神，坚持新发展理念，持续深化综合改革，不断完善体制机制，拓展经营服务领域。本单位的主要职能是贯彻党和国家有关农村经济工作和社会发展的方针政策，发挥党和政府密切联系农民群众桥梁纽带作用，巩固党在农村的执政基础，领办创办农民专业合作社及其联合社，探索开展生产、供销、信用“三位一体”综合合作，该项目立项符合我单位的主要职能的履行。具有满足农牧民农资需求的现实必要性，有利于带动农业经济发展，提升群众对供销工作的满意度，利于防止假、冒、伪、劣农资产品进入市场，保障农资商品质量安全，推动农业向好可持续性发展，项目预期效益的可实现程度较好。</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2.项目实施</w:t>
      </w:r>
    </w:p>
    <w:p>
      <w:pPr>
        <w:snapToGrid w:val="0"/>
        <w:spacing w:line="600" w:lineRule="exact"/>
        <w:ind w:firstLineChars="200" w:firstLine="640"/>
        <w:jc w:val="left"/>
        <w:rPr>
          <w:rFonts w:ascii="仿宋_GB2312" w:eastAsia="仿宋_GB2312" w:cs="仿宋_GB2312" w:hint="eastAsia"/>
          <w:snapToGrid/>
          <w:color w:val="auto"/>
          <w:spacing w:val="0"/>
          <w:w w:val="100"/>
          <w:kern w:val="0"/>
          <w:position w:val="0"/>
          <w:sz w:val="32"/>
          <w:szCs w:val="32"/>
          <w:u w:val="none" w:color="auto"/>
          <w:vertAlign w:val="baseline"/>
          <w:lang w:val="en-US" w:eastAsia="zh-CN"/>
        </w:rPr>
      </w:pPr>
      <w:r>
        <w:rPr>
          <w:rFonts w:ascii="仿宋_GB2312" w:eastAsia="仿宋_GB2312" w:cs="仿宋_GB2312" w:hint="eastAsia"/>
          <w:snapToGrid/>
          <w:color w:val="auto"/>
          <w:spacing w:val="0"/>
          <w:w w:val="100"/>
          <w:kern w:val="0"/>
          <w:position w:val="0"/>
          <w:sz w:val="32"/>
          <w:szCs w:val="32"/>
          <w:u w:val="none" w:color="auto"/>
          <w:vertAlign w:val="baseline"/>
          <w:lang w:val="en-US" w:eastAsia="zh-CN"/>
        </w:rPr>
        <w:t>该项目资金共计23万元，该专项资金包括价格补贴资金18万元以及储备补贴资金5万元。于2022年12月31日前及时全额兑现2022年价格补贴资金18万元，农资储备补贴5万元。其中价格补贴：氮肥销售512.6吨，补贴资金30816元；磷肥销售540.5吨，补贴资金32730元；复合肥销售461.05吨，补贴资金73764元；生态有机肥销售152.49吨，补贴资金42692元。农资储备补贴5万元拨付给金川为农商贸有限责任公司。该专项</w:t>
      </w:r>
      <w:r>
        <w:rPr>
          <w:rFonts w:ascii="仿宋_GB2312" w:eastAsia="仿宋_GB2312" w:cs="仿宋_GB2312" w:hint="eastAsia"/>
          <w:snapToGrid/>
          <w:color w:val="auto"/>
          <w:spacing w:val="0"/>
          <w:w w:val="100"/>
          <w:kern w:val="0"/>
          <w:position w:val="0"/>
          <w:sz w:val="32"/>
          <w:szCs w:val="32"/>
          <w:u w:val="none" w:color="auto"/>
          <w:vertAlign w:val="baseline"/>
          <w:lang w:val="zh-CN" w:eastAsia="zh-CN"/>
        </w:rPr>
        <w:t>项目资金申报、批复符合资金管理办法等相关规定。</w:t>
      </w:r>
      <w:r>
        <w:rPr>
          <w:rFonts w:ascii="仿宋_GB2312" w:eastAsia="仿宋_GB2312" w:cs="仿宋_GB2312" w:hint="eastAsia"/>
          <w:snapToGrid/>
          <w:color w:val="auto"/>
          <w:spacing w:val="0"/>
          <w:w w:val="100"/>
          <w:kern w:val="0"/>
          <w:position w:val="0"/>
          <w:sz w:val="32"/>
          <w:szCs w:val="32"/>
          <w:u w:val="none" w:color="auto"/>
          <w:vertAlign w:val="baseline"/>
          <w:lang w:val="en-US" w:eastAsia="zh-CN"/>
        </w:rPr>
        <w:t>资金支付金额以及用途与</w:t>
      </w:r>
      <w:r>
        <w:rPr>
          <w:rFonts w:ascii="仿宋_GB2312" w:eastAsia="仿宋_GB2312" w:cs="仿宋_GB2312" w:hint="eastAsia"/>
          <w:snapToGrid/>
          <w:color w:val="auto"/>
          <w:spacing w:val="0"/>
          <w:w w:val="100"/>
          <w:kern w:val="0"/>
          <w:position w:val="0"/>
          <w:sz w:val="32"/>
          <w:szCs w:val="32"/>
          <w:u w:val="none" w:color="auto"/>
          <w:vertAlign w:val="baseline"/>
          <w:lang w:val="zh-CN" w:eastAsia="zh-CN"/>
        </w:rPr>
        <w:t>预算相符，</w:t>
      </w:r>
      <w:r>
        <w:rPr>
          <w:rFonts w:ascii="仿宋_GB2312" w:eastAsia="仿宋_GB2312" w:cs="仿宋_GB2312" w:hint="eastAsia"/>
          <w:snapToGrid/>
          <w:color w:val="auto"/>
          <w:spacing w:val="0"/>
          <w:w w:val="100"/>
          <w:kern w:val="0"/>
          <w:position w:val="0"/>
          <w:sz w:val="32"/>
          <w:szCs w:val="32"/>
          <w:u w:val="none" w:color="auto"/>
          <w:vertAlign w:val="baseline"/>
          <w:lang w:val="en-US" w:eastAsia="zh-CN"/>
        </w:rPr>
        <w:t>符合相关法律法规，属于财政支持范围。</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3.项目绩效</w:t>
      </w:r>
    </w:p>
    <w:p>
      <w:pPr>
        <w:snapToGrid w:val="0"/>
        <w:spacing w:line="600" w:lineRule="exact"/>
        <w:ind w:firstLineChars="200" w:firstLine="640"/>
        <w:jc w:val="left"/>
        <w:rPr>
          <w:rFonts w:ascii="仿宋_GB2312" w:eastAsia="仿宋_GB2312" w:cs="仿宋_GB2312" w:hint="eastAsia"/>
          <w:snapToGrid/>
          <w:color w:val="auto"/>
          <w:spacing w:val="0"/>
          <w:w w:val="100"/>
          <w:kern w:val="0"/>
          <w:position w:val="0"/>
          <w:sz w:val="32"/>
          <w:szCs w:val="32"/>
          <w:u w:val="none" w:color="auto"/>
          <w:vertAlign w:val="baseline"/>
          <w:lang w:val="en-US" w:eastAsia="zh-CN"/>
        </w:rPr>
      </w:pPr>
      <w:r>
        <w:rPr>
          <w:rFonts w:ascii="仿宋_GB2312" w:eastAsia="仿宋_GB2312" w:cs="仿宋_GB2312" w:hint="eastAsia"/>
          <w:snapToGrid/>
          <w:color w:val="auto"/>
          <w:spacing w:val="0"/>
          <w:w w:val="100"/>
          <w:kern w:val="0"/>
          <w:position w:val="0"/>
          <w:sz w:val="32"/>
          <w:szCs w:val="32"/>
          <w:u w:val="none" w:color="auto"/>
          <w:vertAlign w:val="baseline"/>
          <w:lang w:val="en-US" w:eastAsia="zh-CN"/>
        </w:rPr>
        <w:t>2022年州级财政农资储备和价格补贴专项经费项目共计设置10个绩效指标，其中设置了七个产出指标、两个效益指标、一个满意度指标。其中，产出指标：农资产品合格率达到100%，农资补贴种类达五种，项目于12月底前完成，资金及时拨付到位，生态有机肥补贴标准控制在280元/吨，磷肥和氮肥标准控制在60元/吨，复合肥补贴标准控制在160元/吨；效益指标：有效的促进了农业的可持续发展，农资有效的满足了春耕需求，社会效益加好；满意度指标：农牧民满意度达100%。各项指标完成较好，项目验收合格后按照补贴标准及时拨付给各基层社和金川为农商贸有限责任公司。</w:t>
      </w:r>
    </w:p>
    <w:p>
      <w:pPr>
        <w:pStyle w:val="22"/>
        <w:rPr>
          <w:rFonts w:ascii="仿宋_GB2312" w:eastAsia="仿宋_GB2312" w:cs="Times New Roman" w:hint="eastAsia"/>
          <w:sz w:val="32"/>
          <w:szCs w:val="32"/>
          <w:lang w:val="en-US" w:eastAsia="zh-CN"/>
        </w:rPr>
      </w:pPr>
    </w:p>
    <w:p>
      <w:pPr>
        <w:rPr>
          <w:rFonts w:ascii="仿宋_GB2312" w:eastAsia="仿宋_GB2312" w:cs="Times New Roman" w:hint="eastAsia"/>
          <w:sz w:val="32"/>
          <w:szCs w:val="32"/>
          <w:lang w:val="en-US" w:eastAsia="zh-CN"/>
        </w:rPr>
      </w:pPr>
    </w:p>
    <w:p>
      <w:pPr>
        <w:pStyle w:val="22"/>
        <w:rPr>
          <w:rFonts w:ascii="仿宋_GB2312" w:eastAsia="仿宋_GB2312" w:cs="Times New Roman" w:hint="eastAsia"/>
          <w:sz w:val="32"/>
          <w:szCs w:val="32"/>
          <w:lang w:val="en-US" w:eastAsia="zh-CN"/>
        </w:rPr>
      </w:pPr>
    </w:p>
    <w:p>
      <w:pPr>
        <w:rPr>
          <w:rFonts w:ascii="仿宋_GB2312" w:eastAsia="仿宋_GB2312" w:cs="Times New Roman" w:hint="eastAsia"/>
          <w:sz w:val="32"/>
          <w:szCs w:val="32"/>
          <w:lang w:val="en-US" w:eastAsia="zh-CN"/>
        </w:rPr>
      </w:pPr>
    </w:p>
    <w:p>
      <w:pPr>
        <w:pStyle w:val="22"/>
        <w:rPr>
          <w:rFonts w:ascii="仿宋_GB2312" w:eastAsia="仿宋_GB2312" w:cs="Times New Roman" w:hint="eastAsia"/>
          <w:sz w:val="32"/>
          <w:szCs w:val="32"/>
          <w:lang w:val="en-US" w:eastAsia="zh-CN"/>
        </w:rPr>
      </w:pPr>
    </w:p>
    <w:p>
      <w:pPr>
        <w:rPr>
          <w:lang w:val="en-US" w:eastAsia="zh-CN"/>
        </w:rPr>
      </w:pP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附表：</w:t>
      </w:r>
    </w:p>
    <w:tbl>
      <w:tblPr>
        <w:tblpPr w:leftFromText="180" w:rightFromText="180" w:vertAnchor="text" w:horzAnchor="page" w:tblpX="1281" w:tblpY="660"/>
        <w:tblOverlap w:val="never"/>
        <w:tblW w:w="9577"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99"/>
        <w:gridCol w:w="982"/>
        <w:gridCol w:w="1433"/>
        <w:gridCol w:w="1680"/>
        <w:gridCol w:w="1672"/>
        <w:gridCol w:w="2111"/>
      </w:tblGrid>
      <w:tr>
        <w:trPr>
          <w:trHeight w:val="675"/>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ind w:firstLineChars="600" w:firstLine="1920"/>
              <w:textAlignment w:val="center"/>
              <w:rPr>
                <w:rFonts w:ascii="Times New Roman" w:cs="Times New Roman" w:hAnsi="Times New Roman"/>
                <w:b/>
                <w:sz w:val="32"/>
                <w:szCs w:val="32"/>
              </w:rPr>
            </w:pPr>
            <w:r>
              <w:rPr>
                <w:rFonts w:cs="Times New Roman" w:hint="eastAsia"/>
                <w:b/>
                <w:sz w:val="32"/>
                <w:szCs w:val="32"/>
                <w:lang w:eastAsia="zh-CN"/>
              </w:rPr>
              <w:t>2022年</w:t>
            </w:r>
            <w:r>
              <w:rPr>
                <w:rFonts w:ascii="Times New Roman" w:cs="Times New Roman" w:hAnsi="Times New Roman"/>
                <w:b/>
                <w:sz w:val="32"/>
                <w:szCs w:val="32"/>
              </w:rPr>
              <w:t>部门预算项目绩效目标自评</w:t>
            </w:r>
          </w:p>
        </w:tc>
      </w:tr>
      <w:tr>
        <w:trPr>
          <w:trHeight w:val="299"/>
        </w:trPr>
        <w:tc>
          <w:tcPr>
            <w:tcW w:w="26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主管部门及代码</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eastAsia="zh-CN"/>
              </w:rPr>
            </w:pPr>
            <w:r>
              <w:rPr>
                <w:rFonts w:ascii="仿宋" w:eastAsia="仿宋" w:cs="仿宋" w:hint="eastAsia"/>
                <w:sz w:val="24"/>
                <w:szCs w:val="24"/>
                <w:lang w:eastAsia="zh-CN"/>
              </w:rPr>
              <w:t>金川县供销合作社联合社</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实施单位</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eastAsia="zh-CN"/>
              </w:rPr>
            </w:pPr>
            <w:r>
              <w:rPr>
                <w:rFonts w:ascii="仿宋" w:eastAsia="仿宋" w:cs="仿宋" w:hint="eastAsia"/>
                <w:sz w:val="24"/>
                <w:szCs w:val="24"/>
                <w:lang w:eastAsia="zh-CN"/>
              </w:rPr>
              <w:t>金川县供销合作社联合社</w:t>
            </w:r>
          </w:p>
        </w:tc>
      </w:tr>
      <w:tr>
        <w:trPr>
          <w:trHeight w:val="341"/>
        </w:trPr>
        <w:tc>
          <w:tcPr>
            <w:tcW w:w="268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项目预算</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执行情况</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（万元）</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eastAsia="zh-CN"/>
              </w:rPr>
            </w:pPr>
            <w:r>
              <w:rPr>
                <w:rFonts w:ascii="仿宋" w:eastAsia="仿宋" w:cs="仿宋" w:hint="eastAsia"/>
                <w:sz w:val="24"/>
                <w:szCs w:val="24"/>
                <w:lang w:val="en-US" w:eastAsia="zh-CN"/>
              </w:rPr>
              <w:t>23</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执行数：</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rPr>
            </w:pPr>
            <w:r>
              <w:rPr>
                <w:rFonts w:ascii="仿宋" w:eastAsia="仿宋" w:cs="仿宋" w:hint="eastAsia"/>
                <w:sz w:val="24"/>
                <w:szCs w:val="24"/>
                <w:lang w:val="en-US" w:eastAsia="zh-CN" w:bidi="ar-SA"/>
              </w:rPr>
              <w:t>23</w:t>
            </w:r>
          </w:p>
        </w:tc>
      </w:tr>
      <w:tr>
        <w:trPr>
          <w:trHeight w:val="555"/>
        </w:trPr>
        <w:tc>
          <w:tcPr>
            <w:tcW w:w="268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eastAsia="zh-CN"/>
              </w:rPr>
            </w:pPr>
            <w:r>
              <w:rPr>
                <w:rFonts w:ascii="仿宋" w:eastAsia="仿宋" w:cs="仿宋" w:hint="eastAsia"/>
                <w:sz w:val="24"/>
                <w:szCs w:val="24"/>
                <w:lang w:val="en-US" w:eastAsia="zh-CN"/>
              </w:rPr>
              <w:t>23</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eastAsia="zh-CN"/>
              </w:rPr>
            </w:pPr>
            <w:r>
              <w:rPr>
                <w:rFonts w:ascii="仿宋" w:eastAsia="仿宋" w:cs="仿宋" w:hint="eastAsia"/>
                <w:sz w:val="24"/>
                <w:szCs w:val="24"/>
                <w:lang w:val="en-US" w:eastAsia="zh-CN"/>
              </w:rPr>
              <w:t>23</w:t>
            </w:r>
          </w:p>
        </w:tc>
      </w:tr>
      <w:tr>
        <w:trPr>
          <w:trHeight w:val="341"/>
        </w:trPr>
        <w:tc>
          <w:tcPr>
            <w:tcW w:w="268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p>
        </w:tc>
      </w:tr>
      <w:tr>
        <w:trPr>
          <w:trHeight w:val="217"/>
        </w:trPr>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年度总体目标</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完成情况</w:t>
            </w: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预期目标</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目标实际完成情况</w:t>
            </w:r>
          </w:p>
        </w:tc>
      </w:tr>
      <w:tr>
        <w:trPr>
          <w:trHeight w:val="797"/>
        </w:trPr>
        <w:tc>
          <w:tcPr>
            <w:tcW w:w="16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top"/>
              <w:rPr>
                <w:rFonts w:ascii="仿宋" w:eastAsia="仿宋" w:cs="仿宋" w:hint="eastAsia"/>
                <w:sz w:val="24"/>
                <w:szCs w:val="24"/>
                <w:lang w:val="en-US"/>
              </w:rPr>
            </w:pPr>
            <w:r>
              <w:rPr>
                <w:rFonts w:ascii="仿宋" w:eastAsia="仿宋" w:cs="仿宋" w:hint="eastAsia"/>
                <w:sz w:val="24"/>
                <w:szCs w:val="24"/>
                <w:lang w:val="en-US" w:eastAsia="zh-CN"/>
              </w:rPr>
              <w:t>通过价格补贴以及储备补贴的方法，降低农牧民生产成本，保障农耕生产需求，保障农资商品质量安全，一定程度上促进农业可持续发展。</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top"/>
              <w:rPr>
                <w:rFonts w:ascii="仿宋" w:eastAsia="仿宋" w:cs="仿宋" w:hint="eastAsia"/>
                <w:sz w:val="24"/>
                <w:szCs w:val="24"/>
              </w:rPr>
            </w:pPr>
            <w:r>
              <w:rPr>
                <w:rFonts w:ascii="仿宋" w:eastAsia="仿宋" w:cs="仿宋" w:hint="eastAsia"/>
                <w:sz w:val="24"/>
                <w:szCs w:val="24"/>
                <w:lang w:val="en-US" w:eastAsia="zh-CN"/>
              </w:rPr>
              <w:t>通过价格补贴以及储备补贴的方法，降低农牧民生产成本，保障农耕生产需求，保障农资商品质量安全，一定程度上促进农业可持续发展。</w:t>
            </w:r>
          </w:p>
        </w:tc>
      </w:tr>
      <w:tr>
        <w:trPr>
          <w:trHeight w:val="693"/>
        </w:trPr>
        <w:tc>
          <w:tcPr>
            <w:tcW w:w="169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年度绩效指标完成情况</w:t>
            </w:r>
          </w:p>
        </w:tc>
        <w:tc>
          <w:tcPr>
            <w:tcW w:w="982"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一级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二级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三级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预期指标值</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实际完成指标值</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完成</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数量指标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补贴农资种类</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rPr>
            </w:pPr>
            <w:r>
              <w:rPr>
                <w:rFonts w:ascii="仿宋" w:eastAsia="仿宋" w:cs="仿宋" w:hint="eastAsia"/>
                <w:sz w:val="24"/>
                <w:szCs w:val="24"/>
                <w:lang w:val="en-US" w:eastAsia="zh-CN"/>
              </w:rPr>
              <w:t>≥5种</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≥5种</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nil"/>
              <w:left w:val="single" w:sz="4" w:space="0" w:color="000000"/>
              <w:bottom w:val="nil"/>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质量指标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农资产品质量合格率</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≥100%</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≥100%</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nil"/>
              <w:left w:val="single" w:sz="4" w:space="0" w:color="000000"/>
              <w:bottom w:val="nil"/>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质量指标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补贴标准准确率</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=100%</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=100%</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nil"/>
              <w:left w:val="single" w:sz="4" w:space="0" w:color="000000"/>
              <w:bottom w:val="nil"/>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时效指标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both"/>
              <w:textAlignment w:val="bottom"/>
              <w:rPr>
                <w:rFonts w:ascii="仿宋" w:eastAsia="仿宋" w:cs="仿宋" w:hint="eastAsia"/>
                <w:sz w:val="24"/>
                <w:szCs w:val="24"/>
              </w:rPr>
            </w:pPr>
            <w:r>
              <w:rPr>
                <w:rFonts w:ascii="仿宋" w:eastAsia="仿宋" w:cs="仿宋" w:hint="eastAsia"/>
                <w:sz w:val="24"/>
                <w:szCs w:val="24"/>
              </w:rPr>
              <w:t>项目完成进度</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2022年12月31日前完成</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2022年12月31日前完</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nil"/>
              <w:left w:val="single" w:sz="4" w:space="0" w:color="000000"/>
              <w:bottom w:val="nil"/>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成本指标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磷肥和氮肥</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60元/吨</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60元/吨</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nil"/>
              <w:left w:val="single" w:sz="4" w:space="0" w:color="000000"/>
              <w:bottom w:val="nil"/>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成本指标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生态有机肥补贴标准</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280元/吨</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280元/吨</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nil"/>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成本指标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复合肥补贴标准</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160元/吨</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160元/吨</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lang w:eastAsia="zh-CN"/>
              </w:rPr>
            </w:pPr>
            <w:r>
              <w:rPr>
                <w:rFonts w:ascii="仿宋" w:eastAsia="仿宋" w:cs="仿宋" w:hint="eastAsia"/>
                <w:kern w:val="0"/>
                <w:sz w:val="24"/>
                <w:szCs w:val="24"/>
              </w:rPr>
              <w:t>效益</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kern w:val="0"/>
                <w:sz w:val="24"/>
                <w:szCs w:val="24"/>
                <w:lang w:val="en-US" w:eastAsia="zh-CN"/>
              </w:rPr>
              <w:t>可持续影响指标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农业可持续发展</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both"/>
              <w:textAlignment w:val="bottom"/>
              <w:rPr>
                <w:rFonts w:ascii="仿宋" w:eastAsia="仿宋" w:cs="仿宋"/>
                <w:sz w:val="24"/>
                <w:szCs w:val="24"/>
                <w:lang w:val="en-US" w:eastAsia="zh-CN"/>
              </w:rPr>
            </w:pPr>
            <w:r>
              <w:rPr>
                <w:rFonts w:ascii="仿宋" w:eastAsia="仿宋" w:cs="仿宋" w:hint="eastAsia"/>
                <w:sz w:val="24"/>
                <w:szCs w:val="24"/>
                <w:lang w:val="en-US" w:eastAsia="zh-CN"/>
              </w:rPr>
              <w:t>保障农耕生产</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保障农耕生产</w:t>
            </w:r>
          </w:p>
        </w:tc>
      </w:tr>
      <w:tr>
        <w:trPr>
          <w:trHeight w:val="593"/>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社会效益  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农资春耕需求供应情况</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≥98%</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≥98%</w:t>
            </w:r>
          </w:p>
        </w:tc>
      </w:tr>
      <w:tr>
        <w:trPr>
          <w:trHeight w:val="530"/>
        </w:trPr>
        <w:tc>
          <w:tcPr>
            <w:tcW w:w="1699" w:type="dxa"/>
            <w:vMerge/>
            <w:tcBorders>
              <w:top w:val="nil"/>
              <w:left w:val="single" w:sz="4" w:space="0" w:color="000000"/>
              <w:bottom w:val="single" w:sz="4" w:space="0" w:color="000000"/>
              <w:right w:val="single" w:sz="4" w:space="0" w:color="000000"/>
            </w:tcBorders>
            <w:shd w:val="clear" w:color="auto" w:fill="auto"/>
            <w:noWrap/>
            <w:vAlign w:val="center"/>
          </w:tcP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lang w:eastAsia="zh-CN"/>
              </w:rPr>
            </w:pPr>
            <w:r>
              <w:rPr>
                <w:rFonts w:ascii="仿宋" w:eastAsia="仿宋" w:cs="仿宋" w:hint="eastAsia"/>
                <w:kern w:val="0"/>
                <w:sz w:val="24"/>
                <w:szCs w:val="24"/>
              </w:rPr>
              <w:t>满意</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度指标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满意度</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服务对象满意度</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≥95%</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≥95%</w:t>
            </w:r>
          </w:p>
        </w:tc>
      </w:tr>
    </w:tbl>
    <w:p>
      <w:pPr>
        <w:pageBreakBefore w:val="0"/>
        <w:widowControl/>
        <w:kinsoku/>
        <w:wordWrap/>
        <w:overflowPunct/>
        <w:topLinePunct w:val="0"/>
        <w:bidi w:val="0"/>
        <w:spacing w:line="576" w:lineRule="exact"/>
        <w:jc w:val="left"/>
        <w:rPr>
          <w:rStyle w:val="1Char"/>
          <w:rFonts w:ascii="Times New Roman" w:eastAsia="黑体" w:cs="Times New Roman" w:hAnsi="Times New Roman"/>
          <w:b w:val="0"/>
        </w:rPr>
      </w:pPr>
    </w:p>
    <w:p>
      <w:pPr>
        <w:pageBreakBefore w:val="0"/>
        <w:widowControl/>
        <w:kinsoku/>
        <w:wordWrap/>
        <w:overflowPunct/>
        <w:topLinePunct w:val="0"/>
        <w:bidi w:val="0"/>
        <w:spacing w:line="576" w:lineRule="exact"/>
        <w:jc w:val="left"/>
        <w:rPr>
          <w:rFonts w:ascii="Times New Roman" w:eastAsia="仿宋_GB2312" w:cs="Times New Roman" w:hAnsi="Times New Roman"/>
          <w:i w:val="0"/>
          <w:iCs w:val="0"/>
          <w:caps w:val="0"/>
          <w:smallCaps w:val="0"/>
          <w:color w:val="333333"/>
          <w:spacing w:val="0"/>
          <w:sz w:val="32"/>
          <w:szCs w:val="32"/>
          <w:shd w:val="clear" w:color="auto" w:fill="FFFFFF"/>
        </w:rPr>
      </w:pPr>
      <w:r>
        <w:rPr>
          <w:rStyle w:val="1Char"/>
          <w:rFonts w:ascii="Times New Roman" w:eastAsia="黑体" w:cs="Times New Roman" w:hAnsi="Times New Roman"/>
          <w:b w:val="0"/>
        </w:rPr>
        <w:br w:type="page"/>
      </w:r>
    </w:p>
    <w:p>
      <w:pPr>
        <w:pStyle w:val="15"/>
        <w:pageBreakBefore w:val="0"/>
        <w:widowControl w:val="0"/>
        <w:kinsoku/>
        <w:wordWrap/>
        <w:overflowPunct/>
        <w:topLinePunct w:val="0"/>
        <w:bidi w:val="0"/>
        <w:spacing w:beforeLines="0" w:before="93" w:line="576" w:lineRule="exact"/>
        <w:rPr>
          <w:rFonts w:ascii="Times New Roman" w:eastAsia="仿宋_GB2312" w:cs="Times New Roman" w:hAnsi="Times New Roman" w:hint="eastAsia"/>
          <w:lang w:val="en-US" w:eastAsia="zh-CN"/>
        </w:rPr>
      </w:pPr>
      <w:r>
        <w:rPr>
          <w:rFonts w:ascii="Times New Roman" w:cs="Times New Roman" w:hAnsi="Times New Roman"/>
          <w:sz w:val="32"/>
          <w:szCs w:val="32"/>
          <w:shd w:val="clear" w:color="auto" w:fill="FFFFFF"/>
          <w:lang w:val="zh-CN"/>
        </w:rPr>
        <w:t>附件</w:t>
      </w:r>
      <w:r>
        <w:rPr>
          <w:rFonts w:ascii="Times New Roman" w:cs="Times New Roman" w:hAnsi="Times New Roman" w:hint="eastAsia"/>
          <w:sz w:val="32"/>
          <w:szCs w:val="32"/>
          <w:shd w:val="clear" w:color="auto" w:fill="FFFFFF"/>
          <w:lang w:val="en-US" w:eastAsia="zh-CN"/>
        </w:rPr>
        <w:t>3</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hint="eastAsia"/>
          <w:sz w:val="40"/>
          <w:szCs w:val="40"/>
          <w:lang w:val="zh-CN"/>
        </w:rPr>
      </w:pPr>
      <w:r>
        <w:rPr>
          <w:rFonts w:ascii="Times New Roman" w:eastAsia="方正小标宋简体" w:cs="Times New Roman" w:hAnsi="Times New Roman" w:hint="eastAsia"/>
          <w:sz w:val="40"/>
          <w:szCs w:val="40"/>
          <w:lang w:val="zh-CN"/>
        </w:rPr>
        <w:t>2022年三社融合试点项目支出绩效评价报告</w:t>
      </w:r>
    </w:p>
    <w:p>
      <w:pPr>
        <w:pStyle w:val="15"/>
        <w:rPr>
          <w:lang w:val="zh-CN"/>
        </w:rPr>
      </w:pPr>
    </w:p>
    <w:p>
      <w:pPr>
        <w:pStyle w:val="24"/>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内容摘要</w:t>
      </w:r>
    </w:p>
    <w:p>
      <w:pPr>
        <w:pStyle w:val="22"/>
        <w:keepNext w:val="0"/>
        <w:keepLines w:val="0"/>
        <w:pageBreakBefore w:val="0"/>
        <w:widowControl w:val="0"/>
        <w:suppressLineNumbers w:val="0"/>
        <w:suppressAutoHyphens/>
        <w:kinsoku/>
        <w:wordWrap/>
        <w:overflowPunct/>
        <w:topLinePunct w:val="0"/>
        <w:autoSpaceDE/>
        <w:autoSpaceDN/>
        <w:bidi w:val="0"/>
        <w:adjustRightInd w:val="0"/>
        <w:snapToGrid w:val="0"/>
        <w:spacing w:line="540" w:lineRule="exact"/>
        <w:ind w:leftChars="0" w:left="0" w:firstLineChars="200" w:firstLine="640"/>
        <w:textAlignment w:val="auto"/>
        <w:rPr>
          <w:rFonts w:ascii="仿宋_GB2312" w:eastAsia="仿宋_GB2312" w:cs="Times New Roman"/>
          <w:sz w:val="32"/>
          <w:szCs w:val="32"/>
          <w:lang w:val="en-US" w:eastAsia="zh-CN"/>
        </w:rPr>
      </w:pPr>
      <w:r>
        <w:rPr>
          <w:rFonts w:ascii="仿宋_GB2312" w:eastAsia="仿宋_GB2312" w:cs="Times New Roman" w:hint="eastAsia"/>
          <w:sz w:val="32"/>
          <w:szCs w:val="32"/>
          <w:lang w:val="en-US" w:eastAsia="zh-CN"/>
        </w:rPr>
        <w:t>为深入贯彻落实省委、州委、州政府和州供销社及县委、县政府关于乡村振</w:t>
      </w:r>
      <w:r>
        <w:rPr>
          <w:rFonts w:ascii="仿宋_GB2312" w:eastAsia="仿宋_GB2312" w:cs="Times New Roman"/>
          <w:sz w:val="32"/>
          <w:szCs w:val="32"/>
          <w:lang w:val="en-US" w:eastAsia="zh-CN"/>
        </w:rPr>
        <w:t>兴</w:t>
      </w:r>
      <w:r>
        <w:rPr>
          <w:rFonts w:ascii="仿宋_GB2312" w:eastAsia="仿宋_GB2312" w:cs="Times New Roman" w:hint="eastAsia"/>
          <w:sz w:val="32"/>
          <w:szCs w:val="32"/>
          <w:lang w:val="en-US" w:eastAsia="zh-CN"/>
        </w:rPr>
        <w:t>的战略部署，</w:t>
      </w:r>
      <w:r>
        <w:rPr>
          <w:rFonts w:ascii="仿宋_GB2312" w:eastAsia="仿宋_GB2312" w:cs="Times New Roman" w:hint="eastAsia"/>
          <w:color w:val="auto"/>
          <w:kern w:val="2"/>
          <w:sz w:val="32"/>
          <w:szCs w:val="32"/>
          <w:lang w:val="en-US" w:eastAsia="zh-CN" w:bidi="ar-SA"/>
        </w:rPr>
        <w:t>按照《金川县财政局 金川县乡村振兴局 关于预下达2022年第二批财政涉农整合资金的通知》（金财农整合【2022】8号）文件要求，我单位2022年“三社”融合试点建设项目，</w:t>
      </w:r>
      <w:r>
        <w:rPr>
          <w:rFonts w:ascii="仿宋_GB2312" w:eastAsia="仿宋_GB2312" w:cs="Times New Roman" w:hint="eastAsia"/>
          <w:sz w:val="32"/>
          <w:szCs w:val="32"/>
          <w:lang w:val="en-US" w:eastAsia="zh-CN"/>
        </w:rPr>
        <w:t>试点探索供销合作社、角木村农村集体经济组织、高原红水果种植专业合作社（以下简称“三社”）融合发展。</w:t>
      </w:r>
      <w:r>
        <w:rPr>
          <w:rFonts w:ascii="仿宋_GB2312" w:eastAsia="仿宋_GB2312" w:cs="Times New Roman" w:hint="eastAsia"/>
          <w:color w:val="auto"/>
          <w:kern w:val="2"/>
          <w:sz w:val="32"/>
          <w:szCs w:val="32"/>
          <w:lang w:val="en-US" w:eastAsia="zh-CN" w:bidi="ar-SA"/>
        </w:rPr>
        <w:t>项目资金为10万元，现已建设完工，资金的申报、批复等流程符合资金管理的相关文件规定，操作规范。我单位较好地完成了2022年初设定的工作任务，此项目得到有序开展。</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lang w:val="en-US" w:eastAsia="zh-CN"/>
        </w:rPr>
        <w:t>二</w:t>
      </w:r>
      <w:r>
        <w:rPr>
          <w:rFonts w:ascii="黑体" w:eastAsia="黑体" w:cs="黑体" w:hint="eastAsia"/>
          <w:color w:val="000000"/>
          <w:sz w:val="31"/>
          <w:szCs w:val="31"/>
        </w:rPr>
        <w:t>、评价工作开展及项目情况</w:t>
      </w:r>
    </w:p>
    <w:p>
      <w:pPr>
        <w:pStyle w:val="22"/>
        <w:keepNext w:val="0"/>
        <w:keepLines w:val="0"/>
        <w:pageBreakBefore w:val="0"/>
        <w:widowControl w:val="0"/>
        <w:suppressLineNumbers w:val="0"/>
        <w:suppressAutoHyphens/>
        <w:kinsoku/>
        <w:wordWrap/>
        <w:overflowPunct/>
        <w:topLinePunct w:val="0"/>
        <w:autoSpaceDE/>
        <w:autoSpaceDN/>
        <w:bidi w:val="0"/>
        <w:adjustRightInd w:val="0"/>
        <w:snapToGrid w:val="0"/>
        <w:spacing w:line="540" w:lineRule="exact"/>
        <w:ind w:leftChars="0" w:left="0" w:firstLineChars="200" w:firstLine="640"/>
        <w:jc w:val="left"/>
        <w:textAlignment w:val="auto"/>
        <w:rPr>
          <w:rFonts w:ascii="仿宋_GB2312" w:eastAsia="仿宋_GB2312" w:cs="仿宋_GB2312" w:hint="eastAsia"/>
          <w:color w:val="000000"/>
          <w:sz w:val="31"/>
          <w:szCs w:val="31"/>
        </w:rPr>
      </w:pPr>
      <w:r>
        <w:rPr>
          <w:rFonts w:ascii="仿宋_GB2312" w:eastAsia="仿宋_GB2312" w:cs="仿宋_GB2312" w:hint="eastAsia"/>
          <w:sz w:val="32"/>
          <w:szCs w:val="32"/>
          <w:lang w:val="en-US" w:eastAsia="zh-CN"/>
        </w:rPr>
        <w:t>根据《金川县财政局 关于开展2023年部门、政策和项目支出绩效评价工作的通知》（【2023】32号）文件要求，我单位通过成立领导小组、召开座谈会的方式开展</w:t>
      </w:r>
      <w:r>
        <w:rPr>
          <w:rFonts w:ascii="仿宋_GB2312" w:eastAsia="仿宋_GB2312" w:cs="仿宋_GB2312" w:hint="eastAsia"/>
          <w:color w:val="000000"/>
          <w:sz w:val="31"/>
          <w:szCs w:val="31"/>
        </w:rPr>
        <w:t>项目</w:t>
      </w:r>
      <w:r>
        <w:rPr>
          <w:rFonts w:ascii="仿宋_GB2312" w:eastAsia="仿宋_GB2312" w:cs="仿宋_GB2312" w:hint="eastAsia"/>
          <w:color w:val="000000"/>
          <w:sz w:val="31"/>
          <w:szCs w:val="31"/>
          <w:lang w:val="en-US" w:eastAsia="zh-CN"/>
        </w:rPr>
        <w:t>自评</w:t>
      </w:r>
      <w:r>
        <w:rPr>
          <w:rFonts w:ascii="仿宋_GB2312" w:eastAsia="仿宋_GB2312" w:cs="仿宋_GB2312" w:hint="eastAsia"/>
          <w:sz w:val="32"/>
          <w:szCs w:val="32"/>
          <w:lang w:val="en-US" w:eastAsia="zh-CN"/>
        </w:rPr>
        <w:t>。我单位成立了以主任何传伟为组长，分管副主任陶燕为副组长，办公室、财务室人员为成员的自评工作领导小组。收集2022年“三社”融合试点建设项目相关基础资料，查阅资料、收集数据等信息，通过采用成本效益分析法、比较法、因素分析法、最低成本法、公众评判法等，对项目的立项必要性、投入经济性、目标合理性、方案可行性以及筹资合规性实施评估。深入论证分析后，形成项目支出绩效评估报告。</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lang w:val="en-US" w:eastAsia="zh-CN"/>
        </w:rPr>
        <w:t>三</w:t>
      </w:r>
      <w:r>
        <w:rPr>
          <w:rFonts w:ascii="黑体" w:eastAsia="黑体" w:cs="黑体" w:hint="eastAsia"/>
          <w:color w:val="000000"/>
          <w:sz w:val="31"/>
          <w:szCs w:val="31"/>
        </w:rPr>
        <w:t>、评价结论及绩效分析</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（一）评价结论</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sz w:val="32"/>
          <w:szCs w:val="32"/>
          <w:lang w:val="en-US" w:eastAsia="zh-CN"/>
        </w:rPr>
        <w:t>通过对项目的立项必要性、投入经济性、目标合理性、方案可行性以及筹资合规性等实施深入评估，</w:t>
      </w:r>
      <w:r>
        <w:rPr>
          <w:rFonts w:ascii="仿宋_GB2312" w:eastAsia="仿宋_GB2312" w:cs="Times New Roman" w:hint="eastAsia"/>
          <w:sz w:val="32"/>
          <w:szCs w:val="32"/>
          <w:lang w:val="en-US" w:eastAsia="zh-CN"/>
        </w:rPr>
        <w:t>2022年“三社”融合试点建设项目财政支出目标明确、具体，决策程序科学、有效，项目管理完善，项目目标和效果基本达成。通过指标的自评汇总分析，我单位项目绩效自评为89.8分。</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（二）绩效分析</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1.项目决策</w:t>
      </w:r>
    </w:p>
    <w:p>
      <w:pPr>
        <w:snapToGrid w:val="0"/>
        <w:spacing w:line="600" w:lineRule="exact"/>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项目立项符合党的十九大和十九届历次全会精神以及习近平总书记对供销合作社工作的重要指示批示精神，坚持新发展理念，持续深化综合改革，不断完善体制机制，拓展经营服务领域。本单位的主要职能是贯彻党和国家有关农村经济工作和社会发展的方针政策，发挥党和政府密切联系农民群众桥梁纽带作用，巩固党在农村的执政基础，领办创办农民专业合作社及其联合社，探索开展生产、供销、信用“三位一体”综合合作，该项目立项符合我单位的主要职能的履行。具有满足农牧民农资需求的现实必要性，有利于发挥村“两委”的政治优势和组织优势，发挥供销合作社的经营服务优势，加强供销合作社与农民专业合作社、村集体经济的联合合作，实现三方发展共赢。促进供销社和农民专业合作社融合发展，打通利益联结通道。通过以奖代补的方式促进公司发展，提升基层社业务水平，带动集体经济增收，增加农民经济收入。</w:t>
      </w:r>
    </w:p>
    <w:p>
      <w:pPr>
        <w:snapToGrid w:val="0"/>
        <w:spacing w:line="600" w:lineRule="exact"/>
        <w:ind w:firstLineChars="200" w:firstLine="640"/>
        <w:rPr>
          <w:rFonts w:ascii="仿宋_GB2312" w:eastAsia="仿宋_GB2312" w:cs="仿宋_GB2312" w:hint="eastAsia"/>
          <w:color w:val="000000"/>
          <w:sz w:val="31"/>
          <w:szCs w:val="31"/>
        </w:rPr>
      </w:pPr>
      <w:r>
        <w:rPr>
          <w:rFonts w:ascii="仿宋_GB2312" w:eastAsia="仿宋_GB2312" w:cs="Times New Roman" w:hint="eastAsia"/>
          <w:sz w:val="32"/>
          <w:szCs w:val="32"/>
          <w:lang w:val="en-US" w:eastAsia="zh-CN"/>
        </w:rPr>
        <w:t>2022年“三社”融合试点建设项目共计设置7个绩效指标，绩效目标和绩效指标量化可考核。该项目契合党的十九大和十九届历次全会精神以及习近平总书记对供销合作社工作的重要指示批示精神，与我单位发挥党和政府密切联系农民群众桥梁纽带作用的长期目标相一致。</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2.项目实施</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cs="仿宋_GB2312" w:hint="eastAsia"/>
          <w:color w:val="000000"/>
          <w:sz w:val="31"/>
          <w:szCs w:val="31"/>
        </w:rPr>
      </w:pPr>
      <w:r>
        <w:rPr>
          <w:rFonts w:ascii="仿宋_GB2312" w:eastAsia="仿宋_GB2312" w:cs="Times New Roman" w:hint="eastAsia"/>
          <w:color w:val="auto"/>
          <w:kern w:val="2"/>
          <w:sz w:val="32"/>
          <w:szCs w:val="32"/>
          <w:lang w:val="en-US" w:eastAsia="zh-CN" w:bidi="ar-SA"/>
        </w:rPr>
        <w:t>2022年州级财政涉农资金到位10万元，全部为财政涉农整合资金。项目按计划组织实施，到位资金与计划使用资金金额相符，资金到位率为100%，到位及时，达到专款专用。我社采取股权投入方式，将财政奖补资金10万元全额投入新建三社融合试点即金川县角木牛村三社融合建设点，现已拨付完成。资金的拨付有完整的审批程序和手续;不存在截留、挤占、挪用、虚列支出等情况。保障会计核算准确、财务资料完整。</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3.项目绩效</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仿宋_GB2312" w:hint="eastAsia"/>
          <w:color w:val="000000"/>
          <w:sz w:val="31"/>
          <w:szCs w:val="31"/>
        </w:rPr>
      </w:pPr>
      <w:r>
        <w:rPr>
          <w:rFonts w:ascii="仿宋_GB2312" w:eastAsia="仿宋_GB2312" w:cs="仿宋_GB2312" w:hint="eastAsia"/>
          <w:sz w:val="32"/>
          <w:szCs w:val="32"/>
          <w:lang w:val="en-US" w:eastAsia="zh-CN"/>
        </w:rPr>
        <w:t>我单位较好地完成了2022年初设定的项目绩效目标，此项目得到有序开展。已于2022年8月前完成全部项目的100%，资金拨付达到100%，完成项目验收率达到100%。项目成本控制在10万元。</w:t>
      </w:r>
      <w:r>
        <w:rPr>
          <w:rFonts w:ascii="仿宋_GB2312" w:eastAsia="仿宋_GB2312" w:cs="仿宋_GB2312" w:hint="eastAsia"/>
          <w:sz w:val="32"/>
          <w:szCs w:val="32"/>
        </w:rPr>
        <w:t>自</w:t>
      </w:r>
      <w:r>
        <w:rPr>
          <w:rFonts w:ascii="仿宋_GB2312" w:eastAsia="仿宋_GB2312" w:cs="仿宋_GB2312" w:hint="eastAsia"/>
          <w:sz w:val="32"/>
          <w:szCs w:val="32"/>
          <w:lang w:val="en-US" w:eastAsia="zh-CN"/>
        </w:rPr>
        <w:t>项目建成</w:t>
      </w:r>
      <w:r>
        <w:rPr>
          <w:rFonts w:ascii="仿宋_GB2312" w:eastAsia="仿宋_GB2312" w:cs="仿宋_GB2312" w:hint="eastAsia"/>
          <w:sz w:val="32"/>
          <w:szCs w:val="32"/>
        </w:rPr>
        <w:t>以来，我单位对</w:t>
      </w:r>
      <w:r>
        <w:rPr>
          <w:rFonts w:ascii="仿宋_GB2312" w:eastAsia="仿宋_GB2312" w:cs="仿宋_GB2312" w:hint="eastAsia"/>
          <w:sz w:val="32"/>
          <w:szCs w:val="32"/>
          <w:lang w:val="en-US" w:eastAsia="zh-CN"/>
        </w:rPr>
        <w:t>该</w:t>
      </w:r>
      <w:r>
        <w:rPr>
          <w:rFonts w:ascii="仿宋_GB2312" w:eastAsia="仿宋_GB2312" w:cs="仿宋_GB2312" w:hint="eastAsia"/>
          <w:sz w:val="32"/>
          <w:szCs w:val="32"/>
        </w:rPr>
        <w:t>项目实施和整体社会效益及满意度等各项指标</w:t>
      </w:r>
      <w:r>
        <w:rPr>
          <w:rFonts w:ascii="仿宋_GB2312" w:eastAsia="仿宋_GB2312" w:cs="仿宋_GB2312" w:hint="eastAsia"/>
          <w:sz w:val="32"/>
          <w:szCs w:val="32"/>
          <w:lang w:val="en-US" w:eastAsia="zh-CN"/>
        </w:rPr>
        <w:t>进行</w:t>
      </w:r>
      <w:r>
        <w:rPr>
          <w:rFonts w:ascii="仿宋_GB2312" w:eastAsia="仿宋_GB2312" w:cs="仿宋_GB2312" w:hint="eastAsia"/>
          <w:sz w:val="32"/>
          <w:szCs w:val="32"/>
        </w:rPr>
        <w:t>调查，基本情况是群众对项目实施满意度达</w:t>
      </w:r>
      <w:r>
        <w:rPr>
          <w:rFonts w:ascii="仿宋_GB2312" w:eastAsia="仿宋_GB2312" w:cs="仿宋_GB2312" w:hint="eastAsia"/>
          <w:sz w:val="32"/>
          <w:szCs w:val="32"/>
          <w:lang w:val="en-US" w:eastAsia="zh-CN"/>
        </w:rPr>
        <w:t>95</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以上</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有效的提升了供销社的综合服务能力，</w:t>
      </w:r>
      <w:r>
        <w:rPr>
          <w:rFonts w:ascii="仿宋_GB2312" w:eastAsia="仿宋_GB2312" w:cs="仿宋_GB2312" w:hint="eastAsia"/>
          <w:sz w:val="32"/>
          <w:szCs w:val="32"/>
        </w:rPr>
        <w:t>项目社会效益和经济效益明显，达到了预期效果。</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黑体" w:eastAsia="黑体" w:cs="黑体" w:hint="eastAsia"/>
          <w:color w:val="000000"/>
          <w:sz w:val="31"/>
          <w:szCs w:val="31"/>
        </w:rPr>
      </w:pPr>
      <w:r>
        <w:rPr>
          <w:rFonts w:ascii="黑体" w:eastAsia="黑体" w:cs="黑体" w:hint="eastAsia"/>
          <w:color w:val="000000"/>
          <w:sz w:val="31"/>
          <w:szCs w:val="31"/>
          <w:lang w:val="en-US" w:eastAsia="zh-CN"/>
        </w:rPr>
        <w:t>四、</w:t>
      </w:r>
      <w:r>
        <w:rPr>
          <w:rFonts w:ascii="黑体" w:eastAsia="黑体" w:cs="黑体" w:hint="eastAsia"/>
          <w:color w:val="000000"/>
          <w:sz w:val="31"/>
          <w:szCs w:val="31"/>
        </w:rPr>
        <w:t>存在主要问题</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color w:val="auto"/>
          <w:kern w:val="2"/>
          <w:sz w:val="32"/>
          <w:szCs w:val="32"/>
          <w:lang w:val="en-US" w:eastAsia="zh-CN" w:bidi="ar-SA"/>
        </w:rPr>
        <w:t>一是</w:t>
      </w:r>
      <w:r>
        <w:rPr>
          <w:rFonts w:ascii="仿宋_GB2312" w:eastAsia="仿宋_GB2312" w:cs="Times New Roman" w:hint="eastAsia"/>
          <w:color w:val="auto"/>
          <w:kern w:val="2"/>
          <w:sz w:val="32"/>
          <w:szCs w:val="32"/>
          <w:lang w:val="en-US" w:eastAsia="zh-CN" w:bidi="ar-SA"/>
        </w:rPr>
        <w:t>缺乏人才。“三社”融合发展急需管理人才和技术性专业人才。目前由于缺乏专业人才，基层社对社员生产指导不够，专业合作社难以生产出适应市场需求的农产品。由于缺乏市场开拓人才，导致合作社员的农产品尚未完全销售，也更难以卖出高价格，导致达不到预期的收益目标。</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二</w:t>
      </w:r>
      <w:r>
        <w:rPr>
          <w:rFonts w:ascii="仿宋_GB2312" w:eastAsia="仿宋_GB2312" w:cs="Times New Roman"/>
          <w:color w:val="auto"/>
          <w:kern w:val="2"/>
          <w:sz w:val="32"/>
          <w:szCs w:val="32"/>
          <w:lang w:val="en-US" w:eastAsia="zh-CN" w:bidi="ar-SA"/>
        </w:rPr>
        <w:t>是</w:t>
      </w:r>
      <w:r>
        <w:rPr>
          <w:rFonts w:ascii="仿宋_GB2312" w:eastAsia="仿宋_GB2312" w:cs="Times New Roman" w:hint="eastAsia"/>
          <w:color w:val="auto"/>
          <w:kern w:val="2"/>
          <w:sz w:val="32"/>
          <w:szCs w:val="32"/>
          <w:lang w:val="en-US" w:eastAsia="zh-CN" w:bidi="ar-SA"/>
        </w:rPr>
        <w:t>“三社”融合难。基层供销社、专合社、村集体组织存在融合难的问题。农民专业合作社与社员建利益连结不紧密，未建立起农民出资、农民参加、农民受益的多形式利益共享机制。主要在于农民有顾虑，担心投入后不能得到回报。</w:t>
      </w:r>
    </w:p>
    <w:p>
      <w:pPr>
        <w:pStyle w:val="24"/>
        <w:keepNext w:val="0"/>
        <w:keepLines w:val="0"/>
        <w:widowControl/>
        <w:numPr>
          <w:ilvl w:val="0"/>
          <w:numId w:val="7"/>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相关措施建议</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针对缺乏管理人才和专业性人才的问题，应当加强基层社对社员的生产指导，基层社多进行相关专业培训，培养管理人才以及生产人才，引导社员生产适应市场需求的农产品。另外，可以进行适当的经济利益激励机制，吸引并留住人才，激励人才的发展。</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color w:val="auto"/>
          <w:kern w:val="2"/>
          <w:sz w:val="32"/>
          <w:szCs w:val="32"/>
          <w:lang w:val="zh-CN" w:eastAsia="zh-CN" w:bidi="ar-SA"/>
        </w:rPr>
      </w:pPr>
      <w:r>
        <w:rPr>
          <w:rFonts w:ascii="仿宋_GB2312" w:eastAsia="仿宋_GB2312" w:cs="Times New Roman" w:hint="eastAsia"/>
          <w:color w:val="auto"/>
          <w:kern w:val="2"/>
          <w:sz w:val="32"/>
          <w:szCs w:val="32"/>
          <w:lang w:val="en-US" w:eastAsia="zh-CN" w:bidi="ar-SA"/>
        </w:rPr>
        <w:t>制定一定的农民投资保护制度，解决农民的后顾之忧，加大宣传，让农民充分的了解“三社”融合的意义与发展前景，鼓励农民出资、农民参与“三社”融合以建立多形式的利益共享机制。</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附表：</w:t>
      </w:r>
    </w:p>
    <w:tbl>
      <w:tblPr>
        <w:tblpPr w:leftFromText="180" w:rightFromText="180" w:vertAnchor="text" w:horzAnchor="page" w:tblpX="1281" w:tblpY="660"/>
        <w:tblOverlap w:val="never"/>
        <w:tblW w:w="9577"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99"/>
        <w:gridCol w:w="982"/>
        <w:gridCol w:w="1433"/>
        <w:gridCol w:w="1680"/>
        <w:gridCol w:w="1672"/>
        <w:gridCol w:w="2111"/>
      </w:tblGrid>
      <w:tr>
        <w:trPr>
          <w:trHeight w:val="675"/>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ind w:firstLineChars="600" w:firstLine="1920"/>
              <w:textAlignment w:val="center"/>
              <w:rPr>
                <w:rFonts w:ascii="Times New Roman" w:cs="Times New Roman" w:hAnsi="Times New Roman"/>
                <w:b/>
                <w:sz w:val="32"/>
                <w:szCs w:val="32"/>
              </w:rPr>
            </w:pPr>
            <w:r>
              <w:rPr>
                <w:rFonts w:cs="Times New Roman" w:hint="eastAsia"/>
                <w:b/>
                <w:sz w:val="32"/>
                <w:szCs w:val="32"/>
                <w:lang w:eastAsia="zh-CN"/>
              </w:rPr>
              <w:t>2022年</w:t>
            </w:r>
            <w:r>
              <w:rPr>
                <w:rFonts w:ascii="Times New Roman" w:cs="Times New Roman" w:hAnsi="Times New Roman"/>
                <w:b/>
                <w:sz w:val="32"/>
                <w:szCs w:val="32"/>
              </w:rPr>
              <w:t>部门预算项目绩效目标自评</w:t>
            </w:r>
          </w:p>
        </w:tc>
      </w:tr>
      <w:tr>
        <w:trPr>
          <w:trHeight w:val="299"/>
        </w:trPr>
        <w:tc>
          <w:tcPr>
            <w:tcW w:w="26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主管部门及代码</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eastAsia="zh-CN"/>
              </w:rPr>
            </w:pPr>
            <w:r>
              <w:rPr>
                <w:rFonts w:ascii="仿宋" w:eastAsia="仿宋" w:cs="仿宋" w:hint="eastAsia"/>
                <w:sz w:val="24"/>
                <w:szCs w:val="24"/>
                <w:lang w:eastAsia="zh-CN"/>
              </w:rPr>
              <w:t>金川县供销合作社联合社</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实施单位</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eastAsia="zh-CN"/>
              </w:rPr>
            </w:pPr>
            <w:r>
              <w:rPr>
                <w:rFonts w:ascii="仿宋" w:eastAsia="仿宋" w:cs="仿宋" w:hint="eastAsia"/>
                <w:sz w:val="24"/>
                <w:szCs w:val="24"/>
                <w:lang w:eastAsia="zh-CN"/>
              </w:rPr>
              <w:t>金川县供销合作社联合社</w:t>
            </w:r>
          </w:p>
        </w:tc>
      </w:tr>
      <w:tr>
        <w:trPr>
          <w:trHeight w:val="341"/>
        </w:trPr>
        <w:tc>
          <w:tcPr>
            <w:tcW w:w="268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项目预算</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执行情况</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（万元）</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eastAsia="zh-CN"/>
              </w:rPr>
            </w:pPr>
            <w:r>
              <w:rPr>
                <w:rFonts w:ascii="仿宋" w:eastAsia="仿宋" w:cs="仿宋" w:hint="eastAsia"/>
                <w:sz w:val="24"/>
                <w:szCs w:val="24"/>
                <w:lang w:val="en-US" w:eastAsia="zh-CN"/>
              </w:rPr>
              <w:t>10</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执行数：</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rPr>
            </w:pPr>
            <w:r>
              <w:rPr>
                <w:rFonts w:ascii="仿宋" w:eastAsia="仿宋" w:cs="仿宋" w:hint="eastAsia"/>
                <w:sz w:val="24"/>
                <w:szCs w:val="24"/>
                <w:lang w:val="en-US" w:eastAsia="zh-CN" w:bidi="ar-SA"/>
              </w:rPr>
              <w:t>10</w:t>
            </w:r>
          </w:p>
        </w:tc>
      </w:tr>
      <w:tr>
        <w:trPr>
          <w:trHeight w:val="555"/>
        </w:trPr>
        <w:tc>
          <w:tcPr>
            <w:tcW w:w="268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eastAsia="zh-CN"/>
              </w:rPr>
            </w:pPr>
            <w:r>
              <w:rPr>
                <w:rFonts w:ascii="仿宋" w:eastAsia="仿宋" w:cs="仿宋" w:hint="eastAsia"/>
                <w:sz w:val="24"/>
                <w:szCs w:val="24"/>
                <w:lang w:val="en-US" w:eastAsia="zh-CN"/>
              </w:rPr>
              <w:t>10</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sz w:val="24"/>
                <w:szCs w:val="24"/>
                <w:lang w:val="en-US" w:eastAsia="zh-CN"/>
              </w:rPr>
            </w:pPr>
            <w:r>
              <w:rPr>
                <w:rFonts w:ascii="仿宋" w:eastAsia="仿宋" w:cs="仿宋" w:hint="eastAsia"/>
                <w:sz w:val="24"/>
                <w:szCs w:val="24"/>
                <w:lang w:val="en-US" w:eastAsia="zh-CN"/>
              </w:rPr>
              <w:t>10</w:t>
            </w:r>
          </w:p>
        </w:tc>
      </w:tr>
      <w:tr>
        <w:trPr>
          <w:trHeight w:val="341"/>
        </w:trPr>
        <w:tc>
          <w:tcPr>
            <w:tcW w:w="268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p>
        </w:tc>
      </w:tr>
      <w:tr>
        <w:trPr>
          <w:trHeight w:val="437"/>
        </w:trPr>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年度总体目标</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完成情况</w:t>
            </w: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预期目标</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目标实际完成情况</w:t>
            </w:r>
          </w:p>
        </w:tc>
      </w:tr>
      <w:tr>
        <w:trPr>
          <w:trHeight w:val="2102"/>
        </w:trPr>
        <w:tc>
          <w:tcPr>
            <w:tcW w:w="16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top"/>
              <w:rPr>
                <w:rFonts w:ascii="仿宋" w:eastAsia="仿宋" w:cs="仿宋" w:hint="eastAsia"/>
                <w:sz w:val="24"/>
                <w:szCs w:val="24"/>
                <w:lang w:val="en-US"/>
              </w:rPr>
            </w:pPr>
            <w:r>
              <w:rPr>
                <w:rFonts w:ascii="仿宋" w:eastAsia="仿宋" w:cs="仿宋" w:hint="eastAsia"/>
                <w:sz w:val="24"/>
                <w:szCs w:val="24"/>
                <w:lang w:val="en-US" w:eastAsia="zh-CN"/>
              </w:rPr>
              <w:t>加强供销合作社与农民专业合作社、村集体经济的联合合作，实现三方发展共赢。通过以奖代补的方式促进公司发展，带动集体经济增收。</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top"/>
              <w:rPr>
                <w:rFonts w:ascii="仿宋" w:eastAsia="仿宋" w:cs="仿宋" w:hint="eastAsia"/>
                <w:sz w:val="24"/>
                <w:szCs w:val="24"/>
              </w:rPr>
            </w:pPr>
            <w:r>
              <w:rPr>
                <w:rFonts w:ascii="仿宋" w:eastAsia="仿宋" w:cs="仿宋" w:hint="eastAsia"/>
                <w:sz w:val="24"/>
                <w:szCs w:val="24"/>
                <w:lang w:val="en-US" w:eastAsia="zh-CN"/>
              </w:rPr>
              <w:t>加强供销合作社与农民专业合作社、村集体经济的联合合作，实现三方发展共赢。通过以奖代补的方式促进公司发展，提升基层社业务水平，带动集体经济增收，增加农民经济收入。</w:t>
            </w:r>
          </w:p>
        </w:tc>
      </w:tr>
      <w:tr>
        <w:trPr>
          <w:trHeight w:val="693"/>
        </w:trPr>
        <w:tc>
          <w:tcPr>
            <w:tcW w:w="169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年度绩效指标完成情况</w:t>
            </w:r>
          </w:p>
        </w:tc>
        <w:tc>
          <w:tcPr>
            <w:tcW w:w="982"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一级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二级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三级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预期指标值</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实际完成指标值</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完成</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数量指标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建设“三社”融合试点</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vertAlign w:val="baseline"/>
                <w:lang w:val="en-US" w:eastAsia="zh-CN"/>
              </w:rPr>
              <w:t>1</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vertAlign w:val="baseline"/>
                <w:lang w:val="en-US" w:eastAsia="zh-CN"/>
              </w:rPr>
              <w:t>1</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质量指标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增加基层社营业收入</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≥5%</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≥5%</w:t>
            </w:r>
          </w:p>
        </w:tc>
      </w:tr>
      <w:tr>
        <w:trPr>
          <w:trHeight w:val="415"/>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时效指标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both"/>
              <w:textAlignment w:val="bottom"/>
              <w:rPr>
                <w:rFonts w:ascii="仿宋" w:eastAsia="仿宋" w:cs="仿宋" w:hint="eastAsia"/>
                <w:sz w:val="24"/>
                <w:szCs w:val="24"/>
              </w:rPr>
            </w:pPr>
            <w:r>
              <w:rPr>
                <w:rFonts w:ascii="仿宋" w:eastAsia="仿宋" w:cs="仿宋" w:hint="eastAsia"/>
                <w:sz w:val="24"/>
                <w:szCs w:val="24"/>
              </w:rPr>
              <w:t>项目完成进度</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2022年8月31日前完成</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2022年8月31日前完</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成本指标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年度预算数</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10万元</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10万元</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lang w:eastAsia="zh-CN"/>
              </w:rPr>
            </w:pPr>
            <w:r>
              <w:rPr>
                <w:rFonts w:ascii="仿宋" w:eastAsia="仿宋" w:cs="仿宋" w:hint="eastAsia"/>
                <w:kern w:val="0"/>
                <w:sz w:val="24"/>
                <w:szCs w:val="24"/>
              </w:rPr>
              <w:t>效益</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eastAsia="zh-CN"/>
              </w:rPr>
            </w:pPr>
            <w:r>
              <w:rPr>
                <w:rFonts w:ascii="仿宋" w:eastAsia="仿宋" w:cs="仿宋" w:hint="eastAsia"/>
                <w:kern w:val="0"/>
                <w:sz w:val="24"/>
                <w:szCs w:val="24"/>
                <w:lang w:val="en-US" w:eastAsia="zh-CN"/>
              </w:rPr>
              <w:t>效果指标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lang w:val="en-US" w:eastAsia="zh-CN"/>
              </w:rPr>
              <w:t>种植绿色生态蔬菜</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rPr>
            </w:pPr>
            <w:r>
              <w:rPr>
                <w:rFonts w:ascii="仿宋" w:eastAsia="仿宋" w:cs="仿宋" w:hint="eastAsia"/>
                <w:sz w:val="24"/>
                <w:szCs w:val="24"/>
                <w:lang w:val="en-US" w:eastAsia="zh-CN"/>
              </w:rPr>
              <w:t>≥10亩</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≥10亩</w:t>
            </w:r>
          </w:p>
        </w:tc>
      </w:tr>
      <w:tr>
        <w:trPr>
          <w:trHeight w:val="480"/>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社会效益  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eastAsia="zh-CN"/>
              </w:rPr>
            </w:pPr>
            <w:r>
              <w:rPr>
                <w:rFonts w:ascii="仿宋" w:eastAsia="仿宋" w:cs="仿宋" w:hint="eastAsia"/>
                <w:sz w:val="24"/>
                <w:szCs w:val="24"/>
                <w:lang w:val="en-US" w:eastAsia="zh-CN"/>
              </w:rPr>
              <w:t>供销社</w:t>
            </w:r>
            <w:r>
              <w:rPr>
                <w:rFonts w:ascii="仿宋" w:eastAsia="仿宋" w:cs="仿宋" w:hint="eastAsia"/>
                <w:sz w:val="24"/>
                <w:szCs w:val="24"/>
              </w:rPr>
              <w:t>综合服务</w:t>
            </w:r>
            <w:r>
              <w:rPr>
                <w:rFonts w:ascii="仿宋" w:eastAsia="仿宋" w:cs="仿宋" w:hint="eastAsia"/>
                <w:sz w:val="24"/>
                <w:szCs w:val="24"/>
                <w:lang w:val="en-US" w:eastAsia="zh-CN"/>
              </w:rPr>
              <w:t>能力</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4"/>
                <w:szCs w:val="24"/>
                <w:lang w:val="en-US" w:eastAsia="zh-CN"/>
              </w:rPr>
            </w:pPr>
            <w:r>
              <w:rPr>
                <w:rFonts w:ascii="仿宋" w:eastAsia="仿宋" w:cs="仿宋" w:hint="eastAsia"/>
                <w:sz w:val="24"/>
                <w:szCs w:val="24"/>
              </w:rPr>
              <w:t>促进供销社和农民专业合作社</w:t>
            </w:r>
            <w:r>
              <w:rPr>
                <w:rFonts w:ascii="仿宋" w:eastAsia="仿宋" w:cs="仿宋" w:hint="eastAsia"/>
                <w:sz w:val="24"/>
                <w:szCs w:val="24"/>
                <w:lang w:val="en-US" w:eastAsia="zh-CN"/>
              </w:rPr>
              <w:t>融合发展，提升供销社综合服务能力</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促进供销社和农民专业合作社</w:t>
            </w:r>
            <w:r>
              <w:rPr>
                <w:rFonts w:ascii="仿宋" w:eastAsia="仿宋" w:cs="仿宋" w:hint="eastAsia"/>
                <w:sz w:val="24"/>
                <w:szCs w:val="24"/>
                <w:lang w:val="en-US" w:eastAsia="zh-CN"/>
              </w:rPr>
              <w:t>融合发展，提升供销社综合服务能力</w:t>
            </w:r>
          </w:p>
        </w:tc>
      </w:tr>
      <w:tr>
        <w:trPr>
          <w:trHeight w:val="530"/>
        </w:trPr>
        <w:tc>
          <w:tcPr>
            <w:tcW w:w="1699" w:type="dxa"/>
            <w:vMerge/>
            <w:tcBorders>
              <w:top w:val="nil"/>
              <w:left w:val="single" w:sz="4" w:space="0" w:color="000000"/>
              <w:bottom w:val="single" w:sz="4" w:space="0" w:color="000000"/>
              <w:right w:val="single" w:sz="4" w:space="0" w:color="000000"/>
            </w:tcBorders>
            <w:shd w:val="clear" w:color="auto" w:fill="auto"/>
            <w:noWrap/>
            <w:vAlign w:val="center"/>
          </w:tcP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lang w:eastAsia="zh-CN"/>
              </w:rPr>
            </w:pPr>
            <w:r>
              <w:rPr>
                <w:rFonts w:ascii="仿宋" w:eastAsia="仿宋" w:cs="仿宋" w:hint="eastAsia"/>
                <w:kern w:val="0"/>
                <w:sz w:val="24"/>
                <w:szCs w:val="24"/>
              </w:rPr>
              <w:t>满意</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度指标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满意度</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服务对象满意度</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≥95%</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≥95%</w:t>
            </w:r>
          </w:p>
        </w:tc>
      </w:tr>
    </w:tbl>
    <w:p>
      <w:pPr>
        <w:pageBreakBefore w:val="0"/>
        <w:widowControl w:val="0"/>
        <w:kinsoku/>
        <w:wordWrap/>
        <w:overflowPunct/>
        <w:topLinePunct w:val="0"/>
        <w:bidi w:val="0"/>
        <w:spacing w:line="576" w:lineRule="exact"/>
        <w:rPr>
          <w:rStyle w:val="1Char"/>
          <w:rFonts w:ascii="Times New Roman" w:eastAsia="黑体" w:cs="Times New Roman" w:hAnsi="Times New Roman"/>
          <w:b w:val="0"/>
        </w:rPr>
      </w:pPr>
    </w:p>
    <w:p>
      <w:pPr>
        <w:pStyle w:val="15"/>
        <w:pageBreakBefore w:val="0"/>
        <w:widowControl w:val="0"/>
        <w:bidi w:val="0"/>
        <w:rPr>
          <w:rFonts w:ascii="Times New Roman" w:cs="Times New Roman" w:hAnsi="Times New Roman"/>
        </w:rPr>
      </w:pPr>
    </w:p>
    <w:p>
      <w:pPr>
        <w:pStyle w:val="15"/>
        <w:pageBreakBefore w:val="0"/>
        <w:widowControl w:val="0"/>
        <w:bidi w:val="0"/>
        <w:rPr>
          <w:rFonts w:ascii="Times New Roman" w:cs="Times New Roman" w:hAnsi="Times New Roman"/>
        </w:rPr>
      </w:pPr>
    </w:p>
    <w:p>
      <w:pPr>
        <w:pStyle w:val="15"/>
        <w:pageBreakBefore w:val="0"/>
        <w:widowControl w:val="0"/>
        <w:kinsoku/>
        <w:wordWrap/>
        <w:overflowPunct/>
        <w:topLinePunct w:val="0"/>
        <w:bidi w:val="0"/>
        <w:spacing w:beforeLines="0" w:before="93" w:line="576" w:lineRule="exact"/>
        <w:rPr>
          <w:rFonts w:ascii="Times New Roman" w:eastAsia="仿宋_GB2312" w:cs="Times New Roman" w:hAnsi="Times New Roman" w:hint="eastAsia"/>
          <w:lang w:val="en-US" w:eastAsia="zh-CN"/>
        </w:rPr>
      </w:pPr>
      <w:r>
        <w:rPr>
          <w:rFonts w:ascii="Times New Roman" w:cs="Times New Roman" w:hAnsi="Times New Roman"/>
          <w:sz w:val="32"/>
          <w:szCs w:val="32"/>
          <w:shd w:val="clear" w:color="auto" w:fill="FFFFFF"/>
          <w:lang w:val="zh-CN"/>
        </w:rPr>
        <w:t>附件</w:t>
      </w:r>
      <w:r>
        <w:rPr>
          <w:rFonts w:ascii="Times New Roman" w:cs="Times New Roman" w:hAnsi="Times New Roman" w:hint="eastAsia"/>
          <w:sz w:val="32"/>
          <w:szCs w:val="32"/>
          <w:shd w:val="clear" w:color="auto" w:fill="FFFFFF"/>
          <w:lang w:val="en-US" w:eastAsia="zh-CN"/>
        </w:rPr>
        <w:t>4</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0"/>
          <w:szCs w:val="40"/>
          <w:lang w:val="zh-CN"/>
        </w:rPr>
      </w:pPr>
      <w:r>
        <w:rPr>
          <w:rFonts w:ascii="Times New Roman" w:eastAsia="方正小标宋简体" w:cs="Times New Roman" w:hAnsi="Times New Roman" w:hint="eastAsia"/>
          <w:sz w:val="40"/>
          <w:szCs w:val="40"/>
        </w:rPr>
        <w:t>2022年省级专项资金项目支出</w:t>
      </w:r>
      <w:r>
        <w:rPr>
          <w:rFonts w:ascii="Times New Roman" w:eastAsia="方正小标宋简体" w:cs="Times New Roman" w:hAnsi="Times New Roman" w:hint="eastAsia"/>
          <w:sz w:val="40"/>
          <w:szCs w:val="40"/>
          <w:lang w:val="zh-CN"/>
        </w:rPr>
        <w:t>绩效评价报告</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黑体" w:eastAsia="黑体" w:hint="eastAsia"/>
          <w:color w:val="auto"/>
          <w:sz w:val="32"/>
          <w:szCs w:val="32"/>
          <w:u w:val="none"/>
          <w:lang w:val="zh-CN"/>
          <w:highlight w:val="auto"/>
        </w:rPr>
      </w:pPr>
      <w:r>
        <w:rPr>
          <w:rFonts w:ascii="黑体" w:eastAsia="黑体" w:hint="eastAsia"/>
          <w:color w:val="auto"/>
          <w:sz w:val="32"/>
          <w:szCs w:val="32"/>
          <w:u w:val="none"/>
          <w:highlight w:val="auto"/>
        </w:rPr>
        <w:t>一、</w:t>
      </w:r>
      <w:r>
        <w:rPr>
          <w:rFonts w:ascii="黑体" w:eastAsia="黑体" w:hint="eastAsia"/>
          <w:color w:val="auto"/>
          <w:sz w:val="32"/>
          <w:szCs w:val="32"/>
          <w:u w:val="none"/>
          <w:lang w:val="zh-CN"/>
          <w:highlight w:val="auto"/>
        </w:rPr>
        <w:t>项目概况</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lang w:val="zh-CN"/>
        </w:rPr>
      </w:pPr>
      <w:r>
        <w:rPr>
          <w:rFonts w:ascii="楷体_GB2312" w:eastAsia="楷体_GB2312" w:hint="eastAsia"/>
          <w:b/>
          <w:color w:val="auto"/>
          <w:sz w:val="32"/>
          <w:szCs w:val="32"/>
          <w:u w:val="none"/>
          <w:lang w:val="zh-CN"/>
          <w:highlight w:val="auto"/>
        </w:rPr>
        <w:t>（一）项目基本情况。</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zh-CN" w:eastAsia="zh-CN" w:bidi="ar-SA"/>
        </w:rPr>
        <w:t>1．项目名称：</w:t>
      </w:r>
      <w:r>
        <w:rPr>
          <w:rFonts w:ascii="仿宋_GB2312" w:eastAsia="仿宋_GB2312" w:cs="Times New Roman" w:hint="eastAsia"/>
          <w:color w:val="auto"/>
          <w:kern w:val="2"/>
          <w:sz w:val="32"/>
          <w:szCs w:val="32"/>
          <w:lang w:val="en-US" w:eastAsia="zh-CN" w:bidi="ar-SA"/>
        </w:rPr>
        <w:t>2022年省级供销综合改革及发展专项资金</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2.项目单位：金川县供销合作社联合社</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3.</w:t>
      </w:r>
      <w:r>
        <w:rPr>
          <w:rFonts w:ascii="仿宋_GB2312" w:eastAsia="仿宋_GB2312" w:cs="Times New Roman" w:hint="eastAsia"/>
          <w:color w:val="auto"/>
          <w:kern w:val="2"/>
          <w:sz w:val="32"/>
          <w:szCs w:val="32"/>
          <w:lang w:val="zh-CN" w:eastAsia="zh-CN" w:bidi="ar-SA"/>
        </w:rPr>
        <w:t>主管部门：</w:t>
      </w:r>
      <w:r>
        <w:rPr>
          <w:rFonts w:ascii="仿宋_GB2312" w:eastAsia="仿宋_GB2312" w:cs="Times New Roman" w:hint="eastAsia"/>
          <w:color w:val="auto"/>
          <w:kern w:val="2"/>
          <w:sz w:val="32"/>
          <w:szCs w:val="32"/>
          <w:lang w:val="en-US" w:eastAsia="zh-CN" w:bidi="ar-SA"/>
        </w:rPr>
        <w:t>金川县供销合作社联合社</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4.主管单位职能：监督项目的实施，项目完工后对项目进行验收。</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5.项目起止年限：2022年-2022年</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6.资金申请情况及来源依据：</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全额申请，资金来源根据《关于下达2022年第一批省级供销综合改革及发展专项资金预算的通知》（金财建资【2022】11号）文件要求。</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7.项目概况：</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各级政府为支持农业发展，改善农业生产条件和生态环境，优化农业和农村经济结构，提高农业综合生产能力和综合效益，以密切与农民利益为核心，以提升为农服务为根本，全面深化供销社综合改革，稳步推进改革各项工作，让供销系统成为服务农民生产生活的力量，成为党和政府密切联系群众的纽带。</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（二）项目绩效目标。</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en-US" w:eastAsia="zh-CN" w:bidi="ar-SA"/>
        </w:rPr>
        <w:t>2022年省级供销综合改革及发展专项资金</w:t>
      </w:r>
      <w:r>
        <w:rPr>
          <w:rFonts w:ascii="仿宋_GB2312" w:eastAsia="仿宋_GB2312" w:cs="Times New Roman" w:hint="eastAsia"/>
          <w:color w:val="auto"/>
          <w:kern w:val="2"/>
          <w:sz w:val="32"/>
          <w:szCs w:val="32"/>
          <w:lang w:val="zh-CN" w:eastAsia="zh-CN" w:bidi="ar-SA"/>
        </w:rPr>
        <w:t>主要用于补助供销社控股公司（金川县鲜农汇农副产品配送有限公司）经营场所修建、办公室的装修及办设施的购买。</w:t>
      </w:r>
      <w:r>
        <w:rPr>
          <w:rFonts w:ascii="仿宋_GB2312" w:eastAsia="仿宋_GB2312" w:cs="Times New Roman" w:hint="eastAsia"/>
          <w:color w:val="auto"/>
          <w:kern w:val="2"/>
          <w:sz w:val="32"/>
          <w:szCs w:val="32"/>
          <w:lang w:val="en-US" w:eastAsia="zh-CN" w:bidi="ar-SA"/>
        </w:rPr>
        <w:t>本项目共计设置8个绩效指标，绩效目标和绩效指标量化可考核，并与项目具体实际相符。该项目契合党的十九大和十九届历次全会精神以及习近平总书记对供销合作社工作的重要指示批示精神，与我单位发挥党和政府密切联系农民群众桥梁纽带作用的长期目标相一致。</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（三）项目自评步骤及方法。</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按照有关规定和工作安排，我单位通过成立领导小组、召开座谈会的方式开展自行评估。我单位成立了以主任何传伟为组长，分管副主任陶燕为副组长，办公室、财务室人员为成员的自评工作领导小组。收集2022年“供销综合改革及发展专项项目相关基础资料，查阅资料、收集数据信息等，深入论证分析后，形成</w:t>
      </w:r>
      <w:r>
        <w:rPr>
          <w:rFonts w:ascii="仿宋_GB2312" w:eastAsia="仿宋_GB2312" w:cs="Times New Roman" w:hint="eastAsia"/>
          <w:color w:val="auto"/>
          <w:kern w:val="2"/>
          <w:sz w:val="32"/>
          <w:szCs w:val="32"/>
          <w:lang w:val="en-US" w:eastAsia="zh-CN" w:bidi="ar-SA"/>
        </w:rPr>
        <w:t>项目自评</w:t>
      </w:r>
      <w:r>
        <w:rPr>
          <w:rFonts w:ascii="仿宋_GB2312" w:eastAsia="仿宋_GB2312" w:cs="Times New Roman" w:hint="eastAsia"/>
          <w:color w:val="auto"/>
          <w:kern w:val="2"/>
          <w:sz w:val="32"/>
          <w:szCs w:val="32"/>
          <w:lang w:val="zh-CN" w:eastAsia="zh-CN" w:bidi="ar-SA"/>
        </w:rPr>
        <w:t>报告。本项目采用成本效益分析法、比较法、因素分析法、最低成本法、公众评判法等，对项目的立项必要性、投入经济性、目标合理性、方案可行性以及筹资合规性实施评估。</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黑体" w:eastAsia="黑体"/>
          <w:color w:val="auto"/>
          <w:sz w:val="32"/>
          <w:szCs w:val="32"/>
          <w:u w:val="none"/>
          <w:highlight w:val="auto"/>
        </w:rPr>
      </w:pPr>
      <w:r>
        <w:rPr>
          <w:rFonts w:ascii="黑体" w:eastAsia="黑体" w:hint="eastAsia"/>
          <w:color w:val="auto"/>
          <w:sz w:val="32"/>
          <w:szCs w:val="32"/>
          <w:u w:val="none"/>
          <w:highlight w:val="auto"/>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该项目资金来源根据《关于下达2022年第一批省级供销综合改革及发展专项资金预算的通知》（金财建资【2022】11号）文件要求，符合相关法律法规，属于财政支持范围，资金来源渠道明确。我社《金川县供销合作社联合社 关于请求拨付2022年省级供销综合改革及发展专项资金的请示》（金供【2022】13号）对项目建设补助资金请求拨付，</w:t>
      </w:r>
      <w:r>
        <w:rPr>
          <w:rFonts w:ascii="仿宋_GB2312" w:eastAsia="仿宋_GB2312" w:cs="Times New Roman" w:hint="eastAsia"/>
          <w:color w:val="auto"/>
          <w:kern w:val="2"/>
          <w:sz w:val="32"/>
          <w:szCs w:val="32"/>
          <w:lang w:val="en-US" w:eastAsia="zh-CN" w:bidi="ar-SA"/>
        </w:rPr>
        <w:t>资金拨付表经各相关部门领导签字批复，</w:t>
      </w:r>
      <w:r>
        <w:rPr>
          <w:rFonts w:ascii="仿宋_GB2312" w:eastAsia="仿宋_GB2312" w:cs="Times New Roman" w:hint="eastAsia"/>
          <w:color w:val="auto"/>
          <w:kern w:val="2"/>
          <w:sz w:val="32"/>
          <w:szCs w:val="32"/>
          <w:lang w:val="zh-CN" w:eastAsia="zh-CN" w:bidi="ar-SA"/>
        </w:rPr>
        <w:t>资金的申报、批复等流程符合资金管理的相关文件规定，操作规范。</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仿宋_GB2312" w:hAnsi="仿宋_GB2312"/>
          <w:color w:val="auto"/>
          <w:sz w:val="32"/>
          <w:szCs w:val="32"/>
          <w:u w:val="none"/>
          <w:lang w:val="zh-CN"/>
          <w:highlight w:val="auto"/>
        </w:rPr>
      </w:pPr>
      <w:r>
        <w:rPr>
          <w:rFonts w:ascii="楷体_GB2312" w:eastAsia="楷体_GB2312" w:hint="eastAsia"/>
          <w:b/>
          <w:color w:val="auto"/>
          <w:sz w:val="32"/>
          <w:szCs w:val="32"/>
          <w:u w:val="none"/>
          <w:lang w:val="zh-CN"/>
          <w:highlight w:val="auto"/>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1．资金计划及到位。根据《关于下达2022年第一批省级供销综合改革及发展专项资金预算的通知》（金财建资【2022】11号）文件要求，项目按计划组织实施，到位资金与计划使用资金金额相符，资金到位率为100%，到位及时，达到专款专用。</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2．资金使用。我社《金川县供销合作社联合社 关于请求拨付2022年省级供销综合改革及发展专项资金的请示》（金供【2022】13号）对项目建设补助资金请求拨付，专项资金主要用于补助供销社控股公司（金川县鲜农汇农副产品配送有限公司）经营场所修建、办公室的装修及办设施的购买。</w:t>
      </w:r>
      <w:r>
        <w:rPr>
          <w:rFonts w:ascii="仿宋_GB2312" w:eastAsia="仿宋_GB2312" w:cs="Times New Roman" w:hint="eastAsia"/>
          <w:color w:val="auto"/>
          <w:kern w:val="2"/>
          <w:sz w:val="32"/>
          <w:szCs w:val="32"/>
          <w:lang w:val="en-US" w:eastAsia="zh-CN" w:bidi="ar-SA"/>
        </w:rPr>
        <w:t>截止当前，</w:t>
      </w:r>
      <w:r>
        <w:rPr>
          <w:rFonts w:ascii="仿宋_GB2312" w:eastAsia="仿宋_GB2312" w:cs="Times New Roman" w:hint="eastAsia"/>
          <w:color w:val="auto"/>
          <w:kern w:val="2"/>
          <w:sz w:val="32"/>
          <w:szCs w:val="32"/>
          <w:lang w:val="zh-CN" w:eastAsia="zh-CN" w:bidi="ar-SA"/>
        </w:rPr>
        <w:t>已拨付完成。支出依据合规，无虚列项目支出、截留挤占挪用、超标准开支和超预算开支等违规情况。</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（三）项目财务管理情况。</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项目实施过程中严格按照</w:t>
      </w:r>
      <w:r>
        <w:rPr>
          <w:rFonts w:ascii="仿宋_GB2312" w:eastAsia="仿宋_GB2312" w:cs="Times New Roman" w:hint="eastAsia"/>
          <w:color w:val="auto"/>
          <w:kern w:val="2"/>
          <w:sz w:val="32"/>
          <w:szCs w:val="32"/>
          <w:lang w:val="en-US" w:eastAsia="zh-CN" w:bidi="ar-SA"/>
        </w:rPr>
        <w:t>政府</w:t>
      </w:r>
      <w:r>
        <w:rPr>
          <w:rFonts w:ascii="仿宋_GB2312" w:eastAsia="仿宋_GB2312" w:cs="Times New Roman" w:hint="eastAsia"/>
          <w:color w:val="auto"/>
          <w:kern w:val="2"/>
          <w:sz w:val="32"/>
          <w:szCs w:val="32"/>
          <w:lang w:val="zh-CN" w:eastAsia="zh-CN" w:bidi="ar-SA"/>
        </w:rPr>
        <w:t>财务管理制度执行，做到了规范有序。</w:t>
      </w:r>
      <w:r>
        <w:rPr>
          <w:rFonts w:ascii="仿宋_GB2312" w:eastAsia="仿宋_GB2312" w:cs="Times New Roman" w:hint="eastAsia"/>
          <w:color w:val="auto"/>
          <w:kern w:val="2"/>
          <w:sz w:val="32"/>
          <w:szCs w:val="32"/>
          <w:lang w:val="en-US" w:eastAsia="zh-CN" w:bidi="ar-SA"/>
        </w:rPr>
        <w:t>项目实施单位</w:t>
      </w:r>
      <w:r>
        <w:rPr>
          <w:rFonts w:ascii="仿宋_GB2312" w:eastAsia="仿宋_GB2312" w:cs="Times New Roman" w:hint="eastAsia"/>
          <w:color w:val="auto"/>
          <w:kern w:val="2"/>
          <w:sz w:val="32"/>
          <w:szCs w:val="32"/>
          <w:lang w:val="zh-CN" w:eastAsia="zh-CN" w:bidi="ar-SA"/>
        </w:rPr>
        <w:t>单独设置会计机构，账务处理</w:t>
      </w:r>
      <w:r>
        <w:rPr>
          <w:rFonts w:ascii="仿宋_GB2312" w:eastAsia="仿宋_GB2312" w:cs="Times New Roman" w:hint="eastAsia"/>
          <w:color w:val="auto"/>
          <w:kern w:val="2"/>
          <w:sz w:val="32"/>
          <w:szCs w:val="32"/>
          <w:lang w:val="en-US" w:eastAsia="zh-CN" w:bidi="ar-SA"/>
        </w:rPr>
        <w:t>依据事实</w:t>
      </w:r>
      <w:r>
        <w:rPr>
          <w:rFonts w:ascii="仿宋_GB2312" w:eastAsia="仿宋_GB2312" w:cs="Times New Roman" w:hint="eastAsia"/>
          <w:color w:val="auto"/>
          <w:kern w:val="2"/>
          <w:sz w:val="32"/>
          <w:szCs w:val="32"/>
          <w:lang w:val="zh-CN" w:eastAsia="zh-CN" w:bidi="ar-SA"/>
        </w:rPr>
        <w:t>及时、准确，会计核算结果真实、规范。</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黑体" w:eastAsia="黑体"/>
          <w:color w:val="auto"/>
          <w:sz w:val="32"/>
          <w:szCs w:val="32"/>
          <w:u w:val="none"/>
          <w:highlight w:val="auto"/>
        </w:rPr>
      </w:pPr>
      <w:r>
        <w:rPr>
          <w:rFonts w:ascii="黑体" w:eastAsia="黑体" w:hint="eastAsia"/>
          <w:color w:val="auto"/>
          <w:sz w:val="32"/>
          <w:szCs w:val="32"/>
          <w:u w:val="none"/>
          <w:highlight w:val="auto"/>
        </w:rPr>
        <w:t>三、项目实施及管理情况</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hint="eastAsia"/>
          <w:b/>
          <w:color w:val="auto"/>
          <w:sz w:val="32"/>
          <w:szCs w:val="32"/>
          <w:u w:val="none"/>
          <w:lang w:val="zh-CN"/>
          <w:highlight w:val="auto"/>
        </w:rPr>
      </w:pPr>
      <w:r>
        <w:rPr>
          <w:rFonts w:ascii="楷体_GB2312" w:eastAsia="楷体_GB2312" w:hint="eastAsia"/>
          <w:b/>
          <w:color w:val="auto"/>
          <w:sz w:val="32"/>
          <w:szCs w:val="32"/>
          <w:u w:val="none"/>
          <w:lang w:val="zh-CN"/>
          <w:highlight w:val="auto"/>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为切实加强对工程建设的组织领导，确保工程顺利实施，成立项目建设领导小组，全面负责项目实施。领导小组成员名单如下：</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eastAsia="仿宋_GB2312"/>
          <w:sz w:val="32"/>
          <w:szCs w:val="32"/>
        </w:rPr>
        <w:t xml:space="preserve">    </w:t>
      </w:r>
      <w:r>
        <w:rPr>
          <w:rFonts w:ascii="仿宋_GB2312" w:eastAsia="仿宋_GB2312" w:cs="Times New Roman" w:hint="eastAsia"/>
          <w:color w:val="auto"/>
          <w:kern w:val="2"/>
          <w:sz w:val="32"/>
          <w:szCs w:val="32"/>
          <w:lang w:val="zh-CN" w:eastAsia="zh-CN" w:bidi="ar-SA"/>
        </w:rPr>
        <w:t>组  长：</w:t>
      </w:r>
      <w:r>
        <w:rPr>
          <w:rFonts w:ascii="仿宋_GB2312" w:eastAsia="仿宋_GB2312" w:cs="Times New Roman" w:hint="eastAsia"/>
          <w:color w:val="auto"/>
          <w:kern w:val="2"/>
          <w:sz w:val="32"/>
          <w:szCs w:val="32"/>
          <w:lang w:val="en-US" w:eastAsia="zh-CN" w:bidi="ar-SA"/>
        </w:rPr>
        <w:t>何传伟</w:t>
      </w: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供销社主任</w:t>
      </w:r>
      <w:r>
        <w:rPr>
          <w:rFonts w:ascii="仿宋_GB2312" w:eastAsia="仿宋_GB2312" w:cs="Times New Roman" w:hint="eastAsia"/>
          <w:color w:val="auto"/>
          <w:kern w:val="2"/>
          <w:sz w:val="32"/>
          <w:szCs w:val="32"/>
          <w:lang w:val="zh-CN"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 xml:space="preserve">    副组长：</w:t>
      </w:r>
      <w:r>
        <w:rPr>
          <w:rFonts w:ascii="仿宋_GB2312" w:eastAsia="仿宋_GB2312" w:cs="Times New Roman" w:hint="eastAsia"/>
          <w:color w:val="auto"/>
          <w:kern w:val="2"/>
          <w:sz w:val="32"/>
          <w:szCs w:val="32"/>
          <w:lang w:val="en-US" w:eastAsia="zh-CN" w:bidi="ar-SA"/>
        </w:rPr>
        <w:t>陶  燕</w:t>
      </w: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 xml:space="preserve"> 供销社副</w:t>
      </w:r>
      <w:r>
        <w:rPr>
          <w:rFonts w:ascii="仿宋_GB2312" w:eastAsia="仿宋_GB2312" w:cs="Times New Roman" w:hint="eastAsia"/>
          <w:color w:val="auto"/>
          <w:kern w:val="2"/>
          <w:sz w:val="32"/>
          <w:szCs w:val="32"/>
          <w:lang w:val="zh-CN" w:eastAsia="zh-CN" w:bidi="ar-SA"/>
        </w:rPr>
        <w:t>主任</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zh-CN" w:eastAsia="zh-CN" w:bidi="ar-SA"/>
        </w:rPr>
        <w:t xml:space="preserve">    成  员：</w:t>
      </w:r>
      <w:r>
        <w:rPr>
          <w:rFonts w:ascii="仿宋_GB2312" w:eastAsia="仿宋_GB2312" w:cs="Times New Roman" w:hint="eastAsia"/>
          <w:color w:val="auto"/>
          <w:kern w:val="2"/>
          <w:sz w:val="32"/>
          <w:szCs w:val="32"/>
          <w:lang w:val="en-US" w:eastAsia="zh-CN" w:bidi="ar-SA"/>
        </w:rPr>
        <w:t>周  聪</w:t>
      </w: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 xml:space="preserve"> </w:t>
      </w: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办公室主任</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徐仙羽</w:t>
      </w: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 xml:space="preserve"> </w:t>
      </w:r>
      <w:r>
        <w:rPr>
          <w:rFonts w:ascii="仿宋_GB2312" w:eastAsia="仿宋_GB2312" w:cs="Times New Roman" w:hint="eastAsia"/>
          <w:color w:val="auto"/>
          <w:kern w:val="2"/>
          <w:sz w:val="32"/>
          <w:szCs w:val="32"/>
          <w:lang w:val="zh-CN" w:eastAsia="zh-CN" w:bidi="ar-SA"/>
        </w:rPr>
        <w:t>会计</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eastAsia="仿宋_GB2312" w:hint="eastAsia"/>
          <w:sz w:val="32"/>
          <w:szCs w:val="32"/>
        </w:rPr>
      </w:pP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秦  暇</w:t>
      </w:r>
      <w:r>
        <w:rPr>
          <w:rFonts w:ascii="仿宋_GB2312" w:eastAsia="仿宋_GB2312" w:cs="Times New Roman" w:hint="eastAsia"/>
          <w:color w:val="auto"/>
          <w:kern w:val="2"/>
          <w:sz w:val="32"/>
          <w:szCs w:val="32"/>
          <w:lang w:val="zh-CN" w:eastAsia="zh-CN" w:bidi="ar-SA"/>
        </w:rPr>
        <w:t xml:space="preserve">   </w:t>
      </w:r>
      <w:r>
        <w:rPr>
          <w:rFonts w:ascii="仿宋_GB2312" w:eastAsia="仿宋_GB2312" w:cs="Times New Roman" w:hint="eastAsia"/>
          <w:color w:val="auto"/>
          <w:kern w:val="2"/>
          <w:sz w:val="32"/>
          <w:szCs w:val="32"/>
          <w:lang w:val="en-US" w:eastAsia="zh-CN" w:bidi="ar-SA"/>
        </w:rPr>
        <w:t>出纳</w:t>
      </w:r>
      <w:r>
        <w:rPr>
          <w:rFonts w:ascii="仿宋_GB2312" w:eastAsia="仿宋_GB2312" w:cs="Times New Roman" w:hint="eastAsia"/>
          <w:color w:val="auto"/>
          <w:kern w:val="2"/>
          <w:sz w:val="32"/>
          <w:szCs w:val="32"/>
          <w:lang w:val="zh-CN" w:eastAsia="zh-CN" w:bidi="ar-SA"/>
        </w:rPr>
        <w:t xml:space="preserve">    </w:t>
      </w:r>
      <w:r>
        <w:rPr>
          <w:rFonts w:eastAsia="仿宋_GB2312"/>
          <w:sz w:val="30"/>
          <w:szCs w:val="30"/>
        </w:rPr>
        <w:t xml:space="preserve">    </w:t>
      </w:r>
      <w:r>
        <w:rPr>
          <w:rFonts w:eastAsia="仿宋_GB2312"/>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 w:val="30"/>
          <w:szCs w:val="30"/>
          <w:lang w:val="zh-CN" w:eastAsia="zh-CN"/>
        </w:rPr>
      </w:pPr>
      <w:r>
        <w:rPr>
          <w:rFonts w:ascii="仿宋_GB2312" w:eastAsia="仿宋_GB2312" w:cs="Times New Roman" w:hint="eastAsia"/>
          <w:color w:val="auto"/>
          <w:kern w:val="2"/>
          <w:sz w:val="32"/>
          <w:szCs w:val="32"/>
          <w:lang w:val="zh-CN" w:eastAsia="zh-CN" w:bidi="ar-SA"/>
        </w:rPr>
        <w:t>领导小组全面负责项目建设工作，主要包括项目的前期准备，日常管理，与施工单位签订各类合同书，监督项目工程质量、进度和安全生产，检查项目资金的安全使用，同时做好项目服务协调工作。</w:t>
      </w:r>
    </w:p>
    <w:p>
      <w:pPr>
        <w:keepNext w:val="0"/>
        <w:keepLines w:val="0"/>
        <w:pageBreakBefore w:val="0"/>
        <w:widowControl w:val="0"/>
        <w:kinsoku/>
        <w:wordWrap/>
        <w:overflowPunct/>
        <w:topLinePunct w:val="0"/>
        <w:autoSpaceDE/>
        <w:autoSpaceDN/>
        <w:bidi w:val="0"/>
        <w:adjustRightInd w:val="0"/>
        <w:snapToGrid w:val="0"/>
        <w:spacing w:line="540" w:lineRule="exact"/>
        <w:ind w:firstLineChars="200" w:firstLine="640"/>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楷体_GB2312" w:eastAsia="楷体_GB2312" w:hint="eastAsia"/>
          <w:b/>
          <w:color w:val="auto"/>
          <w:sz w:val="32"/>
          <w:szCs w:val="32"/>
          <w:u w:val="none"/>
          <w:lang w:val="zh-CN"/>
          <w:highlight w:val="auto"/>
        </w:rPr>
        <w:t>（二）项目管理情况。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此项目为延续性项目，来源于2022年省级供销综合改革及发展专项资金，由金川县供销合作社联合社实施，项目严格依据相关法律法规实施，项目的申报以及验收依据相关制度执行。</w:t>
      </w:r>
    </w:p>
    <w:p>
      <w:pPr>
        <w:keepNext w:val="0"/>
        <w:keepLines w:val="0"/>
        <w:pageBreakBefore w:val="0"/>
        <w:widowControl w:val="0"/>
        <w:numPr>
          <w:ilvl w:val="0"/>
          <w:numId w:val="8"/>
        </w:numPr>
        <w:kinsoku/>
        <w:wordWrap/>
        <w:overflowPunct/>
        <w:topLinePunct w:val="0"/>
        <w:autoSpaceDE/>
        <w:autoSpaceDN/>
        <w:bidi w:val="0"/>
        <w:adjustRightInd w:val="0"/>
        <w:snapToGrid w:val="0"/>
        <w:spacing w:line="540" w:lineRule="exact"/>
        <w:ind w:left="0" w:firstLine="720"/>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楷体_GB2312" w:eastAsia="楷体_GB2312" w:hint="eastAsia"/>
          <w:b/>
          <w:color w:val="auto"/>
          <w:sz w:val="32"/>
          <w:szCs w:val="32"/>
          <w:u w:val="none"/>
          <w:lang w:val="zh-CN"/>
          <w:highlight w:val="auto"/>
        </w:rPr>
        <w:t>项目监管情况。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我单位单位为加强项目的管理，我单位成立领导小组，对项目的实施过程进行监管，严格检查项目的事前、事中、事后各阶段的实施情况，明确工作任务，及时掌握和监管项目实施进度，项目严格按照方案进行。</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仿宋_GB2312" w:hAnsi="仿宋_GB2312"/>
          <w:color w:val="auto"/>
          <w:sz w:val="32"/>
          <w:szCs w:val="32"/>
          <w:u w:val="none"/>
          <w:lang w:val="zh-CN"/>
          <w:highlight w:val="auto"/>
        </w:rPr>
      </w:pPr>
      <w:r>
        <w:rPr>
          <w:rFonts w:ascii="黑体" w:eastAsia="黑体" w:hint="eastAsia"/>
          <w:color w:val="auto"/>
          <w:sz w:val="32"/>
          <w:szCs w:val="32"/>
          <w:u w:val="none"/>
          <w:highlight w:val="auto"/>
        </w:rPr>
        <w:t>四、项目绩效情况</w:t>
      </w:r>
      <w:r>
        <w:rPr>
          <w:rFonts w:ascii="仿宋_GB2312" w:hAnsi="仿宋_GB2312" w:hint="eastAsia"/>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我社按项目计划补助供销社控股公司（金川县鲜农汇农副产品配送有限公司）经营场所修建、办公室的装修及办设施的购买。新建金川县供销合作社控股公司（金川县鲜农汇农副产品配送有限公司）修建、装修相关工作量已按时、按质、按量全面完成，并通过验收。项目较好的完成了事前绩效目标，于2022年12月前完工，一定程度上提升了基层社的综合服务能力，项目成本有效的控制在计划内。</w:t>
      </w:r>
    </w:p>
    <w:p>
      <w:pPr>
        <w:keepNext w:val="0"/>
        <w:keepLines w:val="0"/>
        <w:pageBreakBefore w:val="0"/>
        <w:widowControl w:val="0"/>
        <w:kinsoku/>
        <w:wordWrap/>
        <w:overflowPunct/>
        <w:topLinePunct w:val="0"/>
        <w:autoSpaceDE/>
        <w:autoSpaceDN/>
        <w:bidi w:val="0"/>
        <w:adjustRightInd w:val="0"/>
        <w:snapToGrid w:val="0"/>
        <w:spacing w:line="540" w:lineRule="exact"/>
        <w:ind w:firstLine="72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（二）项目效益情况。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实施该项目，建立完善高效率、低成本、低损耗、安全通畅的农产品现代流通体系，解决了我县农产品流通不畅和农民“卖货难”的问题，促进农民增收、稳定产销关系、保障市场供应，从而提高人民的生活水平。</w:t>
      </w:r>
    </w:p>
    <w:p>
      <w:pPr>
        <w:pStyle w:val="15"/>
        <w:pageBreakBefore w:val="0"/>
        <w:widowControl w:val="0"/>
        <w:bidi w:val="0"/>
        <w:rPr>
          <w:rFonts w:ascii="Times New Roman" w:cs="Times New Roman" w:hAnsi="Times New Roman"/>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lang w:val="zh-CN"/>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lang w:val="zh-CN"/>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lang w:val="zh-CN"/>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lang w:val="zh-CN"/>
        </w:rPr>
      </w:pPr>
    </w:p>
    <w:tbl>
      <w:tblPr>
        <w:tblpPr w:leftFromText="180" w:rightFromText="180" w:vertAnchor="text" w:horzAnchor="page" w:tblpX="1281" w:tblpY="660"/>
        <w:tblOverlap w:val="never"/>
        <w:tblW w:w="98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99"/>
        <w:gridCol w:w="982"/>
        <w:gridCol w:w="1433"/>
        <w:gridCol w:w="1680"/>
        <w:gridCol w:w="1672"/>
        <w:gridCol w:w="2111"/>
        <w:gridCol w:w="234"/>
      </w:tblGrid>
      <w:tr>
        <w:trPr>
          <w:trHeight w:val="675"/>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ind w:firstLineChars="600" w:firstLine="1920"/>
              <w:textAlignment w:val="center"/>
              <w:rPr>
                <w:rFonts w:ascii="Times New Roman" w:cs="Times New Roman" w:hAnsi="Times New Roman"/>
                <w:b/>
                <w:sz w:val="32"/>
                <w:szCs w:val="32"/>
              </w:rPr>
            </w:pPr>
            <w:r>
              <w:rPr>
                <w:rFonts w:cs="Times New Roman" w:hint="eastAsia"/>
                <w:b/>
                <w:sz w:val="32"/>
                <w:szCs w:val="32"/>
                <w:lang w:eastAsia="zh-CN"/>
              </w:rPr>
              <w:t>2022年</w:t>
            </w:r>
            <w:r>
              <w:rPr>
                <w:rFonts w:ascii="Times New Roman" w:cs="Times New Roman" w:hAnsi="Times New Roman"/>
                <w:b/>
                <w:sz w:val="32"/>
                <w:szCs w:val="32"/>
              </w:rPr>
              <w:t>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b/>
                <w:kern w:val="0"/>
                <w:sz w:val="32"/>
                <w:szCs w:val="32"/>
              </w:rPr>
            </w:pPr>
          </w:p>
        </w:tc>
      </w:tr>
      <w:tr>
        <w:trPr>
          <w:trHeight w:val="299"/>
          <w:gridAfter w:val="1"/>
          <w:wAfter w:w="234" w:type="dxa"/>
        </w:trPr>
        <w:tc>
          <w:tcPr>
            <w:tcW w:w="26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主管部门及代码</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eastAsia="zh-CN"/>
              </w:rPr>
            </w:pPr>
            <w:r>
              <w:rPr>
                <w:rFonts w:ascii="仿宋" w:eastAsia="仿宋" w:cs="仿宋" w:hint="eastAsia"/>
                <w:sz w:val="24"/>
                <w:szCs w:val="24"/>
                <w:lang w:eastAsia="zh-CN"/>
              </w:rPr>
              <w:t>金川县供销合作社联合社</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实施单位</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eastAsia="zh-CN"/>
              </w:rPr>
            </w:pPr>
            <w:r>
              <w:rPr>
                <w:rFonts w:ascii="仿宋" w:eastAsia="仿宋" w:cs="仿宋" w:hint="eastAsia"/>
                <w:sz w:val="24"/>
                <w:szCs w:val="24"/>
                <w:lang w:eastAsia="zh-CN"/>
              </w:rPr>
              <w:t>金川县供销合作社联合社</w:t>
            </w:r>
          </w:p>
        </w:tc>
      </w:tr>
      <w:tr>
        <w:trPr>
          <w:trHeight w:val="341"/>
          <w:gridAfter w:val="1"/>
          <w:wAfter w:w="234" w:type="dxa"/>
        </w:trPr>
        <w:tc>
          <w:tcPr>
            <w:tcW w:w="268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项目预算</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执行情况</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（万元）</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val="en-US" w:eastAsia="zh-CN"/>
              </w:rPr>
            </w:pPr>
            <w:r>
              <w:rPr>
                <w:rFonts w:ascii="仿宋" w:eastAsia="仿宋" w:cs="仿宋" w:hint="eastAsia"/>
                <w:sz w:val="24"/>
                <w:szCs w:val="24"/>
                <w:lang w:val="en-US" w:eastAsia="zh-CN"/>
              </w:rPr>
              <w:t>26</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执行数：</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val="en-US"/>
              </w:rPr>
            </w:pPr>
            <w:r>
              <w:rPr>
                <w:rFonts w:ascii="仿宋" w:eastAsia="仿宋" w:cs="仿宋" w:hint="eastAsia"/>
                <w:sz w:val="24"/>
                <w:szCs w:val="24"/>
                <w:lang w:val="en-US" w:eastAsia="zh-CN" w:bidi="ar-SA"/>
              </w:rPr>
              <w:t>26</w:t>
            </w:r>
          </w:p>
        </w:tc>
      </w:tr>
      <w:tr>
        <w:trPr>
          <w:trHeight w:val="555"/>
          <w:gridAfter w:val="1"/>
          <w:wAfter w:w="234" w:type="dxa"/>
        </w:trPr>
        <w:tc>
          <w:tcPr>
            <w:tcW w:w="268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val="en-US" w:eastAsia="zh-CN"/>
              </w:rPr>
            </w:pPr>
            <w:r>
              <w:rPr>
                <w:rFonts w:ascii="仿宋" w:eastAsia="仿宋" w:cs="仿宋" w:hint="eastAsia"/>
                <w:sz w:val="24"/>
                <w:szCs w:val="24"/>
                <w:lang w:val="en-US" w:eastAsia="zh-CN"/>
              </w:rPr>
              <w:t>26</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lang w:val="en-US" w:eastAsia="zh-CN"/>
              </w:rPr>
            </w:pPr>
            <w:r>
              <w:rPr>
                <w:rFonts w:ascii="仿宋" w:eastAsia="仿宋" w:cs="仿宋" w:hint="eastAsia"/>
                <w:sz w:val="24"/>
                <w:szCs w:val="24"/>
                <w:lang w:val="en-US" w:eastAsia="zh-CN"/>
              </w:rPr>
              <w:t>26</w:t>
            </w:r>
          </w:p>
        </w:tc>
      </w:tr>
      <w:tr>
        <w:trPr>
          <w:trHeight w:val="341"/>
          <w:gridAfter w:val="1"/>
          <w:wAfter w:w="234" w:type="dxa"/>
        </w:trPr>
        <w:tc>
          <w:tcPr>
            <w:tcW w:w="268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p>
        </w:tc>
      </w:tr>
      <w:tr>
        <w:trPr>
          <w:trHeight w:val="217"/>
          <w:gridAfter w:val="1"/>
          <w:wAfter w:w="234" w:type="dxa"/>
        </w:trPr>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年度总体目标</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完成情况</w:t>
            </w: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预期目标</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目标实际完成情况</w:t>
            </w:r>
          </w:p>
        </w:tc>
      </w:tr>
      <w:tr>
        <w:trPr>
          <w:trHeight w:val="797"/>
          <w:gridAfter w:val="1"/>
          <w:wAfter w:w="234" w:type="dxa"/>
        </w:trPr>
        <w:tc>
          <w:tcPr>
            <w:tcW w:w="16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top"/>
              <w:rPr>
                <w:rFonts w:ascii="仿宋" w:eastAsia="仿宋" w:cs="仿宋" w:hint="eastAsia"/>
                <w:sz w:val="24"/>
                <w:szCs w:val="24"/>
                <w:lang w:val="en-US"/>
              </w:rPr>
            </w:pPr>
            <w:r>
              <w:rPr>
                <w:rFonts w:ascii="仿宋" w:eastAsia="仿宋" w:cs="仿宋" w:hint="eastAsia"/>
                <w:sz w:val="24"/>
                <w:szCs w:val="24"/>
                <w:lang w:val="en-US" w:eastAsia="zh-CN"/>
              </w:rPr>
              <w:t>改善基层社服务设施，提升综合服务能力；</w:t>
            </w:r>
            <w:r>
              <w:rPr>
                <w:rFonts w:ascii="仿宋" w:eastAsia="仿宋" w:cs="仿宋" w:hint="eastAsia"/>
                <w:sz w:val="24"/>
                <w:szCs w:val="24"/>
                <w:vertAlign w:val="baseline"/>
                <w:lang w:val="en-US" w:eastAsia="zh-CN"/>
              </w:rPr>
              <w:t>做好农资供应工作。</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top"/>
              <w:rPr>
                <w:rFonts w:ascii="仿宋" w:eastAsia="仿宋" w:cs="仿宋" w:hint="eastAsia"/>
                <w:sz w:val="24"/>
                <w:szCs w:val="24"/>
              </w:rPr>
            </w:pPr>
            <w:r>
              <w:rPr>
                <w:rFonts w:ascii="仿宋" w:eastAsia="仿宋" w:cs="仿宋" w:hint="eastAsia"/>
                <w:sz w:val="24"/>
                <w:szCs w:val="24"/>
                <w:lang w:val="en-US" w:eastAsia="zh-CN"/>
              </w:rPr>
              <w:t>促进基层社高质量发展，改善基层社服务设施，提升综合服务能力；</w:t>
            </w:r>
            <w:r>
              <w:rPr>
                <w:rFonts w:ascii="仿宋" w:eastAsia="仿宋" w:cs="仿宋" w:hint="eastAsia"/>
                <w:sz w:val="24"/>
                <w:szCs w:val="24"/>
                <w:vertAlign w:val="baseline"/>
                <w:lang w:val="en-US" w:eastAsia="zh-CN"/>
              </w:rPr>
              <w:t>做好农资供应工作，确保农资供应不脱销、不断档，保障农资商品质量</w:t>
            </w:r>
          </w:p>
        </w:tc>
      </w:tr>
      <w:tr>
        <w:trPr>
          <w:trHeight w:val="693"/>
          <w:gridAfter w:val="1"/>
          <w:wAfter w:w="234" w:type="dxa"/>
        </w:trPr>
        <w:tc>
          <w:tcPr>
            <w:tcW w:w="169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年度绩效指标完成情况</w:t>
            </w:r>
          </w:p>
        </w:tc>
        <w:tc>
          <w:tcPr>
            <w:tcW w:w="982"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一级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二级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三级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预期指标值</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4"/>
                <w:szCs w:val="24"/>
              </w:rPr>
            </w:pPr>
            <w:r>
              <w:rPr>
                <w:rFonts w:ascii="仿宋" w:eastAsia="仿宋" w:cs="仿宋" w:hint="eastAsia"/>
                <w:kern w:val="0"/>
                <w:sz w:val="24"/>
                <w:szCs w:val="24"/>
              </w:rPr>
              <w:t>实际完成指标值</w:t>
            </w:r>
          </w:p>
        </w:tc>
      </w:tr>
      <w:tr>
        <w:trPr>
          <w:trHeight w:val="415"/>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完成</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数量指标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新增基层示范社数量</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vertAlign w:val="baseline"/>
                <w:lang w:val="en-US" w:eastAsia="zh-CN"/>
              </w:rPr>
              <w:t>1</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vertAlign w:val="baseline"/>
                <w:lang w:val="en-US" w:eastAsia="zh-CN"/>
              </w:rPr>
              <w:t>1</w:t>
            </w:r>
          </w:p>
        </w:tc>
      </w:tr>
      <w:tr>
        <w:trPr>
          <w:trHeight w:val="415"/>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质量指标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完成质量</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圆满完成各项任务</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圆满完成各项任务</w:t>
            </w:r>
          </w:p>
        </w:tc>
      </w:tr>
      <w:tr>
        <w:trPr>
          <w:trHeight w:val="415"/>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时效指标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both"/>
              <w:textAlignment w:val="bottom"/>
              <w:rPr>
                <w:rFonts w:ascii="仿宋" w:eastAsia="仿宋" w:cs="仿宋" w:hint="eastAsia"/>
                <w:sz w:val="24"/>
                <w:szCs w:val="24"/>
              </w:rPr>
            </w:pPr>
            <w:r>
              <w:rPr>
                <w:rFonts w:ascii="仿宋" w:eastAsia="仿宋" w:cs="仿宋" w:hint="eastAsia"/>
                <w:sz w:val="24"/>
                <w:szCs w:val="24"/>
              </w:rPr>
              <w:t>项目完成进度</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2022年12月31日前完成</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2022年12月31日前完</w:t>
            </w:r>
          </w:p>
        </w:tc>
      </w:tr>
      <w:tr>
        <w:trPr>
          <w:trHeight w:val="480"/>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成本指标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年度预算数</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不超过年度预算数26万元</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lang w:val="en-US" w:eastAsia="zh-CN"/>
              </w:rPr>
              <w:t>不超过年度预算数26万元</w:t>
            </w:r>
          </w:p>
        </w:tc>
      </w:tr>
      <w:tr>
        <w:trPr>
          <w:trHeight w:val="480"/>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lang w:eastAsia="zh-CN"/>
              </w:rPr>
            </w:pPr>
            <w:r>
              <w:rPr>
                <w:rFonts w:ascii="仿宋" w:eastAsia="仿宋" w:cs="仿宋" w:hint="eastAsia"/>
                <w:kern w:val="0"/>
                <w:sz w:val="24"/>
                <w:szCs w:val="24"/>
              </w:rPr>
              <w:t>效益</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经济效益  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三社融合建设</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专业合作社生产绿色蔬菜，产量提升，促进农民增产增收</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专业合作社生产绿色蔬菜，产量提升，促进农民增产增收</w:t>
            </w:r>
          </w:p>
        </w:tc>
      </w:tr>
      <w:tr>
        <w:trPr>
          <w:trHeight w:val="480"/>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社会效益  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基层社综合服务功能</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带动当地特色产业发展使供销社成为联系群众的桥梁和纽带</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带动当地特色产业发展使供销社成为联系群众的桥梁和纽带</w:t>
            </w:r>
          </w:p>
        </w:tc>
      </w:tr>
      <w:tr>
        <w:trPr>
          <w:trHeight w:val="577"/>
          <w:gridAfter w:val="1"/>
          <w:wAfter w:w="234" w:type="dxa"/>
        </w:trPr>
        <w:tc>
          <w:tcPr>
            <w:tcW w:w="1699" w:type="dxa"/>
            <w:vMerge/>
            <w:tcBorders>
              <w:top w:val="nil"/>
              <w:left w:val="single" w:sz="4" w:space="0" w:color="000000"/>
              <w:bottom w:val="nil"/>
              <w:right w:val="single" w:sz="4" w:space="0" w:color="000000"/>
            </w:tcBorders>
            <w:shd w:val="clear" w:color="auto" w:fill="auto"/>
            <w:noWrap/>
            <w:vAlign w:val="center"/>
          </w:tcPr>
          <w:p/>
        </w:tc>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ind w:leftChars="87" w:left="423" w:hangingChars="100" w:hanging="240"/>
              <w:jc w:val="center"/>
              <w:textAlignment w:val="bottom"/>
              <w:rPr>
                <w:rFonts w:ascii="仿宋" w:eastAsia="仿宋" w:cs="仿宋" w:hint="eastAsia"/>
                <w:sz w:val="24"/>
                <w:szCs w:val="24"/>
              </w:rPr>
            </w:pPr>
            <w:r>
              <w:rPr>
                <w:rFonts w:ascii="仿宋" w:eastAsia="仿宋" w:cs="仿宋" w:hint="eastAsia"/>
                <w:kern w:val="0"/>
                <w:sz w:val="24"/>
                <w:szCs w:val="24"/>
              </w:rPr>
              <w:t>生态效益  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农业生产服务能力</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提升优质农产品品质</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sz w:val="24"/>
                <w:szCs w:val="24"/>
              </w:rPr>
              <w:t>提升优质农产品品质</w:t>
            </w:r>
          </w:p>
        </w:tc>
      </w:tr>
      <w:tr>
        <w:trPr>
          <w:trHeight w:val="530"/>
          <w:gridAfter w:val="1"/>
          <w:wAfter w:w="234" w:type="dxa"/>
        </w:trPr>
        <w:tc>
          <w:tcPr>
            <w:tcW w:w="1699" w:type="dxa"/>
            <w:vMerge/>
            <w:tcBorders>
              <w:top w:val="nil"/>
              <w:left w:val="single" w:sz="4" w:space="0" w:color="000000"/>
              <w:bottom w:val="single" w:sz="4" w:space="0" w:color="000000"/>
              <w:right w:val="single" w:sz="4" w:space="0" w:color="000000"/>
            </w:tcBorders>
            <w:shd w:val="clear" w:color="auto" w:fill="auto"/>
            <w:noWrap/>
            <w:vAlign w:val="center"/>
          </w:tcP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lang w:eastAsia="zh-CN"/>
              </w:rPr>
            </w:pPr>
            <w:r>
              <w:rPr>
                <w:rFonts w:ascii="仿宋" w:eastAsia="仿宋" w:cs="仿宋" w:hint="eastAsia"/>
                <w:kern w:val="0"/>
                <w:sz w:val="24"/>
                <w:szCs w:val="24"/>
              </w:rPr>
              <w:t>满意</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度指标</w:t>
            </w:r>
          </w:p>
        </w:tc>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4"/>
                <w:szCs w:val="24"/>
              </w:rPr>
            </w:pPr>
            <w:r>
              <w:rPr>
                <w:rFonts w:ascii="仿宋" w:eastAsia="仿宋" w:cs="仿宋" w:hint="eastAsia"/>
                <w:kern w:val="0"/>
                <w:sz w:val="24"/>
                <w:szCs w:val="24"/>
              </w:rPr>
              <w:t>满意度</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rPr>
            </w:pPr>
            <w:r>
              <w:rPr>
                <w:rFonts w:ascii="仿宋" w:eastAsia="仿宋" w:cs="仿宋" w:hint="eastAsia"/>
                <w:kern w:val="0"/>
                <w:sz w:val="24"/>
                <w:szCs w:val="24"/>
              </w:rPr>
              <w:t>指标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服务对象满意度</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≥90%</w:t>
            </w:r>
          </w:p>
        </w:tc>
        <w:tc>
          <w:tcPr>
            <w:tcW w:w="21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4"/>
                <w:szCs w:val="24"/>
                <w:lang w:val="en-US" w:eastAsia="zh-CN"/>
              </w:rPr>
            </w:pPr>
            <w:r>
              <w:rPr>
                <w:rFonts w:ascii="仿宋" w:eastAsia="仿宋" w:cs="仿宋" w:hint="eastAsia"/>
                <w:sz w:val="24"/>
                <w:szCs w:val="24"/>
                <w:lang w:val="en-US" w:eastAsia="zh-CN"/>
              </w:rPr>
              <w:t>≥90%</w:t>
            </w:r>
          </w:p>
        </w:tc>
      </w:tr>
    </w:tbl>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仿宋_GB2312" w:cs="Times New Roman" w:hAnsi="Times New Roman"/>
          <w:kern w:val="0"/>
          <w:sz w:val="32"/>
          <w:szCs w:val="32"/>
          <w:shd w:val="clear" w:color="auto" w:fill="FFFFFF"/>
          <w:lang w:val="zh-CN"/>
        </w:rPr>
        <w:t>附表：</w:t>
      </w:r>
    </w:p>
    <w:p>
      <w:pPr>
        <w:pStyle w:val="15"/>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83" w:name="_Toc15396618"/>
      <w:bookmarkStart w:id="84" w:name="_Toc26843625"/>
      <w:bookmarkEnd w:id="79"/>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5" w:name="_Toc15396619"/>
      <w:bookmarkEnd w:id="83"/>
      <w:bookmarkEnd w:id="8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6"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5"/>
      <w:bookmarkEnd w:id="8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7" w:name="_Toc26843627"/>
      <w:bookmarkStart w:id="88"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7"/>
      <w:bookmarkEnd w:id="8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9" w:name="_Toc15396621"/>
      <w:bookmarkStart w:id="90"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89"/>
      <w:bookmarkEnd w:id="9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91" w:name="_Toc26843629"/>
      <w:bookmarkStart w:id="92"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91"/>
      <w:bookmarkEnd w:id="9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3" w:name="_Toc26843630"/>
      <w:bookmarkStart w:id="94"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5" w:name="_Toc15396624"/>
      <w:bookmarkEnd w:id="93"/>
      <w:bookmarkEnd w:id="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6"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5"/>
      <w:bookmarkEnd w:id="9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7" w:name="_Toc15396625"/>
      <w:bookmarkStart w:id="98"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7"/>
      <w:bookmarkEnd w:id="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9" w:name="_Toc26843633"/>
      <w:bookmarkStart w:id="100"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99"/>
      <w:bookmarkEnd w:id="1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26843634"/>
      <w:bookmarkStart w:id="102"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01"/>
      <w:bookmarkEnd w:id="10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3" w:name="_Toc15396628"/>
      <w:bookmarkStart w:id="104" w:name="_Toc26843635"/>
      <w:r>
        <w:rPr>
          <w:rStyle w:val="2Char"/>
          <w:rFonts w:ascii="Times New Roman" w:eastAsia="仿宋" w:cs="Times New Roman" w:hAnsi="Times New Roman"/>
          <w:b w:val="0"/>
          <w:bCs w:val="0"/>
        </w:rPr>
        <w:t>十、</w:t>
      </w:r>
      <w:bookmarkEnd w:id="103"/>
      <w:bookmarkEnd w:id="104"/>
      <w:r>
        <w:rPr>
          <w:rStyle w:val="2Char"/>
          <w:rFonts w:ascii="Times New Roman" w:eastAsia="仿宋" w:cs="Times New Roman" w:hAnsi="Times New Roman" w:hint="eastAsia"/>
          <w:b w:val="0"/>
          <w:bCs w:val="0"/>
        </w:rPr>
        <w:t>一般公共预算</w:t>
      </w:r>
      <w:r>
        <w:rPr>
          <w:rStyle w:val="2Char"/>
          <w:rFonts w:ascii="Times New Roman" w:eastAsia="仿宋" w:cs="Times New Roman" w:hAnsi="Times New Roman"/>
          <w:b w:val="0"/>
          <w:bCs w:val="0"/>
        </w:rPr>
        <w:t>财政拨款“三公”经费支出决算表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5" w:name="_Toc26843636"/>
      <w:bookmarkStart w:id="106" w:name="_Toc15396629"/>
      <w:r>
        <w:rPr>
          <w:rStyle w:val="2Char"/>
          <w:rFonts w:ascii="Times New Roman" w:eastAsia="仿宋" w:cs="Times New Roman" w:hAnsi="Times New Roman"/>
          <w:b w:val="0"/>
          <w:bCs w:val="0"/>
        </w:rPr>
        <w:t>十一、</w:t>
      </w:r>
      <w:bookmarkEnd w:id="105"/>
      <w:bookmarkEnd w:id="106"/>
      <w:r>
        <w:rPr>
          <w:rFonts w:ascii="Times New Roman" w:eastAsia="仿宋" w:cs="Times New Roman" w:hAnsi="Times New Roman" w:hint="eastAsia"/>
          <w:b w:val="0"/>
          <w:lang w:eastAsia="zh-CN"/>
        </w:rPr>
        <w:t>政府性基金预算财政拨款</w:t>
      </w:r>
      <w:r>
        <w:rPr>
          <w:rStyle w:val="2Char"/>
          <w:rFonts w:ascii="Times New Roman" w:eastAsia="仿宋" w:cs="Times New Roman" w:hAnsi="Times New Roman"/>
          <w:b w:val="0"/>
          <w:bCs w:val="0"/>
        </w:rPr>
        <w:t>收入支出决算表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7" w:name="_Toc26843637"/>
      <w:bookmarkStart w:id="108" w:name="_Toc15396630"/>
      <w:r>
        <w:rPr>
          <w:rStyle w:val="2Char"/>
          <w:rFonts w:ascii="Times New Roman" w:eastAsia="仿宋" w:cs="Times New Roman" w:hAnsi="Times New Roman"/>
          <w:b w:val="0"/>
          <w:bCs w:val="0"/>
        </w:rPr>
        <w:t>十二、</w:t>
      </w:r>
      <w:bookmarkStart w:id="109" w:name="_Toc26843639"/>
      <w:bookmarkEnd w:id="107"/>
      <w:bookmarkEnd w:id="108"/>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w:t>
      </w:r>
      <w:r>
        <w:rPr>
          <w:rStyle w:val="2Char"/>
          <w:rFonts w:ascii="Times New Roman" w:eastAsia="仿宋" w:cs="Times New Roman" w:hAnsi="Times New Roman" w:hint="eastAsia"/>
          <w:b w:val="0"/>
          <w:bCs w:val="0"/>
          <w:lang w:val="en-US"/>
        </w:rPr>
        <w:t>三</w:t>
      </w:r>
      <w:r>
        <w:rPr>
          <w:rStyle w:val="2Char"/>
          <w:rFonts w:ascii="Times New Roman" w:eastAsia="仿宋" w:cs="Times New Roman" w:hAnsi="Times New Roman"/>
          <w:b w:val="0"/>
          <w:bCs w:val="0"/>
        </w:rPr>
        <w:t>、</w:t>
      </w:r>
      <w:bookmarkEnd w:id="109"/>
      <w:r>
        <w:rPr>
          <w:rStyle w:val="2Char"/>
          <w:rFonts w:ascii="Times New Roman" w:eastAsia="仿宋" w:cs="Times New Roman" w:hAnsi="Times New Roman"/>
          <w:b w:val="0"/>
          <w:bCs w:val="0"/>
        </w:rPr>
        <w:t>国有资本经营预算财政拨款支出决算表</w:t>
      </w:r>
    </w:p>
    <w:p>
      <w:pPr>
        <w:pageBreakBefore w:val="0"/>
        <w:widowControl w:val="0"/>
        <w:kinsoku/>
        <w:wordWrap/>
        <w:overflowPunct/>
        <w:topLinePunct w:val="0"/>
        <w:bidi w:val="0"/>
        <w:spacing w:line="576" w:lineRule="exact"/>
        <w:rPr>
          <w:rFonts w:ascii="Times New Roman" w:eastAsia="仿宋" w:cs="Times New Roman" w:hAnsi="Times New Roman"/>
        </w:rPr>
      </w:pPr>
    </w:p>
    <w:p>
      <w:pPr>
        <w:pageBreakBefore w:val="0"/>
        <w:widowControl w:val="0"/>
        <w:kinsoku/>
        <w:wordWrap/>
        <w:overflowPunct/>
        <w:topLinePunct w:val="0"/>
        <w:bidi w:val="0"/>
        <w:spacing w:line="576" w:lineRule="exact"/>
        <w:rPr>
          <w:rFonts w:ascii="Times New Roman" w:eastAsia="仿宋" w:cs="Times New Roman" w:hAnsi="Times New Roma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E0002AFF" w:usb1="C0007841" w:usb2="00000009" w:usb3="00000000" w:csb0="400001FF" w:csb1="FFFF0000"/>
  </w:font>
  <w:font w:name="方正小标宋简体">
    <w:altName w:val="方正黑体_GBK"/>
    <w:panose1 w:val="02010601030101010101"/>
    <w:charset w:val="86"/>
    <w:family w:val="script"/>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宋体">
    <w:altName w:val="方正书宋_GBK"/>
    <w:panose1 w:val="02010600030101010101"/>
    <w:charset w:val="7A"/>
    <w:family w:val="auto"/>
    <w:pitch w:val="variable"/>
    <w:sig w:usb0="00000003" w:usb1="288F0000" w:usb2="0000000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楷体_GBK">
    <w:altName w:val="微软雅黑"/>
    <w:panose1 w:val="03000509000000000000"/>
    <w:charset w:val="86"/>
    <w:family w:val="auto"/>
    <w:pitch w:val="variable"/>
    <w:sig w:usb0="00000000" w:usb1="0000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 w:name="DejaVu Sans">
    <w:altName w:val="Segoe Print"/>
    <w:panose1 w:val="00000000000000000000"/>
    <w:charset w:val="00"/>
    <w:family w:val="roman"/>
    <w:pitch w:val="variable"/>
    <w:sig w:usb0="00000000" w:usb1="00000000" w:usb2="0A246029" w:usb3="0400200C" w:csb0="600001FF" w:csb1="DFFF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662484270"/>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3">
    <w:nsid w:val="B094DE4A"/>
    <w:multiLevelType w:val="multilevel"/>
    <w:tmpl w:val="B094DE4A"/>
    <w:lvl w:ilvl="0">
      <w:start w:val="1"/>
      <w:numFmt w:val="chineseCountingThousand"/>
      <w:lvlRestart w:val="0"/>
      <w:lvlText w:val="（%1）"/>
      <w:lvlJc w:val="left"/>
      <w:pPr>
        <w:tabs>
          <w:tab w:val="num" w:pos="0"/>
        </w:tabs>
        <w:ind w:left="1600" w:hanging="960"/>
      </w:pPr>
      <w:rPr>
        <w:rFonts w:ascii="仿宋_GB2312" w:hAnsi="仿宋_GB2312" w:eastAsia="仿宋_GB2312" w:cs="宋体" w:hint="default"/>
        <w:sz w:val="32"/>
        <w:szCs w:val="32"/>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4">
    <w:nsid w:val="648F8001"/>
    <w:multiLevelType w:val="singleLevel"/>
    <w:tmpl w:val="648F8001"/>
    <w:lvl w:ilvl="0">
      <w:start w:val="1"/>
      <w:numFmt w:val="chineseCounting"/>
      <w:lvlRestart w:val="0"/>
      <w:suff w:val="nothing"/>
      <w:lvlText w:val="%1、"/>
      <w:lvlJc w:val="left"/>
      <w:pPr>
        <w:tabs>
          <w:tab w:val="num" w:pos="0"/>
        </w:tabs>
        <w:ind w:left="0" w:hanging="0"/>
      </w:pPr>
    </w:lvl>
  </w:abstractNum>
  <w:abstractNum w:abstractNumId="5">
    <w:nsid w:val="C4768760"/>
    <w:multiLevelType w:val="singleLevel"/>
    <w:tmpl w:val="C4768760"/>
    <w:lvl w:ilvl="0">
      <w:start w:val="1"/>
      <w:numFmt w:val="chineseCounting"/>
      <w:lvlRestart w:val="0"/>
      <w:suff w:val="nothing"/>
      <w:lvlText w:val="%1、"/>
      <w:lvlJc w:val="left"/>
      <w:pPr>
        <w:tabs>
          <w:tab w:val="num" w:pos="0"/>
        </w:tabs>
        <w:ind w:left="0" w:hanging="0"/>
      </w:pPr>
      <w:rPr>
        <w:rFonts w:hint="eastAsia"/>
      </w:rPr>
    </w:lvl>
  </w:abstractNum>
  <w:abstractNum w:abstractNumId="6">
    <w:nsid w:val="48214878"/>
    <w:multiLevelType w:val="singleLevel"/>
    <w:tmpl w:val="48214878"/>
    <w:lvl w:ilvl="0">
      <w:start w:val="5"/>
      <w:numFmt w:val="chineseCounting"/>
      <w:lvlRestart w:val="0"/>
      <w:suff w:val="nothing"/>
      <w:lvlText w:val="%1、"/>
      <w:lvlJc w:val="left"/>
      <w:pPr>
        <w:tabs>
          <w:tab w:val="num" w:pos="0"/>
        </w:tabs>
        <w:ind w:left="0" w:hanging="0"/>
      </w:pPr>
      <w:rPr>
        <w:rFonts w:hint="eastAsia"/>
      </w:rPr>
    </w:lvl>
  </w:abstractNum>
  <w:abstractNum w:abstractNumId="7">
    <w:nsid w:val="356AA5B4"/>
    <w:multiLevelType w:val="singleLevel"/>
    <w:tmpl w:val="356AA5B4"/>
    <w:lvl w:ilvl="0">
      <w:start w:val="3"/>
      <w:numFmt w:val="chineseCounting"/>
      <w:lvlRestart w:val="0"/>
      <w:suff w:val="nothing"/>
      <w:lvlText w:val="（%1）"/>
      <w:lvlJc w:val="left"/>
      <w:pPr>
        <w:tabs>
          <w:tab w:val="num" w:pos="0"/>
        </w:tabs>
        <w:ind w:left="0" w:hanging="0"/>
      </w:pPr>
      <w:rPr>
        <w:rFonts w:hint="eastAsia"/>
        <w:b/>
        <w:bC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MwN2MwYjQ4YjE0MzViNmU5MTkzZGYxOGRlZDAzZ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Subtitle"/>
    <w:basedOn w:val="0"/>
    <w:pPr>
      <w:spacing w:before="240" w:after="60" w:line="312" w:lineRule="auto"/>
      <w:jc w:val="center"/>
      <w:outlineLvl w:val="1"/>
    </w:pPr>
    <w:rPr>
      <w:rFonts w:ascii="DejaVu Sans" w:hAnsi="DejaVu Sans"/>
      <w:b/>
      <w:kern w:val="28"/>
    </w:rPr>
  </w:style>
  <w:style w:type="paragraph" w:styleId="22">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3">
    <w:name w:val="toc 2"/>
    <w:basedOn w:val="0"/>
    <w:next w:val="0"/>
    <w:pPr>
      <w:tabs>
        <w:tab w:val="right" w:leader="dot" w:pos="8296"/>
      </w:tabs>
      <w:ind w:leftChars="200" w:left="200"/>
    </w:pPr>
  </w:style>
  <w:style w:type="paragraph" w:styleId="24">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chart" Target="charts/chart8.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收、支决算总计变动情况</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2021年</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'Sheet1'!$A$2:$A$3</c:f>
              <c:strCache>
                <c:ptCount val="2"/>
                <c:pt idx="0">
                  <c:v>总收入</c:v>
                </c:pt>
                <c:pt idx="1">
                  <c:v>总支出</c:v>
                </c:pt>
              </c:strCache>
            </c:strRef>
          </c:cat>
          <c:val>
            <c:numRef>
              <c:f>'Sheet1'!$B$2:$B$3</c:f>
              <c:numCache>
                <c:formatCode>General</c:formatCode>
                <c:ptCount val="2"/>
                <c:pt idx="0">
                  <c:v>177.29</c:v>
                </c:pt>
                <c:pt idx="1">
                  <c:v>177.29</c:v>
                </c:pt>
              </c:numCache>
            </c:numRef>
          </c:val>
        </c:ser>
        <c:ser>
          <c:idx val="1"/>
          <c:order val="1"/>
          <c:tx>
            <c:strRef>
              <c:f>'Sheet1'!$C$1</c:f>
              <c:strCache>
                <c:ptCount val="1"/>
                <c:pt idx="0">
                  <c:v>2022年</c:v>
                </c:pt>
              </c:strCache>
            </c:strRef>
          </c:tx>
          <c:spPr>
            <a:solidFill>
              <a:srgbClr val="C0504D"/>
            </a:solidFill>
            <a:ln>
              <a:noFill/>
            </a:ln>
          </c:spPr>
          <c:invertIfNegative val="0"/>
          <c:dLbls>
            <c:showLegendKey val="0"/>
            <c:showVal val="0"/>
            <c:showCatName val="0"/>
            <c:showSerName val="0"/>
            <c:showPercent val="0"/>
            <c:showBubbleSize val="0"/>
            <c:showLeaderLines val="0"/>
          </c:dLbls>
          <c:cat>
            <c:strRef>
              <c:f>'Sheet1'!$A$2:$A$3</c:f>
              <c:strCache>
                <c:ptCount val="2"/>
                <c:pt idx="0">
                  <c:v>总收入</c:v>
                </c:pt>
                <c:pt idx="1">
                  <c:v>总支出</c:v>
                </c:pt>
              </c:strCache>
            </c:strRef>
          </c:cat>
          <c:val>
            <c:numRef>
              <c:f>'Sheet1'!$C$2:$C$3</c:f>
              <c:numCache>
                <c:formatCode>General</c:formatCode>
                <c:ptCount val="2"/>
                <c:pt idx="0">
                  <c:v>235.29</c:v>
                </c:pt>
                <c:pt idx="1">
                  <c:v>235.29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345"/>
          <c:y val="0.93916667"/>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2</a:t>
            </a:r>
            <a:r>
              <a:rPr lang="zh-CN" sz="1400" b="0" i="0" u="none" strike="noStrike" baseline="0">
                <a:solidFill>
                  <a:srgbClr val="595959"/>
                </a:solidFill>
                <a:latin typeface="Times New Roman"/>
                <a:ea typeface="宋体"/>
                <a:cs typeface="Lucida Sans"/>
              </a:rPr>
              <a:t>年收入</a:t>
            </a:r>
          </a:p>
        </c:rich>
      </c:tx>
      <c:layout/>
      <c:overlay val="0"/>
      <c:spPr>
        <a:noFill/>
        <a:ln>
          <a:noFill/>
        </a:ln>
      </c:spPr>
    </c:title>
    <c:autoTitleDeleted val="1"/>
    <c:plotArea>
      <c:layout/>
      <c:pieChart>
        <c:varyColors val="1"/>
        <c:ser>
          <c:idx val="0"/>
          <c:order val="0"/>
          <c:tx>
            <c:strRef>
              <c:f>'Sheet1 (2)'!$B$1</c:f>
              <c:strCache>
                <c:ptCount val="1"/>
                <c:pt idx="0">
                  <c:v>2022年收入</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(2)'!$A$2:$A$3</c:f>
              <c:strCache>
                <c:ptCount val="2"/>
                <c:pt idx="0">
                  <c:v>一般公共预算财政拨款收入</c:v>
                </c:pt>
                <c:pt idx="1">
                  <c:v>其他收入</c:v>
                </c:pt>
              </c:strCache>
            </c:strRef>
          </c:cat>
          <c:val>
            <c:numRef>
              <c:f>'Sheet1 (2)'!$B$2:$B$3</c:f>
              <c:numCache>
                <c:formatCode>General</c:formatCode>
                <c:ptCount val="2"/>
                <c:pt idx="0">
                  <c:v>235.29</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2</a:t>
            </a:r>
            <a:r>
              <a:rPr lang="zh-CN" sz="1400" b="0" i="0" u="none" strike="noStrike" baseline="0">
                <a:solidFill>
                  <a:srgbClr val="595959"/>
                </a:solidFill>
                <a:latin typeface="Times New Roman"/>
                <a:ea typeface="宋体"/>
                <a:cs typeface="Lucida Sans"/>
              </a:rPr>
              <a:t>年支出</a:t>
            </a:r>
          </a:p>
        </c:rich>
      </c:tx>
      <c:layout/>
      <c:overlay val="0"/>
      <c:spPr>
        <a:noFill/>
        <a:ln>
          <a:noFill/>
        </a:ln>
      </c:spPr>
    </c:title>
    <c:autoTitleDeleted val="1"/>
    <c:plotArea>
      <c:layout/>
      <c:pieChart>
        <c:varyColors val="1"/>
        <c:ser>
          <c:idx val="0"/>
          <c:order val="0"/>
          <c:tx>
            <c:strRef>
              <c:f>'Sheet1 (3)'!$B$1</c:f>
              <c:strCache>
                <c:ptCount val="1"/>
                <c:pt idx="0">
                  <c:v>2022年支出</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176.29</c:v>
                </c:pt>
                <c:pt idx="1">
                  <c:v>59.0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收、支决算总计变动情况</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2021年</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(4)'!$A$2:$A$3</c:f>
              <c:strCache>
                <c:ptCount val="2"/>
                <c:pt idx="0">
                  <c:v>总收入</c:v>
                </c:pt>
                <c:pt idx="1">
                  <c:v>总支出</c:v>
                </c:pt>
              </c:strCache>
            </c:strRef>
          </c:cat>
          <c:val>
            <c:numRef>
              <c:f>'Sheet1 (4)'!$B$2:$B$3</c:f>
              <c:numCache>
                <c:formatCode>General</c:formatCode>
                <c:ptCount val="2"/>
                <c:pt idx="0">
                  <c:v>177.29</c:v>
                </c:pt>
                <c:pt idx="1">
                  <c:v>177.29</c:v>
                </c:pt>
              </c:numCache>
            </c:numRef>
          </c:val>
        </c:ser>
        <c:ser>
          <c:idx val="1"/>
          <c:order val="1"/>
          <c:tx>
            <c:strRef>
              <c:f>'Sheet1 (4)'!$C$1</c:f>
              <c:strCache>
                <c:ptCount val="1"/>
                <c:pt idx="0">
                  <c:v>2022年</c:v>
                </c:pt>
              </c:strCache>
            </c:strRef>
          </c:tx>
          <c:spPr>
            <a:solidFill>
              <a:srgbClr val="C0504D"/>
            </a:solidFill>
            <a:ln>
              <a:noFill/>
            </a:ln>
          </c:spPr>
          <c:invertIfNegative val="0"/>
          <c:dLbls>
            <c:showLegendKey val="0"/>
            <c:showVal val="0"/>
            <c:showCatName val="0"/>
            <c:showSerName val="0"/>
            <c:showPercent val="0"/>
            <c:showBubbleSize val="0"/>
            <c:showLeaderLines val="0"/>
          </c:dLbls>
          <c:cat>
            <c:strRef>
              <c:f>'Sheet1 (4)'!$A$2:$A$3</c:f>
              <c:strCache>
                <c:ptCount val="2"/>
                <c:pt idx="0">
                  <c:v>总收入</c:v>
                </c:pt>
                <c:pt idx="1">
                  <c:v>总支出</c:v>
                </c:pt>
              </c:strCache>
            </c:strRef>
          </c:cat>
          <c:val>
            <c:numRef>
              <c:f>'Sheet1 (4)'!$C$2:$C$3</c:f>
              <c:numCache>
                <c:formatCode>General</c:formatCode>
                <c:ptCount val="2"/>
                <c:pt idx="0">
                  <c:v>235.29</c:v>
                </c:pt>
                <c:pt idx="1">
                  <c:v>235.29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345"/>
          <c:y val="0.93916667"/>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收、支决算总计变动情况</a:t>
            </a:r>
          </a:p>
        </c:rich>
      </c:tx>
      <c:layout/>
      <c:overlay val="0"/>
      <c:spPr>
        <a:noFill/>
        <a:ln>
          <a:noFill/>
        </a:ln>
      </c:spPr>
    </c:title>
    <c:autoTitleDeleted val="1"/>
    <c:plotArea>
      <c:layout/>
      <c:barChart>
        <c:barDir val="col"/>
        <c:grouping val="clustered"/>
        <c:varyColors val="0"/>
        <c:ser>
          <c:idx val="0"/>
          <c:order val="0"/>
          <c:tx>
            <c:strRef>
              <c:f>'Sheet1 (5)'!$B$1</c:f>
              <c:strCache>
                <c:ptCount val="1"/>
                <c:pt idx="0">
                  <c:v>2021年</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(5)'!$A$2:$A$3</c:f>
              <c:strCache>
                <c:ptCount val="2"/>
                <c:pt idx="0">
                  <c:v>总收入</c:v>
                </c:pt>
                <c:pt idx="1">
                  <c:v>总支出</c:v>
                </c:pt>
              </c:strCache>
            </c:strRef>
          </c:cat>
          <c:val>
            <c:numRef>
              <c:f>'Sheet1 (5)'!$B$2:$B$3</c:f>
              <c:numCache>
                <c:formatCode>General</c:formatCode>
                <c:ptCount val="2"/>
                <c:pt idx="0">
                  <c:v>177.29</c:v>
                </c:pt>
                <c:pt idx="1">
                  <c:v>177.29</c:v>
                </c:pt>
              </c:numCache>
            </c:numRef>
          </c:val>
        </c:ser>
        <c:ser>
          <c:idx val="1"/>
          <c:order val="1"/>
          <c:tx>
            <c:strRef>
              <c:f>'Sheet1 (5)'!$C$1</c:f>
              <c:strCache>
                <c:ptCount val="1"/>
                <c:pt idx="0">
                  <c:v>2022年</c:v>
                </c:pt>
              </c:strCache>
            </c:strRef>
          </c:tx>
          <c:spPr>
            <a:solidFill>
              <a:srgbClr val="C0504D"/>
            </a:solidFill>
            <a:ln>
              <a:noFill/>
            </a:ln>
          </c:spPr>
          <c:invertIfNegative val="0"/>
          <c:dLbls>
            <c:showLegendKey val="0"/>
            <c:showVal val="0"/>
            <c:showCatName val="0"/>
            <c:showSerName val="0"/>
            <c:showPercent val="0"/>
            <c:showBubbleSize val="0"/>
            <c:showLeaderLines val="0"/>
          </c:dLbls>
          <c:cat>
            <c:strRef>
              <c:f>'Sheet1 (5)'!$A$2:$A$3</c:f>
              <c:strCache>
                <c:ptCount val="2"/>
                <c:pt idx="0">
                  <c:v>总收入</c:v>
                </c:pt>
                <c:pt idx="1">
                  <c:v>总支出</c:v>
                </c:pt>
              </c:strCache>
            </c:strRef>
          </c:cat>
          <c:val>
            <c:numRef>
              <c:f>'Sheet1 (5)'!$C$2:$C$3</c:f>
              <c:numCache>
                <c:formatCode>General</c:formatCode>
                <c:ptCount val="2"/>
                <c:pt idx="0">
                  <c:v>235.29</c:v>
                </c:pt>
                <c:pt idx="1">
                  <c:v>235.29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345"/>
          <c:y val="0.93916667"/>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(6)'!$A$2:$A$6</c:f>
              <c:strCache>
                <c:ptCount val="5"/>
                <c:pt idx="0">
                  <c:v>社会保障和就业</c:v>
                </c:pt>
                <c:pt idx="1">
                  <c:v>卫生健康支出</c:v>
                </c:pt>
                <c:pt idx="2">
                  <c:v>农林水支出</c:v>
                </c:pt>
                <c:pt idx="3">
                  <c:v>商业服务业等支出</c:v>
                </c:pt>
                <c:pt idx="4">
                  <c:v>住房保障支出</c:v>
                </c:pt>
              </c:strCache>
            </c:strRef>
          </c:cat>
          <c:val>
            <c:numRef>
              <c:f>'Sheet1 (6)'!$B$2:$B$6</c:f>
              <c:numCache>
                <c:formatCode>General</c:formatCode>
                <c:ptCount val="5"/>
                <c:pt idx="0">
                  <c:v>18.85</c:v>
                </c:pt>
                <c:pt idx="1">
                  <c:v>9.13</c:v>
                </c:pt>
                <c:pt idx="2">
                  <c:v>33.0</c:v>
                </c:pt>
                <c:pt idx="3">
                  <c:v>163.53</c:v>
                </c:pt>
                <c:pt idx="4">
                  <c:v>10.78</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人员经费</a:t>
            </a:r>
          </a:p>
        </c:rich>
      </c:tx>
      <c:layout/>
      <c:overlay val="0"/>
      <c:spPr>
        <a:noFill/>
        <a:ln>
          <a:noFill/>
        </a:ln>
      </c:spPr>
    </c:title>
    <c:autoTitleDeleted val="1"/>
    <c:plotArea>
      <c:layout/>
      <c:barChart>
        <c:barDir val="bar"/>
        <c:grouping val="clustered"/>
        <c:varyColors val="0"/>
        <c:ser>
          <c:idx val="0"/>
          <c:order val="0"/>
          <c:tx>
            <c:strRef>
              <c:f>'Sheet1 (7)'!$B$1</c:f>
              <c:strCache>
                <c:ptCount val="1"/>
                <c:pt idx="0">
                  <c:v>万元 </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(7)'!$A$2:$A$13</c:f>
              <c:strCache>
                <c:ptCount val="12"/>
                <c:pt idx="0">
                  <c:v>基本工资</c:v>
                </c:pt>
                <c:pt idx="1">
                  <c:v>津贴补贴</c:v>
                </c:pt>
                <c:pt idx="2">
                  <c:v>奖金</c:v>
                </c:pt>
                <c:pt idx="3">
                  <c:v>基本养老保险</c:v>
                </c:pt>
                <c:pt idx="4">
                  <c:v>职业年金缴费</c:v>
                </c:pt>
                <c:pt idx="5">
                  <c:v>基本医疗保险</c:v>
                </c:pt>
                <c:pt idx="6">
                  <c:v>公务员医疗补助</c:v>
                </c:pt>
                <c:pt idx="7">
                  <c:v>其他社会保障缴费</c:v>
                </c:pt>
                <c:pt idx="8">
                  <c:v>住房公积金</c:v>
                </c:pt>
                <c:pt idx="9">
                  <c:v>生活补助</c:v>
                </c:pt>
                <c:pt idx="10">
                  <c:v>抚恤金</c:v>
                </c:pt>
                <c:pt idx="11">
                  <c:v>奖励金</c:v>
                </c:pt>
              </c:strCache>
            </c:strRef>
          </c:cat>
          <c:val>
            <c:numRef>
              <c:f>'Sheet1 (7)'!$B$2:$B$13</c:f>
              <c:numCache>
                <c:formatCode>General</c:formatCode>
                <c:ptCount val="12"/>
                <c:pt idx="0">
                  <c:v>32.67</c:v>
                </c:pt>
                <c:pt idx="1">
                  <c:v>35.33</c:v>
                </c:pt>
                <c:pt idx="2">
                  <c:v>25.7</c:v>
                </c:pt>
                <c:pt idx="3">
                  <c:v>12.57</c:v>
                </c:pt>
                <c:pt idx="4">
                  <c:v>6.28</c:v>
                </c:pt>
                <c:pt idx="5">
                  <c:v>5.46</c:v>
                </c:pt>
                <c:pt idx="6">
                  <c:v>3.67</c:v>
                </c:pt>
                <c:pt idx="7">
                  <c:v>0.95</c:v>
                </c:pt>
                <c:pt idx="8">
                  <c:v>10.78</c:v>
                </c:pt>
                <c:pt idx="9">
                  <c:v>14.57</c:v>
                </c:pt>
                <c:pt idx="10">
                  <c:v>0.0</c:v>
                </c:pt>
                <c:pt idx="11">
                  <c:v>15.83</c:v>
                </c:pt>
              </c:numCache>
            </c:numRef>
          </c:val>
        </c:ser>
        <c:gapWidth val="182"/>
        <c:axId val="0"/>
        <c:axId val="1"/>
      </c:barChart>
      <c:catAx>
        <c:axId val="0"/>
        <c:scaling>
          <c:orientation val="minMax"/>
        </c:scaling>
        <c:delete val="0"/>
        <c:axPos val="l"/>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b"/>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公用经费</a:t>
            </a:r>
          </a:p>
        </c:rich>
      </c:tx>
      <c:layout/>
      <c:overlay val="0"/>
      <c:spPr>
        <a:noFill/>
        <a:ln>
          <a:noFill/>
        </a:ln>
      </c:spPr>
    </c:title>
    <c:autoTitleDeleted val="1"/>
    <c:plotArea>
      <c:layout/>
      <c:barChart>
        <c:barDir val="bar"/>
        <c:grouping val="clustered"/>
        <c:varyColors val="0"/>
        <c:ser>
          <c:idx val="0"/>
          <c:order val="0"/>
          <c:tx>
            <c:strRef>
              <c:f>'Sheet1 (8)'!$B$1</c:f>
              <c:strCache>
                <c:ptCount val="1"/>
                <c:pt idx="0">
                  <c:v>万元</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(8)'!$A$2:$A$8</c:f>
              <c:strCache>
                <c:ptCount val="7"/>
                <c:pt idx="0">
                  <c:v>办公费</c:v>
                </c:pt>
                <c:pt idx="1">
                  <c:v>水费</c:v>
                </c:pt>
                <c:pt idx="2">
                  <c:v>电费</c:v>
                </c:pt>
                <c:pt idx="3">
                  <c:v>邮电费</c:v>
                </c:pt>
                <c:pt idx="4">
                  <c:v>差旅费</c:v>
                </c:pt>
                <c:pt idx="5">
                  <c:v>劳务费</c:v>
                </c:pt>
                <c:pt idx="6">
                  <c:v>其他交通费用</c:v>
                </c:pt>
              </c:strCache>
            </c:strRef>
          </c:cat>
          <c:val>
            <c:numRef>
              <c:f>'Sheet1 (8)'!$B$2:$B$8</c:f>
              <c:numCache>
                <c:formatCode>General</c:formatCode>
                <c:ptCount val="7"/>
                <c:pt idx="0">
                  <c:v>4.39</c:v>
                </c:pt>
                <c:pt idx="1">
                  <c:v>0.1</c:v>
                </c:pt>
                <c:pt idx="2">
                  <c:v>0.2</c:v>
                </c:pt>
                <c:pt idx="3">
                  <c:v>0.65</c:v>
                </c:pt>
                <c:pt idx="4">
                  <c:v>3.8</c:v>
                </c:pt>
                <c:pt idx="5">
                  <c:v>0.6</c:v>
                </c:pt>
                <c:pt idx="6">
                  <c:v>2.73</c:v>
                </c:pt>
              </c:numCache>
            </c:numRef>
          </c:val>
        </c:ser>
        <c:gapWidth val="182"/>
        <c:axId val="0"/>
        <c:axId val="1"/>
      </c:barChart>
      <c:catAx>
        <c:axId val="0"/>
        <c:scaling>
          <c:orientation val="minMax"/>
        </c:scaling>
        <c:delete val="0"/>
        <c:axPos val="l"/>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b"/>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TotalTime>
  <Application>Yozo_Office27021597764231179</Application>
  <Pages>37</Pages>
  <Words>13466</Words>
  <Characters>14378</Characters>
  <Lines>1059</Lines>
  <Paragraphs>522</Paragraphs>
  <CharactersWithSpaces>14537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2023-08-28T03:42:00Z</cp:lastPrinted>
  <dcterms:created xsi:type="dcterms:W3CDTF">2020-08-05T01:49:00Z</dcterms:created>
  <dcterms:modified xsi:type="dcterms:W3CDTF">2023-09-21T02:08:31Z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CD33DDAE16CF4397B6EF844710D8BB9B_13</vt:lpwstr>
  </property>
</Properties>
</file>