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供销合作社联合社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pStyle w:val="2"/>
        <w:rPr>
          <w:rFonts w:hint="eastAsia"/>
          <w:lang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2023年，我单位部门预算162.00万元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贯彻执行国家和省有关农村经济工作方针政策和法律法规，制定全县供销合作社系统的发展战略规划，指导全县供销系统的改革和发展，县供销社与所属企业实行社企分开的体制，联社对所属企业行使社有资产出资人职权.监管社有资产，维护供销合作社的合法权益.确保社有资产保值增值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指导基层供销合作社发展农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业专业合作经济组织和农业产业化龙头企业的工作，增强为农服务功能，协调本系统内外的经济联系与合作。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2023年我单位未编制重点项目预算。完成0个重点项目预算绩效目标申报，编报0个重点项目预算事前绩效评估报告。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EE72CC4"/>
    <w:rsid w:val="36F0070A"/>
    <w:rsid w:val="67EC6580"/>
    <w:rsid w:val="6EF7192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Administrator</cp:lastModifiedBy>
  <dcterms:modified xsi:type="dcterms:W3CDTF">2023-02-07T01:00:59Z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  <property fmtid="{D5CDD505-2E9C-101B-9397-08002B2CF9AE}" pid="3" name="ICV">
    <vt:lpwstr>11D954EF5B9C00756561E4637DD3F903</vt:lpwstr>
  </property>
</Properties>
</file>