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spacing w:after="87" w:afterLines="20" w:afterAutospacing="0"/>
        <w:ind w:firstLine="0" w:firstLineChars="0"/>
        <w:jc w:val="center"/>
        <w:rPr>
          <w:rFonts w:hint="default" w:ascii="Times New Roman" w:hAnsi="Times New Roman" w:eastAsia="方正小标宋简体" w:cs="Times New Roman"/>
          <w:sz w:val="72"/>
          <w:szCs w:val="72"/>
        </w:rPr>
      </w:pPr>
      <w:r>
        <w:rPr>
          <w:rFonts w:hint="default" w:ascii="Times New Roman" w:hAnsi="Times New Roman" w:eastAsia="方正小标宋简体" w:cs="Times New Roman"/>
          <w:sz w:val="72"/>
          <w:szCs w:val="72"/>
          <w:lang w:eastAsia="zh-CN"/>
        </w:rPr>
        <w:t>2021年</w:t>
      </w:r>
      <w:r>
        <w:rPr>
          <w:rFonts w:hint="default" w:ascii="Times New Roman" w:hAnsi="Times New Roman" w:eastAsia="方正小标宋简体" w:cs="Times New Roman"/>
          <w:sz w:val="72"/>
          <w:szCs w:val="72"/>
        </w:rPr>
        <w:t>度</w:t>
      </w:r>
    </w:p>
    <w:p>
      <w:pPr>
        <w:spacing w:beforeAutospacing="0"/>
        <w:ind w:firstLine="0" w:firstLineChars="0"/>
        <w:jc w:val="center"/>
        <w:rPr>
          <w:rFonts w:hint="default" w:ascii="Times New Roman" w:hAnsi="Times New Roman" w:eastAsia="方正小标宋简体" w:cs="Times New Roman"/>
          <w:sz w:val="56"/>
          <w:szCs w:val="56"/>
          <w:lang w:val="en-US" w:eastAsia="zh-CN"/>
        </w:rPr>
      </w:pPr>
      <w:r>
        <w:rPr>
          <w:rFonts w:hint="eastAsia" w:eastAsia="方正小标宋简体" w:cs="Times New Roman"/>
          <w:sz w:val="56"/>
          <w:szCs w:val="56"/>
          <w:lang w:eastAsia="zh-CN"/>
        </w:rPr>
        <w:t>金川县</w:t>
      </w:r>
      <w:r>
        <w:rPr>
          <w:rFonts w:hint="eastAsia" w:eastAsia="方正小标宋简体" w:cs="Times New Roman"/>
          <w:sz w:val="56"/>
          <w:szCs w:val="56"/>
          <w:lang w:val="en-US" w:eastAsia="zh-CN"/>
        </w:rPr>
        <w:t>供销合作社联合社</w:t>
      </w:r>
    </w:p>
    <w:p>
      <w:pPr>
        <w:ind w:firstLine="2880" w:firstLineChars="400"/>
        <w:jc w:val="both"/>
        <w:rPr>
          <w:rFonts w:hint="default" w:ascii="Times New Roman" w:hAnsi="Times New Roman" w:eastAsia="方正小标宋简体" w:cs="Times New Roman"/>
          <w:sz w:val="72"/>
          <w:szCs w:val="72"/>
        </w:rPr>
      </w:pPr>
      <w:r>
        <w:rPr>
          <w:rFonts w:hint="default" w:ascii="Times New Roman" w:hAnsi="Times New Roman" w:eastAsia="方正小标宋简体" w:cs="Times New Roman"/>
          <w:sz w:val="72"/>
          <w:szCs w:val="72"/>
        </w:rPr>
        <w:t>部门决算</w:t>
      </w:r>
    </w:p>
    <w:p>
      <w:pPr>
        <w:ind w:firstLine="2880" w:firstLineChars="400"/>
        <w:jc w:val="both"/>
        <w:rPr>
          <w:rFonts w:hint="default" w:ascii="Times New Roman" w:hAnsi="Times New Roman" w:eastAsia="方正小标宋简体" w:cs="Times New Roman"/>
          <w:sz w:val="72"/>
          <w:szCs w:val="72"/>
        </w:rPr>
      </w:pPr>
    </w:p>
    <w:p>
      <w:pPr>
        <w:ind w:firstLine="2880" w:firstLineChars="400"/>
        <w:jc w:val="both"/>
        <w:rPr>
          <w:rFonts w:hint="default" w:ascii="Times New Roman" w:hAnsi="Times New Roman" w:eastAsia="方正小标宋简体" w:cs="Times New Roman"/>
          <w:sz w:val="72"/>
          <w:szCs w:val="72"/>
        </w:rPr>
      </w:pPr>
    </w:p>
    <w:p>
      <w:pPr>
        <w:ind w:firstLine="2880" w:firstLineChars="400"/>
        <w:jc w:val="both"/>
        <w:rPr>
          <w:rFonts w:hint="default" w:ascii="Times New Roman" w:hAnsi="Times New Roman" w:eastAsia="方正小标宋简体" w:cs="Times New Roman"/>
          <w:sz w:val="72"/>
          <w:szCs w:val="72"/>
        </w:rPr>
      </w:pPr>
    </w:p>
    <w:p>
      <w:pPr>
        <w:ind w:firstLine="2880" w:firstLineChars="400"/>
        <w:jc w:val="both"/>
        <w:rPr>
          <w:rFonts w:hint="default" w:ascii="Times New Roman" w:hAnsi="Times New Roman" w:eastAsia="方正小标宋简体" w:cs="Times New Roman"/>
          <w:sz w:val="72"/>
          <w:szCs w:val="72"/>
        </w:rPr>
      </w:pPr>
    </w:p>
    <w:p>
      <w:pPr>
        <w:ind w:firstLine="2880" w:firstLineChars="400"/>
        <w:jc w:val="both"/>
        <w:rPr>
          <w:rFonts w:hint="default" w:ascii="Times New Roman" w:hAnsi="Times New Roman" w:eastAsia="方正小标宋简体" w:cs="Times New Roman"/>
          <w:sz w:val="72"/>
          <w:szCs w:val="72"/>
        </w:rPr>
      </w:pPr>
    </w:p>
    <w:p>
      <w:pPr>
        <w:ind w:left="0" w:leftChars="0" w:firstLine="0" w:firstLineChars="0"/>
        <w:jc w:val="both"/>
        <w:rPr>
          <w:rFonts w:hint="eastAsia" w:ascii="Times New Roman" w:hAnsi="Times New Roman" w:eastAsia="方正小标宋简体" w:cs="Times New Roman"/>
          <w:sz w:val="32"/>
          <w:szCs w:val="32"/>
          <w:lang w:val="en-US" w:eastAsia="zh-CN"/>
        </w:rPr>
      </w:pPr>
    </w:p>
    <w:p>
      <w:pPr>
        <w:ind w:left="0" w:leftChars="0" w:firstLine="0" w:firstLineChars="0"/>
        <w:jc w:val="center"/>
        <w:rPr>
          <w:rFonts w:hint="default" w:ascii="Times New Roman" w:hAnsi="Times New Roman" w:eastAsia="方正小标宋简体" w:cs="Times New Roman"/>
          <w:sz w:val="32"/>
          <w:szCs w:val="32"/>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2098" w:right="1588" w:bottom="1985" w:left="1474" w:header="851" w:footer="992" w:gutter="0"/>
          <w:pgNumType w:fmt="numberInDash"/>
          <w:cols w:space="720" w:num="1"/>
          <w:docGrid w:type="lines" w:linePitch="435" w:charSpace="0"/>
        </w:sectPr>
      </w:pPr>
      <w:r>
        <w:rPr>
          <w:rFonts w:hint="eastAsia" w:ascii="Times New Roman" w:hAnsi="Times New Roman" w:eastAsia="方正小标宋简体" w:cs="Times New Roman"/>
          <w:sz w:val="32"/>
          <w:szCs w:val="32"/>
          <w:lang w:val="en-US" w:eastAsia="zh-CN"/>
        </w:rPr>
        <w:t>公开时间：2022年8月</w:t>
      </w:r>
      <w:r>
        <w:rPr>
          <w:rFonts w:hint="eastAsia" w:eastAsia="方正小标宋简体" w:cs="Times New Roman"/>
          <w:sz w:val="32"/>
          <w:szCs w:val="32"/>
          <w:lang w:val="en-US" w:eastAsia="zh-CN"/>
        </w:rPr>
        <w:t>25</w:t>
      </w:r>
      <w:r>
        <w:rPr>
          <w:rFonts w:hint="eastAsia" w:ascii="Times New Roman" w:hAnsi="Times New Roman" w:eastAsia="方正小标宋简体" w:cs="Times New Roman"/>
          <w:sz w:val="32"/>
          <w:szCs w:val="32"/>
          <w:lang w:val="en-US" w:eastAsia="zh-CN"/>
        </w:rPr>
        <w:t>日</w:t>
      </w:r>
    </w:p>
    <w:p>
      <w:pPr>
        <w:pStyle w:val="9"/>
        <w:tabs>
          <w:tab w:val="right" w:leader="dot" w:pos="8406"/>
        </w:tabs>
        <w:ind w:firstLine="88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目录</w:t>
      </w:r>
    </w:p>
    <w:p>
      <w:pPr>
        <w:rPr>
          <w:rFonts w:hint="default" w:ascii="Times New Roman" w:hAnsi="Times New Roman" w:cs="Times New Roman"/>
        </w:rPr>
      </w:pPr>
    </w:p>
    <w:p>
      <w:pPr>
        <w:pStyle w:val="9"/>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TOC \o "1-3" \h \u </w:instrText>
      </w:r>
      <w:r>
        <w:rPr>
          <w:rFonts w:hint="default" w:ascii="Times New Roman" w:hAnsi="Times New Roman" w:cs="Times New Roman"/>
          <w:szCs w:val="32"/>
        </w:rPr>
        <w:fldChar w:fldCharType="separate"/>
      </w: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_Toc29559 </w:instrText>
      </w:r>
      <w:r>
        <w:rPr>
          <w:rFonts w:hint="default" w:ascii="Times New Roman" w:hAnsi="Times New Roman" w:cs="Times New Roman"/>
          <w:szCs w:val="32"/>
        </w:rPr>
        <w:fldChar w:fldCharType="separate"/>
      </w:r>
      <w:r>
        <w:rPr>
          <w:rFonts w:hint="default" w:ascii="Times New Roman" w:hAnsi="Times New Roman" w:cs="Times New Roman"/>
          <w:bCs/>
          <w:szCs w:val="44"/>
          <w:lang w:val="en-US" w:eastAsia="zh-CN"/>
        </w:rPr>
        <w:t>第一部分部门概况</w:t>
      </w:r>
      <w:r>
        <w:tab/>
      </w:r>
      <w:r>
        <w:fldChar w:fldCharType="begin"/>
      </w:r>
      <w:r>
        <w:instrText xml:space="preserve"> PAGEREF _Toc29559 \h </w:instrText>
      </w:r>
      <w:r>
        <w:fldChar w:fldCharType="separate"/>
      </w:r>
      <w:r>
        <w:t>1</w:t>
      </w:r>
      <w:r>
        <w:fldChar w:fldCharType="end"/>
      </w:r>
      <w:r>
        <w:rPr>
          <w:rFonts w:hint="default" w:ascii="Times New Roman" w:hAnsi="Times New Roman" w:cs="Times New Roman"/>
          <w:szCs w:val="32"/>
        </w:rPr>
        <w:fldChar w:fldCharType="end"/>
      </w:r>
    </w:p>
    <w:p>
      <w:pPr>
        <w:pStyle w:val="9"/>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_Toc24468 </w:instrText>
      </w:r>
      <w:r>
        <w:rPr>
          <w:rFonts w:hint="default" w:ascii="Times New Roman" w:hAnsi="Times New Roman" w:cs="Times New Roman"/>
          <w:szCs w:val="32"/>
        </w:rPr>
        <w:fldChar w:fldCharType="separate"/>
      </w:r>
      <w:r>
        <w:rPr>
          <w:rFonts w:hint="eastAsia" w:ascii="黑体" w:hAnsi="黑体" w:eastAsia="黑体" w:cs="黑体"/>
          <w:bCs w:val="0"/>
          <w:szCs w:val="32"/>
        </w:rPr>
        <w:t>一、 单位基本情况</w:t>
      </w:r>
      <w:r>
        <w:tab/>
      </w:r>
      <w:r>
        <w:fldChar w:fldCharType="begin"/>
      </w:r>
      <w:r>
        <w:instrText xml:space="preserve"> PAGEREF _Toc24468 \h </w:instrText>
      </w:r>
      <w:r>
        <w:fldChar w:fldCharType="separate"/>
      </w:r>
      <w:r>
        <w:t>1</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_Toc14175 </w:instrText>
      </w:r>
      <w:r>
        <w:rPr>
          <w:rFonts w:hint="default" w:ascii="Times New Roman" w:hAnsi="Times New Roman" w:cs="Times New Roman"/>
          <w:szCs w:val="32"/>
        </w:rPr>
        <w:fldChar w:fldCharType="separate"/>
      </w:r>
      <w:r>
        <w:rPr>
          <w:rFonts w:hint="eastAsia" w:ascii="楷体" w:hAnsi="楷体" w:eastAsia="楷体" w:cs="楷体"/>
          <w:szCs w:val="32"/>
        </w:rPr>
        <w:t>（一） 主要职能</w:t>
      </w:r>
      <w:r>
        <w:tab/>
      </w:r>
      <w:r>
        <w:fldChar w:fldCharType="begin"/>
      </w:r>
      <w:r>
        <w:instrText xml:space="preserve"> PAGEREF _Toc14175 \h </w:instrText>
      </w:r>
      <w:r>
        <w:fldChar w:fldCharType="separate"/>
      </w:r>
      <w:r>
        <w:t>1</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_Toc12749 </w:instrText>
      </w:r>
      <w:r>
        <w:rPr>
          <w:rFonts w:hint="default" w:ascii="Times New Roman" w:hAnsi="Times New Roman" w:cs="Times New Roman"/>
          <w:szCs w:val="32"/>
        </w:rPr>
        <w:fldChar w:fldCharType="separate"/>
      </w:r>
      <w:r>
        <w:rPr>
          <w:rFonts w:hint="eastAsia" w:ascii="楷体" w:hAnsi="楷体" w:eastAsia="楷体" w:cs="楷体"/>
          <w:bCs/>
          <w:szCs w:val="32"/>
        </w:rPr>
        <w:t>（二）机构和人员情况</w:t>
      </w:r>
      <w:r>
        <w:tab/>
      </w:r>
      <w:r>
        <w:fldChar w:fldCharType="begin"/>
      </w:r>
      <w:r>
        <w:instrText xml:space="preserve"> PAGEREF _Toc12749 \h </w:instrText>
      </w:r>
      <w:r>
        <w:fldChar w:fldCharType="separate"/>
      </w:r>
      <w:r>
        <w:t>1</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_Toc24 </w:instrText>
      </w:r>
      <w:r>
        <w:rPr>
          <w:rFonts w:hint="default" w:ascii="Times New Roman" w:hAnsi="Times New Roman" w:cs="Times New Roman"/>
          <w:szCs w:val="32"/>
        </w:rPr>
        <w:fldChar w:fldCharType="separate"/>
      </w:r>
      <w:r>
        <w:rPr>
          <w:rFonts w:hint="eastAsia" w:ascii="楷体" w:hAnsi="楷体" w:eastAsia="楷体" w:cs="楷体"/>
          <w:bCs/>
          <w:szCs w:val="32"/>
        </w:rPr>
        <w:t>（三）当年取得的主要成效</w:t>
      </w:r>
      <w:r>
        <w:tab/>
      </w:r>
      <w:r>
        <w:fldChar w:fldCharType="begin"/>
      </w:r>
      <w:r>
        <w:instrText xml:space="preserve"> PAGEREF _Toc24 \h </w:instrText>
      </w:r>
      <w:r>
        <w:fldChar w:fldCharType="separate"/>
      </w:r>
      <w:r>
        <w:t>1</w:t>
      </w:r>
      <w:r>
        <w:fldChar w:fldCharType="end"/>
      </w:r>
      <w:r>
        <w:rPr>
          <w:rFonts w:hint="default" w:ascii="Times New Roman" w:hAnsi="Times New Roman" w:cs="Times New Roman"/>
          <w:szCs w:val="32"/>
        </w:rPr>
        <w:fldChar w:fldCharType="end"/>
      </w:r>
    </w:p>
    <w:p>
      <w:pPr>
        <w:pStyle w:val="9"/>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_Toc18161 </w:instrText>
      </w:r>
      <w:r>
        <w:rPr>
          <w:rFonts w:hint="default" w:ascii="Times New Roman" w:hAnsi="Times New Roman" w:cs="Times New Roman"/>
          <w:szCs w:val="32"/>
        </w:rPr>
        <w:fldChar w:fldCharType="separate"/>
      </w:r>
      <w:r>
        <w:rPr>
          <w:rFonts w:hint="default" w:ascii="Times New Roman" w:hAnsi="Times New Roman" w:cs="Times New Roman"/>
          <w:bCs/>
          <w:szCs w:val="44"/>
          <w:lang w:val="en-US" w:eastAsia="zh-CN"/>
        </w:rPr>
        <w:t>第二部分2021年度部门决算情况说明</w:t>
      </w:r>
      <w:r>
        <w:tab/>
      </w:r>
      <w:r>
        <w:fldChar w:fldCharType="begin"/>
      </w:r>
      <w:r>
        <w:instrText xml:space="preserve"> PAGEREF _Toc18161 \h </w:instrText>
      </w:r>
      <w:r>
        <w:fldChar w:fldCharType="separate"/>
      </w:r>
      <w:r>
        <w:t>2</w:t>
      </w:r>
      <w:r>
        <w:fldChar w:fldCharType="end"/>
      </w:r>
      <w:r>
        <w:rPr>
          <w:rFonts w:hint="default" w:ascii="Times New Roman" w:hAnsi="Times New Roman" w:cs="Times New Roman"/>
          <w:szCs w:val="32"/>
        </w:rPr>
        <w:fldChar w:fldCharType="end"/>
      </w:r>
    </w:p>
    <w:p>
      <w:pPr>
        <w:pStyle w:val="9"/>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_Toc5234 </w:instrText>
      </w:r>
      <w:r>
        <w:rPr>
          <w:rFonts w:hint="default" w:ascii="Times New Roman" w:hAnsi="Times New Roman" w:cs="Times New Roman"/>
          <w:szCs w:val="32"/>
        </w:rPr>
        <w:fldChar w:fldCharType="separate"/>
      </w:r>
      <w:r>
        <w:rPr>
          <w:rFonts w:hint="eastAsia" w:cs="Times New Roman"/>
          <w:bCs/>
          <w:szCs w:val="32"/>
          <w:lang w:val="en-US" w:eastAsia="zh-CN"/>
        </w:rPr>
        <w:t>一</w:t>
      </w:r>
      <w:r>
        <w:rPr>
          <w:rFonts w:hint="default" w:ascii="Times New Roman" w:hAnsi="Times New Roman" w:cs="Times New Roman"/>
          <w:bCs/>
          <w:szCs w:val="32"/>
        </w:rPr>
        <w:t>、一般公共预算财政拨款基本支出情况</w:t>
      </w:r>
      <w:r>
        <w:tab/>
      </w:r>
      <w:r>
        <w:fldChar w:fldCharType="begin"/>
      </w:r>
      <w:r>
        <w:instrText xml:space="preserve"> PAGEREF _Toc5234 \h </w:instrText>
      </w:r>
      <w:r>
        <w:fldChar w:fldCharType="separate"/>
      </w:r>
      <w:r>
        <w:t>2</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_Toc5025 </w:instrText>
      </w:r>
      <w:r>
        <w:rPr>
          <w:rFonts w:hint="default" w:ascii="Times New Roman" w:hAnsi="Times New Roman" w:cs="Times New Roman"/>
          <w:szCs w:val="32"/>
        </w:rPr>
        <w:fldChar w:fldCharType="separate"/>
      </w:r>
      <w:r>
        <w:rPr>
          <w:rFonts w:hint="default" w:ascii="Times New Roman" w:hAnsi="Times New Roman" w:cs="Times New Roman"/>
          <w:szCs w:val="32"/>
        </w:rPr>
        <w:t>（一）收入支出预算安排情况</w:t>
      </w:r>
      <w:r>
        <w:tab/>
      </w:r>
      <w:r>
        <w:fldChar w:fldCharType="begin"/>
      </w:r>
      <w:r>
        <w:instrText xml:space="preserve"> PAGEREF _Toc5025 \h </w:instrText>
      </w:r>
      <w:r>
        <w:fldChar w:fldCharType="separate"/>
      </w:r>
      <w:r>
        <w:t>2</w:t>
      </w:r>
      <w:r>
        <w:fldChar w:fldCharType="end"/>
      </w:r>
      <w:r>
        <w:rPr>
          <w:rFonts w:hint="default" w:ascii="Times New Roman" w:hAnsi="Times New Roman" w:cs="Times New Roman"/>
          <w:szCs w:val="32"/>
        </w:rPr>
        <w:fldChar w:fldCharType="end"/>
      </w:r>
    </w:p>
    <w:p>
      <w:pPr>
        <w:pStyle w:val="9"/>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_Toc23319 </w:instrText>
      </w:r>
      <w:r>
        <w:rPr>
          <w:rFonts w:hint="default" w:ascii="Times New Roman" w:hAnsi="Times New Roman" w:cs="Times New Roman"/>
          <w:szCs w:val="32"/>
        </w:rPr>
        <w:fldChar w:fldCharType="separate"/>
      </w:r>
      <w:r>
        <w:rPr>
          <w:rFonts w:hint="eastAsia" w:ascii="黑体" w:eastAsia="黑体"/>
          <w:bCs w:val="0"/>
          <w:szCs w:val="32"/>
          <w:lang w:val="en-US" w:eastAsia="zh-CN"/>
        </w:rPr>
        <w:t>二</w:t>
      </w:r>
      <w:r>
        <w:rPr>
          <w:rFonts w:hint="eastAsia" w:ascii="黑体" w:eastAsia="黑体"/>
          <w:bCs w:val="0"/>
          <w:szCs w:val="32"/>
        </w:rPr>
        <w:t>、“三公”经费财政拨款支出决算情况</w:t>
      </w:r>
      <w:r>
        <w:tab/>
      </w:r>
      <w:r>
        <w:fldChar w:fldCharType="begin"/>
      </w:r>
      <w:r>
        <w:instrText xml:space="preserve"> PAGEREF _Toc23319 \h </w:instrText>
      </w:r>
      <w:r>
        <w:fldChar w:fldCharType="separate"/>
      </w:r>
      <w:r>
        <w:t>7</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_Toc26500 </w:instrText>
      </w:r>
      <w:r>
        <w:rPr>
          <w:rFonts w:hint="default" w:ascii="Times New Roman" w:hAnsi="Times New Roman" w:cs="Times New Roman"/>
          <w:szCs w:val="32"/>
        </w:rPr>
        <w:fldChar w:fldCharType="separate"/>
      </w:r>
      <w:r>
        <w:rPr>
          <w:rFonts w:hint="eastAsia" w:ascii="楷体" w:hAnsi="楷体" w:eastAsia="楷体" w:cs="楷体"/>
          <w:szCs w:val="32"/>
        </w:rPr>
        <w:t>（一）“三公”经费财政拨款支出决算总体情况说明</w:t>
      </w:r>
      <w:r>
        <w:tab/>
      </w:r>
      <w:r>
        <w:fldChar w:fldCharType="begin"/>
      </w:r>
      <w:r>
        <w:instrText xml:space="preserve"> PAGEREF _Toc26500 \h </w:instrText>
      </w:r>
      <w:r>
        <w:fldChar w:fldCharType="separate"/>
      </w:r>
      <w:r>
        <w:t>7</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_Toc18363 </w:instrText>
      </w:r>
      <w:r>
        <w:rPr>
          <w:rFonts w:hint="default" w:ascii="Times New Roman" w:hAnsi="Times New Roman" w:cs="Times New Roman"/>
          <w:szCs w:val="32"/>
        </w:rPr>
        <w:fldChar w:fldCharType="separate"/>
      </w:r>
      <w:r>
        <w:rPr>
          <w:rFonts w:hint="eastAsia" w:ascii="楷体" w:hAnsi="楷体" w:eastAsia="楷体" w:cs="楷体"/>
          <w:szCs w:val="32"/>
        </w:rPr>
        <w:t>（二）“三公”经费财政拨款支出决算具体情况说明</w:t>
      </w:r>
      <w:r>
        <w:tab/>
      </w:r>
      <w:r>
        <w:fldChar w:fldCharType="begin"/>
      </w:r>
      <w:r>
        <w:instrText xml:space="preserve"> PAGEREF _Toc18363 \h </w:instrText>
      </w:r>
      <w:r>
        <w:fldChar w:fldCharType="separate"/>
      </w:r>
      <w:r>
        <w:t>8</w:t>
      </w:r>
      <w:r>
        <w:fldChar w:fldCharType="end"/>
      </w:r>
      <w:r>
        <w:rPr>
          <w:rFonts w:hint="default" w:ascii="Times New Roman" w:hAnsi="Times New Roman" w:cs="Times New Roman"/>
          <w:szCs w:val="32"/>
        </w:rPr>
        <w:fldChar w:fldCharType="end"/>
      </w:r>
    </w:p>
    <w:p>
      <w:pPr>
        <w:pStyle w:val="6"/>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_Toc23121 </w:instrText>
      </w:r>
      <w:r>
        <w:rPr>
          <w:rFonts w:hint="default" w:ascii="Times New Roman" w:hAnsi="Times New Roman" w:cs="Times New Roman"/>
          <w:szCs w:val="32"/>
        </w:rPr>
        <w:fldChar w:fldCharType="separate"/>
      </w:r>
      <w:r>
        <w:rPr>
          <w:rFonts w:hint="eastAsia" w:ascii="楷体" w:hAnsi="楷体" w:eastAsia="楷体" w:cs="楷体"/>
          <w:szCs w:val="32"/>
        </w:rPr>
        <w:t>1.因公出国（境）经费</w:t>
      </w:r>
      <w:r>
        <w:tab/>
      </w:r>
      <w:r>
        <w:fldChar w:fldCharType="begin"/>
      </w:r>
      <w:r>
        <w:instrText xml:space="preserve"> PAGEREF _Toc23121 \h </w:instrText>
      </w:r>
      <w:r>
        <w:fldChar w:fldCharType="separate"/>
      </w:r>
      <w:r>
        <w:t>8</w:t>
      </w:r>
      <w:r>
        <w:fldChar w:fldCharType="end"/>
      </w:r>
      <w:r>
        <w:rPr>
          <w:rFonts w:hint="default" w:ascii="Times New Roman" w:hAnsi="Times New Roman" w:cs="Times New Roman"/>
          <w:szCs w:val="32"/>
        </w:rPr>
        <w:fldChar w:fldCharType="end"/>
      </w:r>
    </w:p>
    <w:p>
      <w:pPr>
        <w:pStyle w:val="6"/>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_Toc32213 </w:instrText>
      </w:r>
      <w:r>
        <w:rPr>
          <w:rFonts w:hint="default" w:ascii="Times New Roman" w:hAnsi="Times New Roman" w:cs="Times New Roman"/>
          <w:szCs w:val="32"/>
        </w:rPr>
        <w:fldChar w:fldCharType="separate"/>
      </w:r>
      <w:r>
        <w:rPr>
          <w:rFonts w:hint="eastAsia" w:ascii="楷体" w:hAnsi="楷体" w:eastAsia="楷体" w:cs="楷体"/>
          <w:szCs w:val="32"/>
        </w:rPr>
        <w:t>2.公务用车购置及运行维护费</w:t>
      </w:r>
      <w:r>
        <w:tab/>
      </w:r>
      <w:r>
        <w:fldChar w:fldCharType="begin"/>
      </w:r>
      <w:r>
        <w:instrText xml:space="preserve"> PAGEREF _Toc32213 \h </w:instrText>
      </w:r>
      <w:r>
        <w:fldChar w:fldCharType="separate"/>
      </w:r>
      <w:r>
        <w:t>8</w:t>
      </w:r>
      <w:r>
        <w:fldChar w:fldCharType="end"/>
      </w:r>
      <w:r>
        <w:rPr>
          <w:rFonts w:hint="default" w:ascii="Times New Roman" w:hAnsi="Times New Roman" w:cs="Times New Roman"/>
          <w:szCs w:val="32"/>
        </w:rPr>
        <w:fldChar w:fldCharType="end"/>
      </w:r>
    </w:p>
    <w:p>
      <w:pPr>
        <w:pStyle w:val="6"/>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_Toc25253 </w:instrText>
      </w:r>
      <w:r>
        <w:rPr>
          <w:rFonts w:hint="default" w:ascii="Times New Roman" w:hAnsi="Times New Roman" w:cs="Times New Roman"/>
          <w:szCs w:val="32"/>
        </w:rPr>
        <w:fldChar w:fldCharType="separate"/>
      </w:r>
      <w:r>
        <w:rPr>
          <w:rFonts w:hint="eastAsia" w:ascii="楷体" w:hAnsi="楷体" w:eastAsia="楷体" w:cs="楷体"/>
          <w:szCs w:val="32"/>
        </w:rPr>
        <w:t>3.公务接待费</w:t>
      </w:r>
      <w:r>
        <w:tab/>
      </w:r>
      <w:r>
        <w:fldChar w:fldCharType="begin"/>
      </w:r>
      <w:r>
        <w:instrText xml:space="preserve"> PAGEREF _Toc25253 \h </w:instrText>
      </w:r>
      <w:r>
        <w:fldChar w:fldCharType="separate"/>
      </w:r>
      <w:r>
        <w:t>8</w:t>
      </w:r>
      <w:r>
        <w:fldChar w:fldCharType="end"/>
      </w:r>
      <w:r>
        <w:rPr>
          <w:rFonts w:hint="default" w:ascii="Times New Roman" w:hAnsi="Times New Roman" w:cs="Times New Roman"/>
          <w:szCs w:val="32"/>
        </w:rPr>
        <w:fldChar w:fldCharType="end"/>
      </w:r>
    </w:p>
    <w:p>
      <w:pPr>
        <w:pStyle w:val="9"/>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_Toc25231 </w:instrText>
      </w:r>
      <w:r>
        <w:rPr>
          <w:rFonts w:hint="default" w:ascii="Times New Roman" w:hAnsi="Times New Roman" w:cs="Times New Roman"/>
          <w:szCs w:val="32"/>
        </w:rPr>
        <w:fldChar w:fldCharType="separate"/>
      </w:r>
      <w:r>
        <w:rPr>
          <w:rFonts w:hint="eastAsia" w:ascii="黑体" w:hAnsi="黑体" w:eastAsia="黑体" w:cs="黑体"/>
          <w:bCs w:val="0"/>
          <w:szCs w:val="32"/>
          <w:lang w:val="en-US" w:eastAsia="zh-CN"/>
        </w:rPr>
        <w:t>三</w:t>
      </w:r>
      <w:r>
        <w:rPr>
          <w:rFonts w:hint="eastAsia" w:ascii="黑体" w:hAnsi="黑体" w:eastAsia="黑体" w:cs="黑体"/>
          <w:bCs w:val="0"/>
          <w:szCs w:val="32"/>
        </w:rPr>
        <w:t>、政府性基金预算财政拨款支出决算情况</w:t>
      </w:r>
      <w:r>
        <w:tab/>
      </w:r>
      <w:r>
        <w:fldChar w:fldCharType="begin"/>
      </w:r>
      <w:r>
        <w:instrText xml:space="preserve"> PAGEREF _Toc25231 \h </w:instrText>
      </w:r>
      <w:r>
        <w:fldChar w:fldCharType="separate"/>
      </w:r>
      <w:r>
        <w:t>8</w:t>
      </w:r>
      <w:r>
        <w:fldChar w:fldCharType="end"/>
      </w:r>
      <w:r>
        <w:rPr>
          <w:rFonts w:hint="default" w:ascii="Times New Roman" w:hAnsi="Times New Roman" w:cs="Times New Roman"/>
          <w:szCs w:val="32"/>
        </w:rPr>
        <w:fldChar w:fldCharType="end"/>
      </w:r>
    </w:p>
    <w:p>
      <w:pPr>
        <w:pStyle w:val="9"/>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_Toc17007 </w:instrText>
      </w:r>
      <w:r>
        <w:rPr>
          <w:rFonts w:hint="default" w:ascii="Times New Roman" w:hAnsi="Times New Roman" w:cs="Times New Roman"/>
          <w:szCs w:val="32"/>
        </w:rPr>
        <w:fldChar w:fldCharType="separate"/>
      </w:r>
      <w:r>
        <w:rPr>
          <w:rFonts w:hint="eastAsia" w:ascii="黑体" w:hAnsi="黑体" w:eastAsia="黑体" w:cs="黑体"/>
          <w:bCs w:val="0"/>
          <w:szCs w:val="32"/>
          <w:lang w:val="en-US" w:eastAsia="zh-CN"/>
        </w:rPr>
        <w:t>四</w:t>
      </w:r>
      <w:r>
        <w:rPr>
          <w:rFonts w:hint="eastAsia" w:ascii="黑体" w:hAnsi="黑体" w:eastAsia="黑体" w:cs="黑体"/>
          <w:bCs w:val="0"/>
          <w:szCs w:val="32"/>
        </w:rPr>
        <w:t>、国有资本经营预算支出决算情况说明</w:t>
      </w:r>
      <w:r>
        <w:tab/>
      </w:r>
      <w:r>
        <w:fldChar w:fldCharType="begin"/>
      </w:r>
      <w:r>
        <w:instrText xml:space="preserve"> PAGEREF _Toc17007 \h </w:instrText>
      </w:r>
      <w:r>
        <w:fldChar w:fldCharType="separate"/>
      </w:r>
      <w:r>
        <w:t>8</w:t>
      </w:r>
      <w:r>
        <w:fldChar w:fldCharType="end"/>
      </w:r>
      <w:r>
        <w:rPr>
          <w:rFonts w:hint="default" w:ascii="Times New Roman" w:hAnsi="Times New Roman" w:cs="Times New Roman"/>
          <w:szCs w:val="32"/>
        </w:rPr>
        <w:fldChar w:fldCharType="end"/>
      </w:r>
    </w:p>
    <w:p>
      <w:pPr>
        <w:pStyle w:val="9"/>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_Toc994 </w:instrText>
      </w:r>
      <w:r>
        <w:rPr>
          <w:rFonts w:hint="default" w:ascii="Times New Roman" w:hAnsi="Times New Roman" w:cs="Times New Roman"/>
          <w:szCs w:val="32"/>
        </w:rPr>
        <w:fldChar w:fldCharType="separate"/>
      </w:r>
      <w:r>
        <w:rPr>
          <w:rFonts w:hint="eastAsia" w:ascii="黑体" w:eastAsia="黑体"/>
          <w:bCs w:val="0"/>
          <w:szCs w:val="32"/>
          <w:lang w:val="en-US" w:eastAsia="zh-CN"/>
        </w:rPr>
        <w:t>五</w:t>
      </w:r>
      <w:r>
        <w:rPr>
          <w:rFonts w:hint="eastAsia" w:ascii="黑体" w:eastAsia="黑体"/>
          <w:bCs w:val="0"/>
          <w:szCs w:val="32"/>
        </w:rPr>
        <w:t>、其他重要事项的情况说明</w:t>
      </w:r>
      <w:r>
        <w:tab/>
      </w:r>
      <w:r>
        <w:fldChar w:fldCharType="begin"/>
      </w:r>
      <w:r>
        <w:instrText xml:space="preserve"> PAGEREF _Toc994 \h </w:instrText>
      </w:r>
      <w:r>
        <w:fldChar w:fldCharType="separate"/>
      </w:r>
      <w:r>
        <w:t>8</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_Toc23682 </w:instrText>
      </w:r>
      <w:r>
        <w:rPr>
          <w:rFonts w:hint="default" w:ascii="Times New Roman" w:hAnsi="Times New Roman" w:cs="Times New Roman"/>
          <w:szCs w:val="32"/>
        </w:rPr>
        <w:fldChar w:fldCharType="separate"/>
      </w:r>
      <w:r>
        <w:rPr>
          <w:rFonts w:hint="default" w:ascii="Times New Roman" w:hAnsi="Times New Roman" w:cs="Times New Roman"/>
          <w:szCs w:val="32"/>
        </w:rPr>
        <w:t>（一）本部门财务管理、绩效管理、决算组织、编报、审核情况</w:t>
      </w:r>
      <w:r>
        <w:tab/>
      </w:r>
      <w:r>
        <w:fldChar w:fldCharType="begin"/>
      </w:r>
      <w:r>
        <w:instrText xml:space="preserve"> PAGEREF _Toc23682 \h </w:instrText>
      </w:r>
      <w:r>
        <w:fldChar w:fldCharType="separate"/>
      </w:r>
      <w:r>
        <w:t>9</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_Toc31529 </w:instrText>
      </w:r>
      <w:r>
        <w:rPr>
          <w:rFonts w:hint="default" w:ascii="Times New Roman" w:hAnsi="Times New Roman" w:cs="Times New Roman"/>
          <w:szCs w:val="32"/>
        </w:rPr>
        <w:fldChar w:fldCharType="separate"/>
      </w:r>
      <w:r>
        <w:rPr>
          <w:rFonts w:hint="default" w:ascii="Times New Roman" w:hAnsi="Times New Roman" w:cs="Times New Roman"/>
          <w:szCs w:val="32"/>
        </w:rPr>
        <w:t>（二）本部门决算及绩效信息公开工作、主管部门对所属单位按规定批复决算工作开展情况</w:t>
      </w:r>
      <w:r>
        <w:tab/>
      </w:r>
      <w:r>
        <w:fldChar w:fldCharType="begin"/>
      </w:r>
      <w:r>
        <w:instrText xml:space="preserve"> PAGEREF _Toc31529 \h </w:instrText>
      </w:r>
      <w:r>
        <w:fldChar w:fldCharType="separate"/>
      </w:r>
      <w:r>
        <w:t>9</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_Toc17755 </w:instrText>
      </w:r>
      <w:r>
        <w:rPr>
          <w:rFonts w:hint="default" w:ascii="Times New Roman" w:hAnsi="Times New Roman" w:cs="Times New Roman"/>
          <w:szCs w:val="32"/>
        </w:rPr>
        <w:fldChar w:fldCharType="separate"/>
      </w:r>
      <w:r>
        <w:rPr>
          <w:rFonts w:hint="eastAsia" w:ascii="楷体" w:hAnsi="楷体" w:eastAsia="楷体" w:cs="楷体"/>
          <w:szCs w:val="32"/>
        </w:rPr>
        <w:t>（</w:t>
      </w:r>
      <w:r>
        <w:rPr>
          <w:rFonts w:hint="eastAsia" w:ascii="楷体" w:hAnsi="楷体" w:eastAsia="楷体" w:cs="楷体"/>
          <w:szCs w:val="32"/>
          <w:lang w:val="en-US" w:eastAsia="zh-CN"/>
        </w:rPr>
        <w:t>三</w:t>
      </w:r>
      <w:r>
        <w:rPr>
          <w:rFonts w:hint="eastAsia" w:ascii="楷体" w:hAnsi="楷体" w:eastAsia="楷体" w:cs="楷体"/>
          <w:szCs w:val="32"/>
        </w:rPr>
        <w:t>）政府采购支出情况</w:t>
      </w:r>
      <w:r>
        <w:tab/>
      </w:r>
      <w:r>
        <w:fldChar w:fldCharType="begin"/>
      </w:r>
      <w:r>
        <w:instrText xml:space="preserve"> PAGEREF _Toc17755 \h </w:instrText>
      </w:r>
      <w:r>
        <w:fldChar w:fldCharType="separate"/>
      </w:r>
      <w:r>
        <w:t>9</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_Toc4828 </w:instrText>
      </w:r>
      <w:r>
        <w:rPr>
          <w:rFonts w:hint="default" w:ascii="Times New Roman" w:hAnsi="Times New Roman" w:cs="Times New Roman"/>
          <w:szCs w:val="32"/>
        </w:rPr>
        <w:fldChar w:fldCharType="separate"/>
      </w:r>
      <w:r>
        <w:rPr>
          <w:rFonts w:hint="eastAsia" w:ascii="楷体" w:hAnsi="楷体" w:eastAsia="楷体" w:cs="楷体"/>
          <w:szCs w:val="32"/>
        </w:rPr>
        <w:t>（</w:t>
      </w:r>
      <w:r>
        <w:rPr>
          <w:rFonts w:hint="eastAsia" w:ascii="楷体" w:hAnsi="楷体" w:eastAsia="楷体" w:cs="楷体"/>
          <w:szCs w:val="32"/>
          <w:lang w:val="en-US" w:eastAsia="zh-CN"/>
        </w:rPr>
        <w:t>四</w:t>
      </w:r>
      <w:r>
        <w:rPr>
          <w:rFonts w:hint="eastAsia" w:ascii="楷体" w:hAnsi="楷体" w:eastAsia="楷体" w:cs="楷体"/>
          <w:szCs w:val="32"/>
        </w:rPr>
        <w:t>）机关运行经费支出情况</w:t>
      </w:r>
      <w:r>
        <w:tab/>
      </w:r>
      <w:r>
        <w:fldChar w:fldCharType="begin"/>
      </w:r>
      <w:r>
        <w:instrText xml:space="preserve"> PAGEREF _Toc4828 \h </w:instrText>
      </w:r>
      <w:r>
        <w:fldChar w:fldCharType="separate"/>
      </w:r>
      <w:r>
        <w:t>9</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_Toc17939 </w:instrText>
      </w:r>
      <w:r>
        <w:rPr>
          <w:rFonts w:hint="default" w:ascii="Times New Roman" w:hAnsi="Times New Roman" w:cs="Times New Roman"/>
          <w:szCs w:val="32"/>
        </w:rPr>
        <w:fldChar w:fldCharType="separate"/>
      </w:r>
      <w:r>
        <w:rPr>
          <w:rFonts w:hint="eastAsia" w:ascii="楷体" w:hAnsi="楷体" w:eastAsia="楷体" w:cs="楷体"/>
          <w:szCs w:val="32"/>
        </w:rPr>
        <w:t>（</w:t>
      </w:r>
      <w:r>
        <w:rPr>
          <w:rFonts w:hint="eastAsia" w:ascii="楷体" w:hAnsi="楷体" w:eastAsia="楷体" w:cs="楷体"/>
          <w:szCs w:val="32"/>
          <w:lang w:val="en-US" w:eastAsia="zh-CN"/>
        </w:rPr>
        <w:t>五</w:t>
      </w:r>
      <w:r>
        <w:rPr>
          <w:rFonts w:hint="eastAsia" w:ascii="楷体" w:hAnsi="楷体" w:eastAsia="楷体" w:cs="楷体"/>
          <w:szCs w:val="32"/>
        </w:rPr>
        <w:t>）国有资产占有使用情况</w:t>
      </w:r>
      <w:r>
        <w:tab/>
      </w:r>
      <w:r>
        <w:fldChar w:fldCharType="begin"/>
      </w:r>
      <w:r>
        <w:instrText xml:space="preserve"> PAGEREF _Toc17939 \h </w:instrText>
      </w:r>
      <w:r>
        <w:fldChar w:fldCharType="separate"/>
      </w:r>
      <w:r>
        <w:t>9</w:t>
      </w:r>
      <w:r>
        <w:fldChar w:fldCharType="end"/>
      </w:r>
      <w:r>
        <w:rPr>
          <w:rFonts w:hint="default" w:ascii="Times New Roman" w:hAnsi="Times New Roman" w:cs="Times New Roman"/>
          <w:szCs w:val="32"/>
        </w:rPr>
        <w:fldChar w:fldCharType="end"/>
      </w:r>
    </w:p>
    <w:p>
      <w:pPr>
        <w:pStyle w:val="11"/>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_Toc8685 </w:instrText>
      </w:r>
      <w:r>
        <w:rPr>
          <w:rFonts w:hint="default" w:ascii="Times New Roman" w:hAnsi="Times New Roman" w:cs="Times New Roman"/>
          <w:szCs w:val="32"/>
        </w:rPr>
        <w:fldChar w:fldCharType="separate"/>
      </w:r>
      <w:r>
        <w:rPr>
          <w:rFonts w:hint="eastAsia"/>
          <w:szCs w:val="32"/>
          <w:lang w:eastAsia="zh-CN"/>
        </w:rPr>
        <w:t>（</w:t>
      </w:r>
      <w:r>
        <w:rPr>
          <w:rFonts w:hint="eastAsia"/>
          <w:szCs w:val="32"/>
          <w:lang w:val="en-US" w:eastAsia="zh-CN"/>
        </w:rPr>
        <w:t>六</w:t>
      </w:r>
      <w:r>
        <w:rPr>
          <w:rFonts w:hint="eastAsia"/>
          <w:szCs w:val="32"/>
          <w:lang w:eastAsia="zh-CN"/>
        </w:rPr>
        <w:t>）</w:t>
      </w:r>
      <w:r>
        <w:rPr>
          <w:rFonts w:hint="eastAsia"/>
          <w:szCs w:val="32"/>
        </w:rPr>
        <w:t>资产负债结构情况</w:t>
      </w:r>
      <w:r>
        <w:tab/>
      </w:r>
      <w:r>
        <w:fldChar w:fldCharType="begin"/>
      </w:r>
      <w:r>
        <w:instrText xml:space="preserve"> PAGEREF _Toc8685 \h </w:instrText>
      </w:r>
      <w:r>
        <w:fldChar w:fldCharType="separate"/>
      </w:r>
      <w:r>
        <w:t>9</w:t>
      </w:r>
      <w:r>
        <w:fldChar w:fldCharType="end"/>
      </w:r>
      <w:r>
        <w:rPr>
          <w:rFonts w:hint="default" w:ascii="Times New Roman" w:hAnsi="Times New Roman" w:cs="Times New Roman"/>
          <w:szCs w:val="32"/>
        </w:rPr>
        <w:fldChar w:fldCharType="end"/>
      </w:r>
    </w:p>
    <w:p>
      <w:pPr>
        <w:pStyle w:val="9"/>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_Toc5069 </w:instrText>
      </w:r>
      <w:r>
        <w:rPr>
          <w:rFonts w:hint="default" w:ascii="Times New Roman" w:hAnsi="Times New Roman" w:cs="Times New Roman"/>
          <w:szCs w:val="32"/>
        </w:rPr>
        <w:fldChar w:fldCharType="separate"/>
      </w:r>
      <w:r>
        <w:rPr>
          <w:rFonts w:hint="default" w:ascii="Times New Roman" w:hAnsi="Times New Roman" w:cs="Times New Roman"/>
          <w:bCs/>
          <w:szCs w:val="44"/>
          <w:lang w:val="en-US" w:eastAsia="zh-CN"/>
        </w:rPr>
        <w:t>第三部分</w:t>
      </w:r>
      <w:r>
        <w:rPr>
          <w:rFonts w:hint="eastAsia" w:cs="Times New Roman"/>
          <w:bCs/>
          <w:szCs w:val="44"/>
          <w:lang w:val="en-US" w:eastAsia="zh-CN"/>
        </w:rPr>
        <w:t xml:space="preserve"> </w:t>
      </w:r>
      <w:r>
        <w:rPr>
          <w:rFonts w:hint="eastAsia" w:ascii="Times New Roman" w:hAnsi="Times New Roman" w:cs="Times New Roman"/>
          <w:bCs/>
          <w:szCs w:val="44"/>
          <w:lang w:val="en-US" w:eastAsia="zh-CN"/>
        </w:rPr>
        <w:t>名词解释</w:t>
      </w:r>
      <w:r>
        <w:tab/>
      </w:r>
      <w:r>
        <w:fldChar w:fldCharType="begin"/>
      </w:r>
      <w:r>
        <w:instrText xml:space="preserve"> PAGEREF _Toc5069 \h </w:instrText>
      </w:r>
      <w:r>
        <w:fldChar w:fldCharType="separate"/>
      </w:r>
      <w:r>
        <w:t>10</w:t>
      </w:r>
      <w:r>
        <w:fldChar w:fldCharType="end"/>
      </w:r>
      <w:r>
        <w:rPr>
          <w:rFonts w:hint="default" w:ascii="Times New Roman" w:hAnsi="Times New Roman" w:cs="Times New Roman"/>
          <w:szCs w:val="32"/>
        </w:rPr>
        <w:fldChar w:fldCharType="end"/>
      </w:r>
    </w:p>
    <w:p>
      <w:pPr>
        <w:pStyle w:val="9"/>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_Toc15380 </w:instrText>
      </w:r>
      <w:r>
        <w:rPr>
          <w:rFonts w:hint="default" w:ascii="Times New Roman" w:hAnsi="Times New Roman" w:cs="Times New Roman"/>
          <w:szCs w:val="32"/>
        </w:rPr>
        <w:fldChar w:fldCharType="separate"/>
      </w:r>
      <w:r>
        <w:rPr>
          <w:rFonts w:hint="default" w:ascii="Times New Roman" w:hAnsi="Times New Roman" w:cs="Times New Roman"/>
          <w:bCs/>
          <w:szCs w:val="44"/>
          <w:lang w:val="en-US" w:eastAsia="zh-CN"/>
        </w:rPr>
        <w:t>第</w:t>
      </w:r>
      <w:r>
        <w:rPr>
          <w:rFonts w:hint="eastAsia" w:cs="Times New Roman"/>
          <w:bCs/>
          <w:szCs w:val="44"/>
          <w:lang w:val="en-US" w:eastAsia="zh-CN"/>
        </w:rPr>
        <w:t>四</w:t>
      </w:r>
      <w:r>
        <w:rPr>
          <w:rFonts w:hint="default" w:ascii="Times New Roman" w:hAnsi="Times New Roman" w:cs="Times New Roman"/>
          <w:bCs/>
          <w:szCs w:val="44"/>
          <w:lang w:val="en-US" w:eastAsia="zh-CN"/>
        </w:rPr>
        <w:t>部分</w:t>
      </w:r>
      <w:r>
        <w:rPr>
          <w:rFonts w:hint="eastAsia" w:ascii="Times New Roman" w:hAnsi="Times New Roman" w:cs="Times New Roman"/>
          <w:bCs/>
          <w:szCs w:val="44"/>
          <w:lang w:val="en-US" w:eastAsia="zh-CN"/>
        </w:rPr>
        <w:t xml:space="preserve"> </w:t>
      </w:r>
      <w:r>
        <w:rPr>
          <w:rFonts w:hint="eastAsia" w:cs="Times New Roman"/>
          <w:bCs/>
          <w:szCs w:val="44"/>
          <w:lang w:val="en-US" w:eastAsia="zh-CN"/>
        </w:rPr>
        <w:t>附件 2021年整体支出绩效评价报告</w:t>
      </w:r>
      <w:r>
        <w:tab/>
      </w:r>
      <w:r>
        <w:fldChar w:fldCharType="begin"/>
      </w:r>
      <w:r>
        <w:instrText xml:space="preserve"> PAGEREF _Toc15380 \h </w:instrText>
      </w:r>
      <w:r>
        <w:fldChar w:fldCharType="separate"/>
      </w:r>
      <w:r>
        <w:t>13</w:t>
      </w:r>
      <w:r>
        <w:fldChar w:fldCharType="end"/>
      </w:r>
      <w:r>
        <w:rPr>
          <w:rFonts w:hint="default" w:ascii="Times New Roman" w:hAnsi="Times New Roman" w:cs="Times New Roman"/>
          <w:szCs w:val="32"/>
        </w:rPr>
        <w:fldChar w:fldCharType="end"/>
      </w:r>
    </w:p>
    <w:p>
      <w:pPr>
        <w:pStyle w:val="6"/>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_Toc8901 </w:instrText>
      </w:r>
      <w:r>
        <w:rPr>
          <w:rFonts w:hint="default" w:ascii="Times New Roman" w:hAnsi="Times New Roman" w:cs="Times New Roman"/>
          <w:szCs w:val="32"/>
        </w:rPr>
        <w:fldChar w:fldCharType="separate"/>
      </w:r>
      <w:r>
        <w:rPr>
          <w:rFonts w:hint="eastAsia" w:ascii="仿宋" w:eastAsia="仿宋"/>
          <w:szCs w:val="32"/>
          <w:lang w:val="en-US" w:eastAsia="zh-CN"/>
        </w:rPr>
        <w:t>1.一般公共预算财政拨款支出决算总体情况</w:t>
      </w:r>
      <w:r>
        <w:tab/>
      </w:r>
      <w:r>
        <w:fldChar w:fldCharType="begin"/>
      </w:r>
      <w:r>
        <w:instrText xml:space="preserve"> PAGEREF _Toc8901 \h </w:instrText>
      </w:r>
      <w:r>
        <w:fldChar w:fldCharType="separate"/>
      </w:r>
      <w:r>
        <w:t>14</w:t>
      </w:r>
      <w:r>
        <w:fldChar w:fldCharType="end"/>
      </w:r>
      <w:r>
        <w:rPr>
          <w:rFonts w:hint="default" w:ascii="Times New Roman" w:hAnsi="Times New Roman" w:cs="Times New Roman"/>
          <w:szCs w:val="32"/>
        </w:rPr>
        <w:fldChar w:fldCharType="end"/>
      </w:r>
    </w:p>
    <w:p>
      <w:pPr>
        <w:pStyle w:val="6"/>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_Toc4834 </w:instrText>
      </w:r>
      <w:r>
        <w:rPr>
          <w:rFonts w:hint="default" w:ascii="Times New Roman" w:hAnsi="Times New Roman" w:cs="Times New Roman"/>
          <w:szCs w:val="32"/>
        </w:rPr>
        <w:fldChar w:fldCharType="separate"/>
      </w:r>
      <w:r>
        <w:rPr>
          <w:rFonts w:hint="eastAsia" w:ascii="仿宋" w:eastAsia="仿宋"/>
          <w:szCs w:val="32"/>
          <w:lang w:val="en-US" w:eastAsia="zh-CN"/>
        </w:rPr>
        <w:t>2.一般公共预算财政拨款支出决算结构情况</w:t>
      </w:r>
      <w:r>
        <w:tab/>
      </w:r>
      <w:r>
        <w:fldChar w:fldCharType="begin"/>
      </w:r>
      <w:r>
        <w:instrText xml:space="preserve"> PAGEREF _Toc4834 \h </w:instrText>
      </w:r>
      <w:r>
        <w:fldChar w:fldCharType="separate"/>
      </w:r>
      <w:r>
        <w:t>14</w:t>
      </w:r>
      <w:r>
        <w:fldChar w:fldCharType="end"/>
      </w:r>
      <w:r>
        <w:rPr>
          <w:rFonts w:hint="default" w:ascii="Times New Roman" w:hAnsi="Times New Roman" w:cs="Times New Roman"/>
          <w:szCs w:val="32"/>
        </w:rPr>
        <w:fldChar w:fldCharType="end"/>
      </w:r>
    </w:p>
    <w:p>
      <w:pPr>
        <w:pStyle w:val="9"/>
        <w:tabs>
          <w:tab w:val="right" w:leader="dot" w:pos="8306"/>
        </w:tabs>
      </w:pPr>
      <w:r>
        <w:rPr>
          <w:rFonts w:hint="default" w:ascii="Times New Roman" w:hAnsi="Times New Roman" w:cs="Times New Roman"/>
          <w:szCs w:val="32"/>
        </w:rPr>
        <w:fldChar w:fldCharType="begin"/>
      </w:r>
      <w:r>
        <w:rPr>
          <w:rFonts w:hint="default" w:ascii="Times New Roman" w:hAnsi="Times New Roman" w:cs="Times New Roman"/>
          <w:szCs w:val="32"/>
        </w:rPr>
        <w:instrText xml:space="preserve"> HYPERLINK \l _Toc3394 </w:instrText>
      </w:r>
      <w:r>
        <w:rPr>
          <w:rFonts w:hint="default" w:ascii="Times New Roman" w:hAnsi="Times New Roman" w:cs="Times New Roman"/>
          <w:szCs w:val="32"/>
        </w:rPr>
        <w:fldChar w:fldCharType="separate"/>
      </w:r>
      <w:r>
        <w:rPr>
          <w:rFonts w:hint="eastAsia" w:ascii="黑体" w:hAnsi="Times New Roman" w:eastAsia="黑体" w:cs="Times New Roman"/>
          <w:szCs w:val="44"/>
        </w:rPr>
        <w:t>第五部分 附表</w:t>
      </w:r>
      <w:r>
        <w:tab/>
      </w:r>
      <w:r>
        <w:fldChar w:fldCharType="begin"/>
      </w:r>
      <w:r>
        <w:instrText xml:space="preserve"> PAGEREF _Toc3394 \h </w:instrText>
      </w:r>
      <w:r>
        <w:fldChar w:fldCharType="separate"/>
      </w:r>
      <w:r>
        <w:t>18</w:t>
      </w:r>
      <w:r>
        <w:fldChar w:fldCharType="end"/>
      </w:r>
      <w:r>
        <w:rPr>
          <w:rFonts w:hint="default" w:ascii="Times New Roman" w:hAnsi="Times New Roman" w:cs="Times New Roman"/>
          <w:szCs w:val="32"/>
        </w:rPr>
        <w:fldChar w:fldCharType="end"/>
      </w:r>
    </w:p>
    <w:p>
      <w:pPr>
        <w:pStyle w:val="11"/>
        <w:tabs>
          <w:tab w:val="right" w:leader="dot" w:pos="8306"/>
        </w:tabs>
      </w:pPr>
    </w:p>
    <w:p>
      <w:pPr>
        <w:rPr>
          <w:rFonts w:hint="default" w:ascii="Times New Roman" w:hAnsi="Times New Roman" w:cs="Times New Roman"/>
          <w:szCs w:val="32"/>
        </w:rPr>
      </w:pPr>
      <w:r>
        <w:rPr>
          <w:rFonts w:hint="default" w:ascii="Times New Roman" w:hAnsi="Times New Roman" w:cs="Times New Roman"/>
          <w:szCs w:val="32"/>
        </w:rPr>
        <w:fldChar w:fldCharType="end"/>
      </w:r>
    </w:p>
    <w:p>
      <w:pPr>
        <w:tabs>
          <w:tab w:val="left" w:pos="7431"/>
        </w:tabs>
        <w:rPr>
          <w:rFonts w:hint="eastAsia" w:ascii="Times New Roman" w:hAnsi="Times New Roman" w:eastAsia="仿宋_GB2312" w:cs="Times New Roman"/>
          <w:szCs w:val="32"/>
          <w:lang w:eastAsia="zh-CN"/>
        </w:rPr>
      </w:pPr>
      <w:r>
        <w:rPr>
          <w:rFonts w:hint="eastAsia" w:cs="Times New Roman"/>
          <w:szCs w:val="32"/>
          <w:lang w:eastAsia="zh-CN"/>
        </w:rPr>
        <w:tab/>
      </w:r>
    </w:p>
    <w:p>
      <w:pPr>
        <w:rPr>
          <w:rFonts w:hint="default" w:ascii="Times New Roman" w:hAnsi="Times New Roman" w:cs="Times New Roman"/>
          <w:szCs w:val="32"/>
        </w:rPr>
      </w:pPr>
    </w:p>
    <w:p>
      <w:pPr>
        <w:outlineLvl w:val="2"/>
        <w:rPr>
          <w:rFonts w:hint="default" w:ascii="Times New Roman" w:hAnsi="Times New Roman" w:cs="Times New Roman"/>
          <w:szCs w:val="32"/>
        </w:rPr>
      </w:pPr>
    </w:p>
    <w:p>
      <w:pPr>
        <w:rPr>
          <w:rFonts w:hint="default" w:ascii="Times New Roman" w:hAnsi="Times New Roman" w:cs="Times New Roman"/>
          <w:szCs w:val="32"/>
        </w:rPr>
      </w:pPr>
    </w:p>
    <w:p>
      <w:pPr>
        <w:rPr>
          <w:rFonts w:hint="default" w:ascii="Times New Roman" w:hAnsi="Times New Roman" w:cs="Times New Roman"/>
          <w:szCs w:val="32"/>
        </w:rPr>
      </w:pPr>
    </w:p>
    <w:p>
      <w:pPr>
        <w:rPr>
          <w:rFonts w:hint="default" w:ascii="Times New Roman" w:hAnsi="Times New Roman" w:cs="Times New Roman"/>
          <w:szCs w:val="32"/>
        </w:rPr>
      </w:pPr>
    </w:p>
    <w:p>
      <w:pPr>
        <w:rPr>
          <w:rFonts w:hint="default" w:ascii="Times New Roman" w:hAnsi="Times New Roman" w:cs="Times New Roman"/>
          <w:szCs w:val="32"/>
        </w:rPr>
      </w:pPr>
    </w:p>
    <w:p>
      <w:pPr>
        <w:rPr>
          <w:rFonts w:hint="default" w:ascii="Times New Roman" w:hAnsi="Times New Roman" w:cs="Times New Roman"/>
          <w:szCs w:val="32"/>
        </w:rPr>
      </w:pPr>
    </w:p>
    <w:p>
      <w:pPr>
        <w:pStyle w:val="3"/>
        <w:bidi w:val="0"/>
        <w:ind w:left="0" w:leftChars="0" w:firstLine="0" w:firstLineChars="0"/>
        <w:jc w:val="both"/>
        <w:rPr>
          <w:rFonts w:hint="default" w:ascii="Times New Roman" w:hAnsi="Times New Roman" w:cs="Times New Roman"/>
        </w:rPr>
        <w:sectPr>
          <w:footerReference r:id="rId11" w:type="default"/>
          <w:pgSz w:w="11906" w:h="16838"/>
          <w:pgMar w:top="1440" w:right="1800" w:bottom="1440" w:left="1800" w:header="851" w:footer="992" w:gutter="0"/>
          <w:cols w:space="425" w:num="1"/>
          <w:docGrid w:type="lines" w:linePitch="312" w:charSpace="0"/>
        </w:sectPr>
      </w:pPr>
      <w:bookmarkStart w:id="0" w:name="_Toc15122"/>
      <w:bookmarkStart w:id="1" w:name="_Toc61109019"/>
      <w:bookmarkStart w:id="2" w:name="_Toc30529"/>
      <w:bookmarkStart w:id="3" w:name="YS060101"/>
      <w:bookmarkStart w:id="4" w:name="_Toc10113"/>
      <w:bookmarkStart w:id="5" w:name="_Toc28780"/>
      <w:bookmarkStart w:id="167" w:name="_GoBack"/>
      <w:bookmarkEnd w:id="167"/>
    </w:p>
    <w:p>
      <w:pPr>
        <w:pStyle w:val="3"/>
        <w:pageBreakBefore w:val="0"/>
        <w:kinsoku/>
        <w:wordWrap/>
        <w:overflowPunct/>
        <w:topLinePunct w:val="0"/>
        <w:bidi w:val="0"/>
        <w:spacing w:line="560" w:lineRule="exact"/>
        <w:ind w:left="0" w:leftChars="0" w:firstLine="0" w:firstLineChars="0"/>
        <w:jc w:val="center"/>
        <w:textAlignment w:val="auto"/>
        <w:rPr>
          <w:rFonts w:hint="eastAsia" w:ascii="Times New Roman" w:hAnsi="Times New Roman" w:cs="Times New Roman"/>
          <w:b w:val="0"/>
          <w:bCs/>
          <w:sz w:val="44"/>
          <w:szCs w:val="44"/>
          <w:lang w:val="en-US" w:eastAsia="zh-CN"/>
        </w:rPr>
      </w:pPr>
      <w:bookmarkStart w:id="6" w:name="_Toc512"/>
      <w:bookmarkStart w:id="7" w:name="_Toc29559"/>
      <w:r>
        <w:rPr>
          <w:rFonts w:hint="default" w:ascii="Times New Roman" w:hAnsi="Times New Roman" w:cs="Times New Roman"/>
          <w:b w:val="0"/>
          <w:bCs/>
          <w:sz w:val="44"/>
          <w:szCs w:val="44"/>
          <w:lang w:val="en-US" w:eastAsia="zh-CN"/>
        </w:rPr>
        <w:t>第一部分部门概况</w:t>
      </w:r>
      <w:bookmarkEnd w:id="0"/>
      <w:bookmarkEnd w:id="1"/>
      <w:bookmarkEnd w:id="2"/>
      <w:bookmarkEnd w:id="3"/>
      <w:bookmarkEnd w:id="4"/>
      <w:bookmarkEnd w:id="6"/>
      <w:bookmarkEnd w:id="7"/>
    </w:p>
    <w:p>
      <w:pPr>
        <w:keepNext w:val="0"/>
        <w:keepLines w:val="0"/>
        <w:pageBreakBefore w:val="0"/>
        <w:widowControl w:val="0"/>
        <w:numPr>
          <w:ilvl w:val="0"/>
          <w:numId w:val="1"/>
        </w:numPr>
        <w:kinsoku/>
        <w:wordWrap/>
        <w:overflowPunct/>
        <w:topLinePunct w:val="0"/>
        <w:bidi w:val="0"/>
        <w:snapToGrid w:val="0"/>
        <w:spacing w:line="560" w:lineRule="exact"/>
        <w:ind w:left="0" w:firstLine="640" w:firstLineChars="200"/>
        <w:textAlignment w:val="auto"/>
        <w:outlineLvl w:val="0"/>
        <w:rPr>
          <w:rFonts w:hint="eastAsia" w:ascii="黑体" w:hAnsi="黑体" w:eastAsia="黑体" w:cs="黑体"/>
          <w:b w:val="0"/>
          <w:bCs w:val="0"/>
          <w:sz w:val="32"/>
          <w:szCs w:val="32"/>
        </w:rPr>
      </w:pPr>
      <w:bookmarkStart w:id="8" w:name="_Toc21177"/>
      <w:bookmarkStart w:id="9" w:name="_Toc24468"/>
      <w:r>
        <w:rPr>
          <w:rFonts w:hint="eastAsia" w:ascii="黑体" w:hAnsi="黑体" w:eastAsia="黑体" w:cs="黑体"/>
          <w:b w:val="0"/>
          <w:bCs w:val="0"/>
          <w:sz w:val="32"/>
          <w:szCs w:val="32"/>
        </w:rPr>
        <w:t>单位基本情况</w:t>
      </w:r>
      <w:bookmarkEnd w:id="5"/>
      <w:bookmarkEnd w:id="8"/>
      <w:bookmarkEnd w:id="9"/>
    </w:p>
    <w:p>
      <w:pPr>
        <w:keepNext w:val="0"/>
        <w:keepLines w:val="0"/>
        <w:pageBreakBefore w:val="0"/>
        <w:widowControl w:val="0"/>
        <w:numPr>
          <w:ilvl w:val="0"/>
          <w:numId w:val="2"/>
        </w:numPr>
        <w:kinsoku/>
        <w:wordWrap/>
        <w:overflowPunct/>
        <w:topLinePunct w:val="0"/>
        <w:bidi w:val="0"/>
        <w:snapToGrid w:val="0"/>
        <w:spacing w:line="560" w:lineRule="exact"/>
        <w:ind w:left="0" w:leftChars="0" w:firstLine="643" w:firstLineChars="200"/>
        <w:textAlignment w:val="auto"/>
        <w:outlineLvl w:val="1"/>
        <w:rPr>
          <w:rFonts w:hint="eastAsia" w:ascii="楷体" w:hAnsi="楷体" w:eastAsia="楷体" w:cs="楷体"/>
          <w:b/>
          <w:sz w:val="32"/>
          <w:szCs w:val="32"/>
        </w:rPr>
      </w:pPr>
      <w:bookmarkStart w:id="10" w:name="_Toc26088"/>
      <w:bookmarkStart w:id="11" w:name="_Toc21824"/>
      <w:bookmarkStart w:id="12" w:name="_Toc14175"/>
      <w:r>
        <w:rPr>
          <w:rFonts w:hint="eastAsia" w:ascii="楷体" w:hAnsi="楷体" w:eastAsia="楷体" w:cs="楷体"/>
          <w:b/>
          <w:sz w:val="32"/>
          <w:szCs w:val="32"/>
        </w:rPr>
        <w:t>主要职能</w:t>
      </w:r>
      <w:bookmarkEnd w:id="10"/>
      <w:bookmarkEnd w:id="11"/>
      <w:bookmarkEnd w:id="12"/>
    </w:p>
    <w:p>
      <w:pPr>
        <w:spacing w:line="600" w:lineRule="exact"/>
        <w:ind w:firstLine="643" w:firstLineChars="200"/>
        <w:rPr>
          <w:rFonts w:ascii="仿宋_GB2312" w:eastAsia="仿宋_GB2312"/>
          <w:sz w:val="32"/>
          <w:szCs w:val="32"/>
        </w:rPr>
      </w:pPr>
      <w:bookmarkStart w:id="13" w:name="_Toc30557"/>
      <w:r>
        <w:rPr>
          <w:rFonts w:hint="eastAsia" w:ascii="仿宋_GB2312" w:eastAsia="仿宋_GB2312"/>
          <w:b/>
          <w:bCs/>
          <w:sz w:val="32"/>
          <w:szCs w:val="32"/>
        </w:rPr>
        <w:t>一是</w:t>
      </w:r>
      <w:r>
        <w:rPr>
          <w:rFonts w:hint="eastAsia" w:ascii="仿宋_GB2312" w:eastAsia="仿宋_GB2312"/>
          <w:sz w:val="32"/>
          <w:szCs w:val="32"/>
        </w:rPr>
        <w:t>负责宣传贯彻党和国家有关农村经济工作和社会发展的方针政策，发挥党和政府密切联系农民群众桥梁纽带作用，巩固党在农村的执政基础；执行全国供销合作总社制定的行业管理制度和重大决策部署，执行上级联合社有关决议；</w:t>
      </w:r>
      <w:r>
        <w:rPr>
          <w:rFonts w:hint="eastAsia" w:ascii="仿宋_GB2312" w:eastAsia="仿宋_GB2312"/>
          <w:b/>
          <w:bCs/>
          <w:sz w:val="32"/>
          <w:szCs w:val="32"/>
        </w:rPr>
        <w:t>二是</w:t>
      </w:r>
      <w:r>
        <w:rPr>
          <w:rFonts w:hint="eastAsia" w:ascii="仿宋_GB2312" w:eastAsia="仿宋_GB2312"/>
          <w:sz w:val="32"/>
          <w:szCs w:val="32"/>
        </w:rPr>
        <w:t>组织农民入社，提高农民组织化程度，密切与农民在组织上和经济上的联结；向当地党委政府和上级联合社反映农民的诉求，争取扶持政策；</w:t>
      </w:r>
      <w:r>
        <w:rPr>
          <w:rFonts w:hint="eastAsia" w:ascii="仿宋_GB2312" w:eastAsia="仿宋_GB2312"/>
          <w:b/>
          <w:bCs/>
          <w:sz w:val="32"/>
          <w:szCs w:val="32"/>
        </w:rPr>
        <w:t>三是</w:t>
      </w:r>
      <w:r>
        <w:rPr>
          <w:rFonts w:hint="eastAsia" w:ascii="仿宋_GB2312" w:eastAsia="仿宋_GB2312"/>
          <w:sz w:val="32"/>
          <w:szCs w:val="32"/>
        </w:rPr>
        <w:t>领办创办农民专业合作社及其联合社，探索开展生产、供销、信用“三位一体”综合合作；组织开展对社员和职工的教育培训；</w:t>
      </w:r>
    </w:p>
    <w:p>
      <w:pPr>
        <w:keepNext w:val="0"/>
        <w:keepLines w:val="0"/>
        <w:pageBreakBefore w:val="0"/>
        <w:widowControl w:val="0"/>
        <w:kinsoku/>
        <w:wordWrap/>
        <w:overflowPunct/>
        <w:topLinePunct w:val="0"/>
        <w:bidi w:val="0"/>
        <w:snapToGrid w:val="0"/>
        <w:spacing w:line="560" w:lineRule="exact"/>
        <w:ind w:left="0" w:firstLine="643" w:firstLineChars="200"/>
        <w:textAlignment w:val="auto"/>
        <w:outlineLvl w:val="1"/>
        <w:rPr>
          <w:rFonts w:hint="eastAsia" w:ascii="楷体" w:hAnsi="楷体" w:eastAsia="楷体" w:cs="楷体"/>
          <w:b/>
          <w:bCs/>
          <w:sz w:val="32"/>
          <w:szCs w:val="32"/>
        </w:rPr>
      </w:pPr>
      <w:bookmarkStart w:id="14" w:name="_Toc14215"/>
      <w:bookmarkStart w:id="15" w:name="_Toc12749"/>
      <w:r>
        <w:rPr>
          <w:rFonts w:hint="eastAsia" w:ascii="楷体" w:hAnsi="楷体" w:eastAsia="楷体" w:cs="楷体"/>
          <w:b/>
          <w:bCs/>
          <w:sz w:val="32"/>
          <w:szCs w:val="32"/>
        </w:rPr>
        <w:t>（二）机构和人员情况</w:t>
      </w:r>
      <w:bookmarkEnd w:id="13"/>
      <w:bookmarkEnd w:id="14"/>
      <w:bookmarkEnd w:id="15"/>
    </w:p>
    <w:p>
      <w:pPr>
        <w:pStyle w:val="3"/>
        <w:spacing w:line="579" w:lineRule="auto"/>
        <w:ind w:right="442" w:firstLine="640" w:firstLineChars="200"/>
        <w:jc w:val="left"/>
        <w:rPr>
          <w:rFonts w:hint="eastAsia" w:ascii="仿宋_GB2312" w:hAnsi="Times New Roman" w:eastAsia="仿宋_GB2312" w:cs="Times New Roman"/>
          <w:b w:val="0"/>
          <w:kern w:val="2"/>
          <w:sz w:val="32"/>
          <w:szCs w:val="32"/>
          <w:lang w:val="en-US" w:eastAsia="zh-CN" w:bidi="ar-SA"/>
        </w:rPr>
      </w:pPr>
      <w:bookmarkStart w:id="16" w:name="_Toc20365"/>
      <w:r>
        <w:rPr>
          <w:rFonts w:hint="eastAsia" w:ascii="仿宋" w:eastAsia="仿宋"/>
          <w:b w:val="0"/>
          <w:bCs w:val="0"/>
          <w:color w:val="000000"/>
          <w:kern w:val="2"/>
          <w:sz w:val="32"/>
          <w:szCs w:val="32"/>
        </w:rPr>
        <w:t xml:space="preserve"> </w:t>
      </w:r>
      <w:bookmarkStart w:id="17" w:name="_Toc15183"/>
      <w:bookmarkStart w:id="18" w:name="_Toc31362"/>
      <w:r>
        <w:rPr>
          <w:rFonts w:hint="eastAsia" w:ascii="仿宋_GB2312" w:hAnsi="Times New Roman" w:eastAsia="仿宋_GB2312" w:cs="Times New Roman"/>
          <w:b w:val="0"/>
          <w:kern w:val="2"/>
          <w:sz w:val="32"/>
          <w:szCs w:val="32"/>
          <w:lang w:val="en-US" w:eastAsia="zh-CN" w:bidi="ar-SA"/>
        </w:rPr>
        <w:t>本单位属于一级预算单位，是参公管理的事业单位，设统一核算机构为1个，独立编制机构为1个。单位编制数7个。其中： 参公编制6个,行政工勤编制1个；2021年末，单位实有人数7人，其中：在职7人（参公6人、行政工勤1人）。</w:t>
      </w:r>
      <w:bookmarkEnd w:id="17"/>
      <w:bookmarkEnd w:id="18"/>
    </w:p>
    <w:p>
      <w:pPr>
        <w:keepNext w:val="0"/>
        <w:keepLines w:val="0"/>
        <w:pageBreakBefore w:val="0"/>
        <w:widowControl w:val="0"/>
        <w:kinsoku/>
        <w:wordWrap/>
        <w:overflowPunct/>
        <w:topLinePunct w:val="0"/>
        <w:bidi w:val="0"/>
        <w:snapToGrid w:val="0"/>
        <w:spacing w:line="560" w:lineRule="exact"/>
        <w:ind w:left="0" w:firstLine="643" w:firstLineChars="200"/>
        <w:textAlignment w:val="auto"/>
        <w:outlineLvl w:val="1"/>
        <w:rPr>
          <w:rFonts w:hint="eastAsia" w:ascii="楷体" w:hAnsi="楷体" w:eastAsia="楷体" w:cs="楷体"/>
          <w:b/>
          <w:bCs/>
          <w:sz w:val="32"/>
          <w:szCs w:val="32"/>
        </w:rPr>
      </w:pPr>
      <w:bookmarkStart w:id="19" w:name="_Toc14229"/>
      <w:bookmarkStart w:id="20" w:name="_Toc24"/>
      <w:r>
        <w:rPr>
          <w:rFonts w:hint="eastAsia" w:ascii="楷体" w:hAnsi="楷体" w:eastAsia="楷体" w:cs="楷体"/>
          <w:b/>
          <w:bCs/>
          <w:sz w:val="32"/>
          <w:szCs w:val="32"/>
        </w:rPr>
        <w:t>（三）当年取得的主要成效</w:t>
      </w:r>
      <w:bookmarkEnd w:id="16"/>
      <w:bookmarkEnd w:id="19"/>
      <w:bookmarkEnd w:id="20"/>
    </w:p>
    <w:p>
      <w:pPr>
        <w:spacing w:line="600" w:lineRule="exact"/>
        <w:ind w:firstLine="640" w:firstLineChars="200"/>
        <w:outlineLvl w:val="1"/>
        <w:rPr>
          <w:rFonts w:ascii="仿宋" w:eastAsia="仿宋"/>
          <w:color w:val="000000"/>
          <w:sz w:val="32"/>
          <w:szCs w:val="32"/>
        </w:rPr>
      </w:pPr>
      <w:bookmarkStart w:id="21" w:name="_Toc21910"/>
      <w:bookmarkStart w:id="22" w:name="_Toc31013"/>
      <w:r>
        <w:rPr>
          <w:rFonts w:hint="eastAsia" w:ascii="仿宋" w:eastAsia="仿宋"/>
          <w:color w:val="000000"/>
          <w:sz w:val="32"/>
          <w:szCs w:val="32"/>
        </w:rPr>
        <w:t>1.全面提升农资经营服务“三农”的质量和效率，为我县农业增产，农民增收服好务。</w:t>
      </w:r>
      <w:bookmarkEnd w:id="21"/>
      <w:bookmarkEnd w:id="22"/>
    </w:p>
    <w:p>
      <w:pPr>
        <w:spacing w:line="600" w:lineRule="exact"/>
        <w:ind w:firstLine="640" w:firstLineChars="200"/>
        <w:outlineLvl w:val="1"/>
        <w:rPr>
          <w:rFonts w:ascii="仿宋" w:eastAsia="仿宋"/>
          <w:color w:val="000000"/>
          <w:sz w:val="32"/>
          <w:szCs w:val="32"/>
        </w:rPr>
      </w:pPr>
      <w:bookmarkStart w:id="23" w:name="_Toc1543"/>
      <w:bookmarkStart w:id="24" w:name="_Toc13760"/>
      <w:r>
        <w:rPr>
          <w:rFonts w:hint="eastAsia" w:ascii="仿宋" w:eastAsia="仿宋"/>
          <w:color w:val="000000"/>
          <w:sz w:val="32"/>
          <w:szCs w:val="32"/>
        </w:rPr>
        <w:t>2.监督并抓好全社安全生产工作，重点抓好烟花爆竹经营各环节的安全监管，落实安全责任。</w:t>
      </w:r>
      <w:bookmarkEnd w:id="23"/>
      <w:bookmarkEnd w:id="24"/>
    </w:p>
    <w:p>
      <w:pPr>
        <w:spacing w:line="600" w:lineRule="exact"/>
        <w:ind w:firstLine="640" w:firstLineChars="200"/>
        <w:outlineLvl w:val="1"/>
        <w:rPr>
          <w:rFonts w:ascii="仿宋" w:eastAsia="仿宋"/>
          <w:color w:val="000000"/>
          <w:sz w:val="32"/>
          <w:szCs w:val="32"/>
        </w:rPr>
      </w:pPr>
      <w:bookmarkStart w:id="25" w:name="_Toc19592"/>
      <w:bookmarkStart w:id="26" w:name="_Toc31004"/>
      <w:r>
        <w:rPr>
          <w:rFonts w:hint="eastAsia" w:ascii="仿宋" w:eastAsia="仿宋"/>
          <w:color w:val="000000"/>
          <w:sz w:val="32"/>
          <w:szCs w:val="32"/>
        </w:rPr>
        <w:t>3.努力促使社有企业正常运转，分渠道引进人才，解决企业管理和经营人员，使其步入正常经营轨道，为我县三农工作服好务。</w:t>
      </w:r>
      <w:bookmarkEnd w:id="25"/>
      <w:bookmarkEnd w:id="26"/>
    </w:p>
    <w:p>
      <w:pPr>
        <w:spacing w:line="600" w:lineRule="exact"/>
        <w:ind w:firstLine="640" w:firstLineChars="200"/>
        <w:outlineLvl w:val="1"/>
        <w:rPr>
          <w:rFonts w:ascii="仿宋" w:eastAsia="仿宋"/>
          <w:color w:val="000000"/>
          <w:sz w:val="32"/>
          <w:szCs w:val="32"/>
        </w:rPr>
      </w:pPr>
      <w:bookmarkStart w:id="27" w:name="_Toc19448"/>
      <w:bookmarkStart w:id="28" w:name="_Toc12852"/>
      <w:r>
        <w:rPr>
          <w:rFonts w:hint="eastAsia" w:ascii="仿宋" w:eastAsia="仿宋"/>
          <w:color w:val="000000"/>
          <w:sz w:val="32"/>
          <w:szCs w:val="32"/>
        </w:rPr>
        <w:t>4.努力促使社有企业拓展经营服务路径，提升其适应市场，不断壮大其营利能力，重点在再生资源回收利用、会计服务、电子商务等领域开拓经营。</w:t>
      </w:r>
      <w:bookmarkEnd w:id="27"/>
      <w:bookmarkEnd w:id="28"/>
    </w:p>
    <w:p>
      <w:pPr>
        <w:spacing w:line="600" w:lineRule="exact"/>
        <w:ind w:firstLine="640" w:firstLineChars="200"/>
        <w:outlineLvl w:val="1"/>
        <w:rPr>
          <w:rFonts w:ascii="仿宋" w:eastAsia="仿宋"/>
          <w:color w:val="000000"/>
          <w:sz w:val="32"/>
          <w:szCs w:val="32"/>
        </w:rPr>
      </w:pPr>
      <w:bookmarkStart w:id="29" w:name="_Toc1403"/>
      <w:bookmarkStart w:id="30" w:name="_Toc29015"/>
      <w:r>
        <w:rPr>
          <w:rFonts w:hint="eastAsia" w:ascii="仿宋" w:eastAsia="仿宋"/>
          <w:color w:val="000000"/>
          <w:sz w:val="32"/>
          <w:szCs w:val="32"/>
        </w:rPr>
        <w:t>5.做好十四五期间全社党建及党风廉政工作，确保全社清廉高效的开展各项工作。</w:t>
      </w:r>
      <w:bookmarkEnd w:id="29"/>
      <w:bookmarkEnd w:id="30"/>
    </w:p>
    <w:p>
      <w:pPr>
        <w:spacing w:line="600" w:lineRule="exact"/>
        <w:ind w:firstLine="640" w:firstLineChars="200"/>
        <w:outlineLvl w:val="1"/>
        <w:rPr>
          <w:rFonts w:ascii="仿宋" w:eastAsia="仿宋"/>
          <w:color w:val="000000"/>
          <w:sz w:val="32"/>
          <w:szCs w:val="32"/>
        </w:rPr>
      </w:pPr>
      <w:bookmarkStart w:id="31" w:name="_Toc24427"/>
      <w:bookmarkStart w:id="32" w:name="_Toc22748"/>
      <w:r>
        <w:rPr>
          <w:rFonts w:hint="eastAsia" w:ascii="仿宋" w:eastAsia="仿宋"/>
          <w:color w:val="000000"/>
          <w:sz w:val="32"/>
          <w:szCs w:val="32"/>
        </w:rPr>
        <w:t>6.服从县委县政府整体安排，积极投身我县十四五农业农村工作之中，为我县乡村振兴工作服好务，不断开拓创新。</w:t>
      </w:r>
      <w:bookmarkEnd w:id="31"/>
      <w:bookmarkEnd w:id="32"/>
    </w:p>
    <w:p>
      <w:pPr>
        <w:keepNext w:val="0"/>
        <w:keepLines w:val="0"/>
        <w:pageBreakBefore w:val="0"/>
        <w:widowControl w:val="0"/>
        <w:numPr>
          <w:ilvl w:val="0"/>
          <w:numId w:val="0"/>
        </w:numPr>
        <w:kinsoku/>
        <w:wordWrap/>
        <w:overflowPunct/>
        <w:topLinePunct w:val="0"/>
        <w:bidi w:val="0"/>
        <w:snapToGrid w:val="0"/>
        <w:spacing w:line="560" w:lineRule="exact"/>
        <w:ind w:left="0" w:firstLine="640" w:firstLineChars="200"/>
        <w:textAlignment w:val="auto"/>
        <w:rPr>
          <w:rFonts w:hint="eastAsia" w:ascii="仿宋_GB2312" w:hAnsi="仿宋" w:eastAsia="仿宋_GB2312"/>
          <w:bCs/>
          <w:sz w:val="32"/>
          <w:szCs w:val="32"/>
        </w:rPr>
      </w:pPr>
    </w:p>
    <w:p>
      <w:pPr>
        <w:pageBreakBefore w:val="0"/>
        <w:kinsoku/>
        <w:wordWrap/>
        <w:overflowPunct/>
        <w:topLinePunct w:val="0"/>
        <w:bidi w:val="0"/>
        <w:spacing w:line="560" w:lineRule="exact"/>
        <w:ind w:left="0" w:leftChars="0" w:firstLine="640" w:firstLineChars="200"/>
        <w:textAlignment w:val="auto"/>
        <w:rPr>
          <w:rFonts w:hint="default"/>
          <w:sz w:val="32"/>
          <w:szCs w:val="32"/>
        </w:rPr>
      </w:pPr>
      <w:bookmarkStart w:id="33" w:name="_Toc15396602"/>
      <w:bookmarkStart w:id="34" w:name="_Toc13720"/>
      <w:bookmarkStart w:id="35" w:name="_Toc8820"/>
      <w:bookmarkStart w:id="36" w:name="_Toc19897"/>
      <w:bookmarkStart w:id="37" w:name="_Toc15377204"/>
    </w:p>
    <w:p>
      <w:pPr>
        <w:pStyle w:val="3"/>
        <w:pageBreakBefore w:val="0"/>
        <w:kinsoku/>
        <w:wordWrap/>
        <w:overflowPunct/>
        <w:topLinePunct w:val="0"/>
        <w:bidi w:val="0"/>
        <w:spacing w:line="560" w:lineRule="exact"/>
        <w:ind w:left="0" w:leftChars="0" w:firstLine="0" w:firstLineChars="0"/>
        <w:jc w:val="center"/>
        <w:textAlignment w:val="auto"/>
        <w:rPr>
          <w:rFonts w:hint="eastAsia" w:ascii="Times New Roman" w:hAnsi="Times New Roman" w:cs="Times New Roman"/>
          <w:b w:val="0"/>
          <w:bCs/>
          <w:sz w:val="44"/>
          <w:szCs w:val="44"/>
          <w:lang w:val="en-US" w:eastAsia="zh-CN"/>
        </w:rPr>
      </w:pPr>
      <w:bookmarkStart w:id="38" w:name="_Toc29797"/>
      <w:bookmarkStart w:id="39" w:name="_Toc18161"/>
      <w:r>
        <w:rPr>
          <w:rFonts w:hint="default" w:ascii="Times New Roman" w:hAnsi="Times New Roman" w:cs="Times New Roman"/>
          <w:b w:val="0"/>
          <w:bCs/>
          <w:sz w:val="44"/>
          <w:szCs w:val="44"/>
          <w:lang w:val="en-US" w:eastAsia="zh-CN"/>
        </w:rPr>
        <w:t>第二部分2021年度部门决算情况说明</w:t>
      </w:r>
      <w:bookmarkEnd w:id="33"/>
      <w:bookmarkEnd w:id="34"/>
      <w:bookmarkEnd w:id="35"/>
      <w:bookmarkEnd w:id="36"/>
      <w:bookmarkEnd w:id="37"/>
      <w:bookmarkEnd w:id="38"/>
      <w:bookmarkEnd w:id="39"/>
    </w:p>
    <w:p>
      <w:pPr>
        <w:pStyle w:val="3"/>
        <w:pageBreakBefore w:val="0"/>
        <w:kinsoku/>
        <w:wordWrap/>
        <w:overflowPunct/>
        <w:topLinePunct w:val="0"/>
        <w:bidi w:val="0"/>
        <w:spacing w:line="560" w:lineRule="exact"/>
        <w:ind w:left="0" w:firstLine="640" w:firstLineChars="200"/>
        <w:textAlignment w:val="auto"/>
        <w:outlineLvl w:val="1"/>
        <w:rPr>
          <w:rFonts w:hint="default" w:ascii="Times New Roman" w:hAnsi="Times New Roman" w:cs="Times New Roman"/>
          <w:b w:val="0"/>
          <w:bCs/>
          <w:sz w:val="32"/>
          <w:szCs w:val="32"/>
        </w:rPr>
      </w:pPr>
      <w:bookmarkStart w:id="40" w:name="_Toc10164"/>
      <w:bookmarkStart w:id="41" w:name="_Toc20543"/>
      <w:bookmarkStart w:id="42" w:name="_Toc28638"/>
      <w:bookmarkStart w:id="43" w:name="_Toc27277"/>
      <w:bookmarkStart w:id="44" w:name="_Toc5234"/>
      <w:bookmarkStart w:id="45" w:name="_Toc5948"/>
      <w:bookmarkStart w:id="46" w:name="_Toc10933"/>
      <w:r>
        <w:rPr>
          <w:rFonts w:hint="eastAsia" w:cs="Times New Roman"/>
          <w:b w:val="0"/>
          <w:bCs/>
          <w:sz w:val="32"/>
          <w:szCs w:val="32"/>
          <w:lang w:val="en-US" w:eastAsia="zh-CN"/>
        </w:rPr>
        <w:t>一</w:t>
      </w:r>
      <w:r>
        <w:rPr>
          <w:rFonts w:hint="default" w:ascii="Times New Roman" w:hAnsi="Times New Roman" w:cs="Times New Roman"/>
          <w:b w:val="0"/>
          <w:bCs/>
          <w:sz w:val="32"/>
          <w:szCs w:val="32"/>
        </w:rPr>
        <w:t>、一般公共预算财政拨款基本支出情况</w:t>
      </w:r>
      <w:bookmarkEnd w:id="40"/>
      <w:bookmarkEnd w:id="41"/>
      <w:bookmarkEnd w:id="42"/>
      <w:bookmarkEnd w:id="43"/>
      <w:bookmarkEnd w:id="44"/>
    </w:p>
    <w:p>
      <w:pPr>
        <w:pStyle w:val="4"/>
        <w:pageBreakBefore w:val="0"/>
        <w:kinsoku/>
        <w:wordWrap/>
        <w:overflowPunct/>
        <w:topLinePunct w:val="0"/>
        <w:bidi w:val="0"/>
        <w:spacing w:line="560" w:lineRule="exact"/>
        <w:ind w:left="0" w:firstLine="643" w:firstLineChars="200"/>
        <w:textAlignment w:val="auto"/>
        <w:rPr>
          <w:rFonts w:hint="default" w:ascii="Times New Roman" w:hAnsi="Times New Roman" w:cs="Times New Roman"/>
          <w:sz w:val="32"/>
          <w:szCs w:val="32"/>
        </w:rPr>
      </w:pPr>
      <w:bookmarkStart w:id="47" w:name="_Toc22271"/>
      <w:bookmarkStart w:id="48" w:name="_Toc61109024"/>
      <w:bookmarkStart w:id="49" w:name="_Toc6882"/>
      <w:bookmarkStart w:id="50" w:name="_Toc20610"/>
      <w:bookmarkStart w:id="51" w:name="_Toc5025"/>
      <w:r>
        <w:rPr>
          <w:rFonts w:hint="default" w:ascii="Times New Roman" w:hAnsi="Times New Roman" w:cs="Times New Roman"/>
          <w:sz w:val="32"/>
          <w:szCs w:val="32"/>
        </w:rPr>
        <w:t>（一）收入支出预算安排情况</w:t>
      </w:r>
      <w:bookmarkEnd w:id="47"/>
      <w:bookmarkEnd w:id="48"/>
      <w:bookmarkEnd w:id="49"/>
      <w:bookmarkEnd w:id="50"/>
      <w:bookmarkEnd w:id="51"/>
    </w:p>
    <w:p>
      <w:pPr>
        <w:keepNext w:val="0"/>
        <w:keepLines w:val="0"/>
        <w:pageBreakBefore w:val="0"/>
        <w:kinsoku/>
        <w:wordWrap/>
        <w:overflowPunct/>
        <w:topLinePunct w:val="0"/>
        <w:autoSpaceDE/>
        <w:autoSpaceDN/>
        <w:bidi w:val="0"/>
        <w:adjustRightInd/>
        <w:snapToGrid w:val="0"/>
        <w:spacing w:line="560" w:lineRule="exact"/>
        <w:ind w:left="0" w:firstLine="643" w:firstLineChars="200"/>
        <w:textAlignment w:val="auto"/>
        <w:rPr>
          <w:rFonts w:hint="eastAsia" w:ascii="仿宋_GB2312" w:hAnsi="宋体" w:eastAsia="仿宋_GB2312" w:cs="宋体"/>
          <w:b/>
          <w:color w:val="333333"/>
          <w:kern w:val="0"/>
          <w:sz w:val="32"/>
          <w:szCs w:val="32"/>
          <w:lang w:val="zh-CN"/>
        </w:rPr>
      </w:pPr>
      <w:r>
        <w:rPr>
          <w:rFonts w:hint="eastAsia" w:ascii="仿宋_GB2312" w:hAnsi="宋体" w:eastAsia="仿宋_GB2312" w:cs="宋体"/>
          <w:b/>
          <w:color w:val="333333"/>
          <w:kern w:val="0"/>
          <w:sz w:val="32"/>
          <w:szCs w:val="32"/>
          <w:lang w:val="zh-CN"/>
        </w:rPr>
        <w:t>1.年度收入情况</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2021年预算收入</w:t>
      </w:r>
      <w:r>
        <w:rPr>
          <w:rFonts w:hint="eastAsia" w:ascii="仿宋_GB2312" w:hAnsi="仿宋" w:cs="Times New Roman"/>
          <w:bCs/>
          <w:sz w:val="32"/>
          <w:szCs w:val="32"/>
          <w:lang w:val="en-US" w:eastAsia="zh-CN"/>
        </w:rPr>
        <w:t>177.29</w:t>
      </w:r>
      <w:r>
        <w:rPr>
          <w:rFonts w:hint="eastAsia" w:ascii="仿宋_GB2312" w:hAnsi="仿宋" w:eastAsia="仿宋_GB2312" w:cs="Times New Roman"/>
          <w:bCs/>
          <w:sz w:val="32"/>
          <w:szCs w:val="32"/>
          <w:lang w:val="zh-CN"/>
        </w:rPr>
        <w:t>万元。截止2021年底，实际共收到财政拨款收入</w:t>
      </w:r>
      <w:r>
        <w:rPr>
          <w:rFonts w:hint="eastAsia" w:ascii="仿宋_GB2312" w:hAnsi="仿宋" w:cs="Times New Roman"/>
          <w:bCs/>
          <w:sz w:val="32"/>
          <w:szCs w:val="32"/>
          <w:lang w:val="en-US" w:eastAsia="zh-CN"/>
        </w:rPr>
        <w:t>177.29</w:t>
      </w:r>
      <w:r>
        <w:rPr>
          <w:rFonts w:hint="eastAsia" w:ascii="仿宋_GB2312" w:hAnsi="仿宋" w:eastAsia="仿宋_GB2312" w:cs="Times New Roman"/>
          <w:bCs/>
          <w:sz w:val="32"/>
          <w:szCs w:val="32"/>
          <w:lang w:val="zh-CN"/>
        </w:rPr>
        <w:t>万元。其中，政府性基金预算财政拨款0万元。</w:t>
      </w:r>
    </w:p>
    <w:p>
      <w:pPr>
        <w:keepNext w:val="0"/>
        <w:keepLines w:val="0"/>
        <w:pageBreakBefore w:val="0"/>
        <w:kinsoku/>
        <w:wordWrap/>
        <w:overflowPunct/>
        <w:topLinePunct w:val="0"/>
        <w:autoSpaceDE/>
        <w:autoSpaceDN/>
        <w:bidi w:val="0"/>
        <w:adjustRightInd/>
        <w:snapToGrid w:val="0"/>
        <w:spacing w:line="560" w:lineRule="exact"/>
        <w:ind w:left="0" w:firstLine="643" w:firstLineChars="200"/>
        <w:textAlignment w:val="auto"/>
        <w:rPr>
          <w:rFonts w:hint="eastAsia" w:ascii="仿宋_GB2312" w:hAnsi="宋体" w:eastAsia="仿宋_GB2312" w:cs="宋体"/>
          <w:b/>
          <w:color w:val="333333"/>
          <w:kern w:val="0"/>
          <w:sz w:val="32"/>
          <w:szCs w:val="32"/>
          <w:lang w:val="zh-CN"/>
        </w:rPr>
      </w:pPr>
      <w:r>
        <w:rPr>
          <w:rFonts w:hint="eastAsia" w:ascii="仿宋_GB2312" w:hAnsi="宋体" w:eastAsia="仿宋_GB2312" w:cs="宋体"/>
          <w:b/>
          <w:color w:val="333333"/>
          <w:kern w:val="0"/>
          <w:sz w:val="32"/>
          <w:szCs w:val="32"/>
          <w:lang w:val="zh-CN"/>
        </w:rPr>
        <w:t>2.年度支出情况</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rPr>
      </w:pPr>
      <w:r>
        <w:rPr>
          <w:rFonts w:hint="eastAsia" w:ascii="仿宋_GB2312" w:hAnsi="仿宋" w:eastAsia="仿宋_GB2312" w:cs="Times New Roman"/>
          <w:bCs/>
          <w:sz w:val="32"/>
          <w:szCs w:val="32"/>
          <w:lang w:val="zh-CN"/>
        </w:rPr>
        <w:t>2021年预算支出</w:t>
      </w:r>
      <w:r>
        <w:rPr>
          <w:rFonts w:hint="eastAsia" w:ascii="仿宋_GB2312" w:eastAsia="仿宋_GB2312"/>
          <w:spacing w:val="-2"/>
          <w:sz w:val="32"/>
          <w:szCs w:val="32"/>
          <w:lang w:val="en-US" w:eastAsia="zh-CN"/>
        </w:rPr>
        <w:t>196.29</w:t>
      </w:r>
      <w:r>
        <w:rPr>
          <w:rFonts w:hint="eastAsia" w:ascii="仿宋_GB2312" w:hAnsi="仿宋" w:eastAsia="仿宋_GB2312" w:cs="Times New Roman"/>
          <w:bCs/>
          <w:sz w:val="32"/>
          <w:szCs w:val="32"/>
          <w:lang w:val="zh-CN"/>
        </w:rPr>
        <w:t>万元。截止2021年底，实际各类支出共计</w:t>
      </w:r>
      <w:r>
        <w:rPr>
          <w:rFonts w:hint="eastAsia" w:ascii="仿宋_GB2312" w:eastAsia="仿宋_GB2312"/>
          <w:spacing w:val="-2"/>
          <w:sz w:val="32"/>
          <w:szCs w:val="32"/>
          <w:lang w:val="en-US" w:eastAsia="zh-CN"/>
        </w:rPr>
        <w:t>196.29</w:t>
      </w:r>
      <w:r>
        <w:rPr>
          <w:rFonts w:hint="eastAsia" w:ascii="仿宋_GB2312" w:hAnsi="仿宋" w:eastAsia="仿宋_GB2312" w:cs="Times New Roman"/>
          <w:bCs/>
          <w:sz w:val="32"/>
          <w:szCs w:val="32"/>
          <w:lang w:val="zh-CN"/>
        </w:rPr>
        <w:t>万元。其中，</w:t>
      </w:r>
      <w:r>
        <w:rPr>
          <w:rFonts w:hint="eastAsia" w:ascii="仿宋" w:eastAsia="仿宋"/>
          <w:color w:val="000000"/>
          <w:sz w:val="32"/>
          <w:szCs w:val="32"/>
        </w:rPr>
        <w:t>基本支出</w:t>
      </w:r>
      <w:r>
        <w:rPr>
          <w:rFonts w:hint="eastAsia" w:ascii="仿宋" w:eastAsia="仿宋"/>
          <w:color w:val="000000"/>
          <w:sz w:val="32"/>
          <w:szCs w:val="32"/>
          <w:lang w:val="en-US" w:eastAsia="zh-CN"/>
        </w:rPr>
        <w:t>148.29</w:t>
      </w:r>
      <w:r>
        <w:rPr>
          <w:rFonts w:hint="eastAsia" w:ascii="仿宋" w:eastAsia="仿宋"/>
          <w:color w:val="000000"/>
          <w:sz w:val="32"/>
          <w:szCs w:val="32"/>
        </w:rPr>
        <w:t>万元，占</w:t>
      </w:r>
      <w:r>
        <w:rPr>
          <w:rFonts w:hint="eastAsia" w:ascii="仿宋" w:eastAsia="仿宋"/>
          <w:color w:val="000000"/>
          <w:sz w:val="32"/>
          <w:szCs w:val="32"/>
          <w:lang w:val="en-US" w:eastAsia="zh-CN"/>
        </w:rPr>
        <w:t>总支出的75.55</w:t>
      </w:r>
      <w:r>
        <w:rPr>
          <w:rFonts w:hint="eastAsia" w:ascii="仿宋" w:eastAsia="仿宋"/>
          <w:color w:val="000000"/>
          <w:sz w:val="32"/>
          <w:szCs w:val="32"/>
        </w:rPr>
        <w:t>%；项目支出</w:t>
      </w:r>
      <w:r>
        <w:rPr>
          <w:rFonts w:hint="eastAsia" w:ascii="仿宋" w:eastAsia="仿宋"/>
          <w:color w:val="000000"/>
          <w:sz w:val="32"/>
          <w:szCs w:val="32"/>
          <w:lang w:val="en-US" w:eastAsia="zh-CN"/>
        </w:rPr>
        <w:t>48</w:t>
      </w:r>
      <w:r>
        <w:rPr>
          <w:rFonts w:hint="eastAsia" w:ascii="仿宋" w:eastAsia="仿宋"/>
          <w:color w:val="000000"/>
          <w:sz w:val="32"/>
          <w:szCs w:val="32"/>
        </w:rPr>
        <w:t>万元，占</w:t>
      </w:r>
      <w:r>
        <w:rPr>
          <w:rFonts w:hint="eastAsia" w:ascii="仿宋" w:eastAsia="仿宋"/>
          <w:color w:val="000000"/>
          <w:sz w:val="32"/>
          <w:szCs w:val="32"/>
          <w:lang w:val="en-US" w:eastAsia="zh-CN"/>
        </w:rPr>
        <w:t>总支出的24.45</w:t>
      </w:r>
      <w:r>
        <w:rPr>
          <w:rFonts w:hint="eastAsia" w:ascii="仿宋" w:eastAsia="仿宋"/>
          <w:color w:val="000000"/>
          <w:sz w:val="32"/>
          <w:szCs w:val="32"/>
        </w:rPr>
        <w:t>%</w:t>
      </w:r>
      <w:r>
        <w:rPr>
          <w:rFonts w:hint="eastAsia" w:ascii="仿宋_GB2312" w:hAnsi="仿宋" w:eastAsia="仿宋_GB2312" w:cs="Times New Roman"/>
          <w:bCs/>
          <w:sz w:val="32"/>
          <w:szCs w:val="32"/>
          <w:lang w:val="zh-CN"/>
        </w:rPr>
        <w:t>。</w:t>
      </w:r>
    </w:p>
    <w:p>
      <w:pPr>
        <w:keepNext w:val="0"/>
        <w:keepLines w:val="0"/>
        <w:pageBreakBefore w:val="0"/>
        <w:kinsoku/>
        <w:wordWrap/>
        <w:overflowPunct/>
        <w:topLinePunct w:val="0"/>
        <w:autoSpaceDE/>
        <w:autoSpaceDN/>
        <w:bidi w:val="0"/>
        <w:adjustRightInd/>
        <w:snapToGrid w:val="0"/>
        <w:spacing w:line="560" w:lineRule="exact"/>
        <w:ind w:left="0" w:firstLine="643" w:firstLineChars="200"/>
        <w:textAlignment w:val="auto"/>
        <w:rPr>
          <w:rFonts w:hint="eastAsia" w:ascii="楷体_GB2312" w:hAnsi="仿宋" w:eastAsia="楷体_GB2312"/>
          <w:b/>
          <w:sz w:val="32"/>
          <w:szCs w:val="32"/>
        </w:rPr>
      </w:pPr>
      <w:r>
        <w:rPr>
          <w:rFonts w:hint="eastAsia" w:ascii="楷体_GB2312" w:hAnsi="仿宋" w:eastAsia="楷体_GB2312"/>
          <w:b/>
          <w:sz w:val="32"/>
          <w:szCs w:val="32"/>
        </w:rPr>
        <w:t>（二）收入支出预算执行情况</w:t>
      </w:r>
    </w:p>
    <w:p>
      <w:pPr>
        <w:keepNext w:val="0"/>
        <w:keepLines w:val="0"/>
        <w:pageBreakBefore w:val="0"/>
        <w:kinsoku/>
        <w:wordWrap/>
        <w:overflowPunct/>
        <w:topLinePunct w:val="0"/>
        <w:autoSpaceDE/>
        <w:autoSpaceDN/>
        <w:bidi w:val="0"/>
        <w:adjustRightInd/>
        <w:snapToGrid w:val="0"/>
        <w:spacing w:line="560" w:lineRule="exact"/>
        <w:ind w:left="0" w:firstLine="643" w:firstLineChars="200"/>
        <w:textAlignment w:val="auto"/>
        <w:rPr>
          <w:rFonts w:hint="eastAsia" w:ascii="仿宋_GB2312" w:hAnsi="宋体" w:eastAsia="仿宋_GB2312" w:cs="宋体"/>
          <w:b/>
          <w:color w:val="333333"/>
          <w:kern w:val="0"/>
          <w:sz w:val="32"/>
          <w:szCs w:val="32"/>
          <w:lang w:val="zh-CN"/>
        </w:rPr>
      </w:pPr>
      <w:r>
        <w:rPr>
          <w:rFonts w:hint="eastAsia" w:ascii="仿宋_GB2312" w:hAnsi="宋体" w:eastAsia="仿宋_GB2312" w:cs="宋体"/>
          <w:b/>
          <w:color w:val="333333"/>
          <w:kern w:val="0"/>
          <w:sz w:val="32"/>
          <w:szCs w:val="32"/>
          <w:lang w:val="zh-CN"/>
        </w:rPr>
        <w:t>1.收入支出与预算对比分析</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lang w:val="zh-CN"/>
        </w:rPr>
      </w:pPr>
      <w:r>
        <w:rPr>
          <w:rFonts w:hint="eastAsia" w:ascii="仿宋_GB2312" w:hAnsi="仿宋" w:eastAsia="仿宋_GB2312" w:cs="Times New Roman"/>
          <w:bCs/>
          <w:sz w:val="32"/>
          <w:szCs w:val="32"/>
          <w:lang w:val="zh-CN"/>
        </w:rPr>
        <w:t>（1）</w:t>
      </w:r>
      <w:r>
        <w:rPr>
          <w:rFonts w:hint="eastAsia" w:ascii="仿宋_GB2312" w:hAnsi="仿宋" w:cs="Times New Roman"/>
          <w:bCs/>
          <w:sz w:val="32"/>
          <w:szCs w:val="32"/>
          <w:lang w:val="en-US" w:eastAsia="zh-CN"/>
        </w:rPr>
        <w:t>收、支</w:t>
      </w:r>
      <w:r>
        <w:rPr>
          <w:rFonts w:hint="eastAsia" w:ascii="仿宋_GB2312" w:hAnsi="仿宋" w:eastAsia="仿宋_GB2312" w:cs="Times New Roman"/>
          <w:bCs/>
          <w:sz w:val="32"/>
          <w:szCs w:val="32"/>
          <w:lang w:val="zh-CN"/>
        </w:rPr>
        <w:t>差异情况</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年财政拨款收入</w:t>
      </w:r>
      <w:r>
        <w:rPr>
          <w:rFonts w:hint="eastAsia" w:ascii="仿宋" w:eastAsia="仿宋"/>
          <w:color w:val="000000"/>
          <w:sz w:val="32"/>
          <w:szCs w:val="32"/>
          <w:lang w:val="en-US" w:eastAsia="zh-CN"/>
        </w:rPr>
        <w:t>177.29</w:t>
      </w:r>
      <w:r>
        <w:rPr>
          <w:rFonts w:hint="eastAsia" w:ascii="仿宋" w:eastAsia="仿宋"/>
          <w:color w:val="000000"/>
          <w:sz w:val="32"/>
          <w:szCs w:val="32"/>
        </w:rPr>
        <w:t>万元。与20</w:t>
      </w:r>
      <w:r>
        <w:rPr>
          <w:rFonts w:hint="eastAsia" w:ascii="仿宋" w:eastAsia="仿宋"/>
          <w:color w:val="000000"/>
          <w:sz w:val="32"/>
          <w:szCs w:val="32"/>
          <w:lang w:val="en-US" w:eastAsia="zh-CN"/>
        </w:rPr>
        <w:t>20</w:t>
      </w:r>
      <w:r>
        <w:rPr>
          <w:rFonts w:hint="eastAsia" w:ascii="仿宋" w:eastAsia="仿宋"/>
          <w:color w:val="000000"/>
          <w:sz w:val="32"/>
          <w:szCs w:val="32"/>
        </w:rPr>
        <w:t>年相比，一般公共预算财政拨款收入较上年增加</w:t>
      </w:r>
      <w:r>
        <w:rPr>
          <w:rFonts w:hint="eastAsia" w:ascii="仿宋" w:eastAsia="仿宋"/>
          <w:color w:val="000000"/>
          <w:sz w:val="32"/>
          <w:szCs w:val="32"/>
          <w:lang w:val="en-US" w:eastAsia="zh-CN"/>
        </w:rPr>
        <w:t>11.11</w:t>
      </w:r>
      <w:r>
        <w:rPr>
          <w:rFonts w:hint="eastAsia" w:ascii="仿宋" w:eastAsia="仿宋"/>
          <w:color w:val="000000"/>
          <w:sz w:val="32"/>
          <w:szCs w:val="32"/>
        </w:rPr>
        <w:t>万元，增加</w:t>
      </w:r>
      <w:r>
        <w:rPr>
          <w:rFonts w:hint="eastAsia" w:ascii="仿宋" w:eastAsia="仿宋"/>
          <w:color w:val="000000"/>
          <w:sz w:val="32"/>
          <w:szCs w:val="32"/>
          <w:lang w:val="en-US" w:eastAsia="zh-CN"/>
        </w:rPr>
        <w:t>6.69</w:t>
      </w:r>
      <w:r>
        <w:rPr>
          <w:rFonts w:hint="eastAsia" w:ascii="仿宋" w:eastAsia="仿宋"/>
          <w:color w:val="000000"/>
          <w:sz w:val="32"/>
          <w:szCs w:val="32"/>
        </w:rPr>
        <w:t>%。增加的主要原因是</w:t>
      </w:r>
      <w:r>
        <w:rPr>
          <w:rFonts w:hint="eastAsia" w:ascii="仿宋" w:eastAsia="仿宋"/>
          <w:color w:val="000000"/>
          <w:sz w:val="32"/>
          <w:szCs w:val="32"/>
          <w:lang w:val="en-US" w:eastAsia="zh-CN"/>
        </w:rPr>
        <w:t>2021年人员增减变动</w:t>
      </w: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年财政拨款支出</w:t>
      </w:r>
      <w:r>
        <w:rPr>
          <w:rFonts w:hint="eastAsia" w:ascii="仿宋" w:eastAsia="仿宋"/>
          <w:color w:val="000000"/>
          <w:sz w:val="32"/>
          <w:szCs w:val="32"/>
          <w:lang w:val="en-US" w:eastAsia="zh-CN"/>
        </w:rPr>
        <w:t>196.29</w:t>
      </w:r>
      <w:r>
        <w:rPr>
          <w:rFonts w:hint="eastAsia" w:ascii="仿宋" w:eastAsia="仿宋"/>
          <w:color w:val="000000"/>
          <w:sz w:val="32"/>
          <w:szCs w:val="32"/>
        </w:rPr>
        <w:t>万元，较上年支出</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49.11</w:t>
      </w:r>
      <w:r>
        <w:rPr>
          <w:rFonts w:hint="eastAsia" w:ascii="仿宋" w:eastAsia="仿宋"/>
          <w:color w:val="000000"/>
          <w:sz w:val="32"/>
          <w:szCs w:val="32"/>
        </w:rPr>
        <w:t>万元，减</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33.37</w:t>
      </w:r>
      <w:r>
        <w:rPr>
          <w:rFonts w:hint="eastAsia" w:ascii="仿宋" w:eastAsia="仿宋"/>
          <w:color w:val="000000"/>
          <w:sz w:val="32"/>
          <w:szCs w:val="32"/>
        </w:rPr>
        <w:t>%。</w:t>
      </w:r>
    </w:p>
    <w:p>
      <w:pPr>
        <w:pStyle w:val="2"/>
        <w:rPr>
          <w:rFonts w:hint="eastAsia"/>
          <w:lang w:val="zh-CN"/>
        </w:rPr>
      </w:pPr>
      <w:r>
        <w:rPr>
          <w:rFonts w:hint="eastAsia" w:ascii="仿宋" w:eastAsia="仿宋"/>
          <w:color w:val="000000"/>
          <w:sz w:val="32"/>
          <w:szCs w:val="32"/>
        </w:rPr>
        <w:drawing>
          <wp:anchor distT="0" distB="0" distL="114300" distR="114300" simplePos="0" relativeHeight="251661312" behindDoc="0" locked="0" layoutInCell="1" allowOverlap="1">
            <wp:simplePos x="0" y="0"/>
            <wp:positionH relativeFrom="column">
              <wp:posOffset>-38100</wp:posOffset>
            </wp:positionH>
            <wp:positionV relativeFrom="paragraph">
              <wp:posOffset>176530</wp:posOffset>
            </wp:positionV>
            <wp:extent cx="5090160" cy="2953385"/>
            <wp:effectExtent l="4445" t="4445" r="10795" b="13970"/>
            <wp:wrapSquare wrapText="bothSides"/>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color w:val="auto"/>
          <w:sz w:val="32"/>
          <w:szCs w:val="32"/>
          <w:lang w:val="zh-CN"/>
        </w:rPr>
      </w:pPr>
      <w:r>
        <w:rPr>
          <w:rFonts w:hint="eastAsia" w:ascii="仿宋_GB2312" w:hAnsi="仿宋" w:eastAsia="仿宋_GB2312" w:cs="Times New Roman"/>
          <w:bCs/>
          <w:color w:val="auto"/>
          <w:sz w:val="32"/>
          <w:szCs w:val="32"/>
          <w:lang w:val="zh-CN"/>
        </w:rPr>
        <w:t>（2）差异原因分析</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color w:val="auto"/>
          <w:sz w:val="32"/>
          <w:szCs w:val="32"/>
          <w:lang w:val="zh-CN"/>
        </w:rPr>
      </w:pPr>
      <w:r>
        <w:rPr>
          <w:rFonts w:hint="eastAsia" w:ascii="仿宋_GB2312" w:hAnsi="仿宋" w:cs="Times New Roman"/>
          <w:bCs/>
          <w:color w:val="auto"/>
          <w:sz w:val="32"/>
          <w:szCs w:val="32"/>
          <w:lang w:val="en-US" w:eastAsia="zh-CN"/>
        </w:rPr>
        <w:t>2020年与2021年</w:t>
      </w:r>
      <w:r>
        <w:rPr>
          <w:rFonts w:hint="eastAsia" w:ascii="仿宋_GB2312" w:hAnsi="仿宋" w:eastAsia="仿宋_GB2312" w:cs="Times New Roman"/>
          <w:bCs/>
          <w:color w:val="auto"/>
          <w:sz w:val="32"/>
          <w:szCs w:val="32"/>
          <w:lang w:val="zh-CN"/>
        </w:rPr>
        <w:t>收入和支出差异主要是因为：1.</w:t>
      </w:r>
      <w:r>
        <w:rPr>
          <w:rFonts w:hint="eastAsia" w:ascii="仿宋_GB2312" w:hAnsi="仿宋" w:cs="Times New Roman"/>
          <w:bCs/>
          <w:color w:val="auto"/>
          <w:sz w:val="32"/>
          <w:szCs w:val="32"/>
          <w:lang w:val="en-US" w:eastAsia="zh-CN"/>
        </w:rPr>
        <w:t>人员变动，2021年新增调进人员</w:t>
      </w:r>
      <w:r>
        <w:rPr>
          <w:rFonts w:hint="eastAsia" w:ascii="仿宋_GB2312" w:hAnsi="仿宋" w:eastAsia="仿宋_GB2312" w:cs="Times New Roman"/>
          <w:bCs/>
          <w:color w:val="auto"/>
          <w:sz w:val="32"/>
          <w:szCs w:val="32"/>
          <w:lang w:val="zh-CN"/>
        </w:rPr>
        <w:t>。2.工资晋级晋档、调整津补贴等原因，导致工资、养老保险、年金、公积金等支出相应增加，导致基本支出和收入都相应增加。</w:t>
      </w:r>
    </w:p>
    <w:p>
      <w:pPr>
        <w:keepNext w:val="0"/>
        <w:keepLines w:val="0"/>
        <w:pageBreakBefore w:val="0"/>
        <w:kinsoku/>
        <w:wordWrap/>
        <w:overflowPunct/>
        <w:topLinePunct w:val="0"/>
        <w:autoSpaceDE/>
        <w:autoSpaceDN/>
        <w:bidi w:val="0"/>
        <w:adjustRightInd/>
        <w:snapToGrid w:val="0"/>
        <w:spacing w:line="560" w:lineRule="exact"/>
        <w:ind w:left="0" w:leftChars="0" w:firstLine="643" w:firstLineChars="200"/>
        <w:textAlignment w:val="auto"/>
        <w:rPr>
          <w:rFonts w:hint="eastAsia" w:ascii="仿宋_GB2312" w:hAnsi="仿宋" w:eastAsia="仿宋_GB2312"/>
          <w:b/>
          <w:sz w:val="32"/>
          <w:szCs w:val="32"/>
        </w:rPr>
      </w:pPr>
      <w:r>
        <w:rPr>
          <w:rFonts w:hint="eastAsia" w:ascii="仿宋_GB2312" w:hAnsi="仿宋" w:eastAsia="仿宋_GB2312"/>
          <w:b/>
          <w:sz w:val="32"/>
          <w:szCs w:val="32"/>
        </w:rPr>
        <w:t>2．收入支出结构分析</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rPr>
        <w:t>（1）收入：</w:t>
      </w:r>
      <w:r>
        <w:rPr>
          <w:rFonts w:hint="eastAsia" w:ascii="仿宋_GB2312" w:hAnsi="仿宋" w:eastAsia="仿宋_GB2312" w:cs="Times New Roman"/>
          <w:bCs/>
          <w:sz w:val="32"/>
          <w:szCs w:val="32"/>
          <w:lang w:val="zh-CN"/>
        </w:rPr>
        <w:t>政府性基金预算财政拨款占财政拨款收入0%。</w:t>
      </w:r>
    </w:p>
    <w:p>
      <w:pPr>
        <w:spacing w:line="600" w:lineRule="exact"/>
        <w:ind w:firstLine="640"/>
        <w:rPr>
          <w:rFonts w:hint="eastAsia" w:ascii="仿宋" w:eastAsia="仿宋"/>
          <w:color w:val="000000"/>
          <w:sz w:val="32"/>
          <w:szCs w:val="32"/>
        </w:rPr>
      </w:pPr>
      <w:r>
        <w:rPr>
          <w:rFonts w:hint="eastAsia" w:ascii="仿宋_GB2312" w:hAnsi="仿宋" w:eastAsia="仿宋_GB2312" w:cs="Times New Roman"/>
          <w:bCs/>
          <w:sz w:val="32"/>
          <w:szCs w:val="32"/>
          <w:lang w:val="zh-CN"/>
        </w:rPr>
        <w:t>支出：</w:t>
      </w:r>
      <w:r>
        <w:rPr>
          <w:rFonts w:hint="eastAsia" w:ascii="仿宋" w:eastAsia="仿宋"/>
          <w:color w:val="000000"/>
          <w:sz w:val="32"/>
          <w:szCs w:val="32"/>
        </w:rPr>
        <w:t>社会保障和就业（类）支出</w:t>
      </w:r>
      <w:r>
        <w:rPr>
          <w:rFonts w:hint="eastAsia" w:ascii="仿宋" w:eastAsia="仿宋"/>
          <w:color w:val="000000"/>
          <w:sz w:val="32"/>
          <w:szCs w:val="32"/>
          <w:lang w:val="en-US" w:eastAsia="zh-CN"/>
        </w:rPr>
        <w:t>11.69</w:t>
      </w:r>
      <w:r>
        <w:rPr>
          <w:rFonts w:hint="eastAsia" w:ascii="仿宋" w:eastAsia="仿宋"/>
          <w:color w:val="000000"/>
          <w:sz w:val="32"/>
          <w:szCs w:val="32"/>
        </w:rPr>
        <w:t>万元，占</w:t>
      </w:r>
      <w:r>
        <w:rPr>
          <w:rFonts w:hint="eastAsia" w:ascii="仿宋" w:eastAsia="仿宋"/>
          <w:color w:val="000000"/>
          <w:sz w:val="32"/>
          <w:szCs w:val="32"/>
          <w:lang w:val="en-US" w:eastAsia="zh-CN"/>
        </w:rPr>
        <w:t>5.96</w:t>
      </w:r>
      <w:r>
        <w:rPr>
          <w:rFonts w:hint="eastAsia" w:ascii="仿宋" w:eastAsia="仿宋"/>
          <w:color w:val="000000"/>
          <w:sz w:val="32"/>
          <w:szCs w:val="32"/>
        </w:rPr>
        <w:t>%；卫生健康支出</w:t>
      </w:r>
      <w:r>
        <w:rPr>
          <w:rFonts w:hint="eastAsia" w:ascii="仿宋" w:eastAsia="仿宋"/>
          <w:color w:val="000000"/>
          <w:sz w:val="32"/>
          <w:szCs w:val="32"/>
          <w:lang w:val="en-US" w:eastAsia="zh-CN"/>
        </w:rPr>
        <w:t>6.92</w:t>
      </w:r>
      <w:r>
        <w:rPr>
          <w:rFonts w:hint="eastAsia" w:ascii="仿宋" w:eastAsia="仿宋"/>
          <w:color w:val="000000"/>
          <w:sz w:val="32"/>
          <w:szCs w:val="32"/>
        </w:rPr>
        <w:t>万元，占</w:t>
      </w:r>
      <w:r>
        <w:rPr>
          <w:rFonts w:hint="eastAsia" w:ascii="仿宋" w:eastAsia="仿宋"/>
          <w:color w:val="000000"/>
          <w:sz w:val="32"/>
          <w:szCs w:val="32"/>
          <w:lang w:val="en-US" w:eastAsia="zh-CN"/>
        </w:rPr>
        <w:t>3.53</w:t>
      </w:r>
      <w:r>
        <w:rPr>
          <w:rFonts w:hint="eastAsia" w:ascii="仿宋" w:eastAsia="仿宋"/>
          <w:color w:val="000000"/>
          <w:sz w:val="32"/>
          <w:szCs w:val="32"/>
        </w:rPr>
        <w:t>%；</w:t>
      </w:r>
      <w:r>
        <w:rPr>
          <w:rFonts w:hint="eastAsia" w:ascii="仿宋" w:eastAsia="仿宋"/>
          <w:color w:val="000000"/>
          <w:sz w:val="32"/>
          <w:szCs w:val="32"/>
          <w:lang w:eastAsia="zh-CN"/>
        </w:rPr>
        <w:t>农林水支出</w:t>
      </w:r>
      <w:r>
        <w:rPr>
          <w:rFonts w:hint="eastAsia" w:ascii="仿宋" w:eastAsia="仿宋"/>
          <w:color w:val="000000"/>
          <w:sz w:val="32"/>
          <w:szCs w:val="32"/>
          <w:lang w:val="en-US" w:eastAsia="zh-CN"/>
        </w:rPr>
        <w:t>38万元，占19.36%；</w:t>
      </w:r>
      <w:r>
        <w:rPr>
          <w:rFonts w:hint="eastAsia" w:ascii="仿宋" w:eastAsia="仿宋"/>
          <w:color w:val="000000"/>
          <w:sz w:val="32"/>
          <w:szCs w:val="32"/>
        </w:rPr>
        <w:t>商业服务业等支出</w:t>
      </w:r>
      <w:r>
        <w:rPr>
          <w:rFonts w:hint="eastAsia" w:ascii="仿宋" w:eastAsia="仿宋"/>
          <w:color w:val="000000"/>
          <w:sz w:val="32"/>
          <w:szCs w:val="32"/>
          <w:lang w:val="en-US" w:eastAsia="zh-CN"/>
        </w:rPr>
        <w:t>132</w:t>
      </w:r>
      <w:r>
        <w:rPr>
          <w:rFonts w:hint="eastAsia" w:ascii="仿宋" w:eastAsia="仿宋"/>
          <w:color w:val="000000"/>
          <w:sz w:val="32"/>
          <w:szCs w:val="32"/>
        </w:rPr>
        <w:t>万元，占</w:t>
      </w:r>
      <w:r>
        <w:rPr>
          <w:rFonts w:hint="eastAsia" w:ascii="仿宋" w:eastAsia="仿宋"/>
          <w:color w:val="000000"/>
          <w:sz w:val="32"/>
          <w:szCs w:val="32"/>
          <w:lang w:val="en-US" w:eastAsia="zh-CN"/>
        </w:rPr>
        <w:t>67.25</w:t>
      </w:r>
      <w:r>
        <w:rPr>
          <w:rFonts w:hint="eastAsia" w:ascii="仿宋" w:eastAsia="仿宋"/>
          <w:color w:val="000000"/>
          <w:sz w:val="32"/>
          <w:szCs w:val="32"/>
        </w:rPr>
        <w:t>%；住房保障支出</w:t>
      </w:r>
      <w:r>
        <w:rPr>
          <w:rFonts w:hint="eastAsia" w:ascii="仿宋" w:eastAsia="仿宋"/>
          <w:color w:val="000000"/>
          <w:sz w:val="32"/>
          <w:szCs w:val="32"/>
          <w:lang w:val="en-US" w:eastAsia="zh-CN"/>
        </w:rPr>
        <w:t>7.69</w:t>
      </w:r>
      <w:r>
        <w:rPr>
          <w:rFonts w:hint="eastAsia" w:ascii="仿宋" w:eastAsia="仿宋"/>
          <w:color w:val="000000"/>
          <w:sz w:val="32"/>
          <w:szCs w:val="32"/>
        </w:rPr>
        <w:t>万元，占</w:t>
      </w:r>
      <w:r>
        <w:rPr>
          <w:rFonts w:hint="eastAsia" w:ascii="仿宋" w:eastAsia="仿宋"/>
          <w:color w:val="000000"/>
          <w:sz w:val="32"/>
          <w:szCs w:val="32"/>
          <w:lang w:val="en-US" w:eastAsia="zh-CN"/>
        </w:rPr>
        <w:t>3.92</w:t>
      </w:r>
      <w:r>
        <w:rPr>
          <w:rFonts w:hint="eastAsia" w:ascii="仿宋" w:eastAsia="仿宋"/>
          <w:color w:val="000000"/>
          <w:sz w:val="32"/>
          <w:szCs w:val="32"/>
        </w:rPr>
        <w:t>%。</w:t>
      </w:r>
    </w:p>
    <w:p>
      <w:pPr>
        <w:pStyle w:val="2"/>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471170</wp:posOffset>
            </wp:positionH>
            <wp:positionV relativeFrom="paragraph">
              <wp:posOffset>127635</wp:posOffset>
            </wp:positionV>
            <wp:extent cx="4572000" cy="2341245"/>
            <wp:effectExtent l="4445" t="4445" r="14605" b="16510"/>
            <wp:wrapSquare wrapText="bothSides"/>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（2）收入支出全属</w:t>
      </w:r>
      <w:r>
        <w:rPr>
          <w:rFonts w:hint="eastAsia" w:ascii="仿宋_GB2312" w:hAnsi="仿宋" w:cs="Times New Roman"/>
          <w:bCs/>
          <w:sz w:val="32"/>
          <w:szCs w:val="32"/>
          <w:lang w:val="en-US" w:eastAsia="zh-CN"/>
        </w:rPr>
        <w:t>金川县供销合作社联合社</w:t>
      </w:r>
      <w:r>
        <w:rPr>
          <w:rFonts w:hint="eastAsia" w:ascii="仿宋_GB2312" w:hAnsi="仿宋" w:eastAsia="仿宋_GB2312" w:cs="Times New Roman"/>
          <w:bCs/>
          <w:sz w:val="32"/>
          <w:szCs w:val="32"/>
          <w:lang w:val="zh-CN"/>
        </w:rPr>
        <w:t>。</w:t>
      </w:r>
    </w:p>
    <w:p>
      <w:pPr>
        <w:keepNext w:val="0"/>
        <w:keepLines w:val="0"/>
        <w:pageBreakBefore w:val="0"/>
        <w:kinsoku/>
        <w:wordWrap/>
        <w:overflowPunct/>
        <w:topLinePunct w:val="0"/>
        <w:autoSpaceDE/>
        <w:autoSpaceDN/>
        <w:bidi w:val="0"/>
        <w:adjustRightInd/>
        <w:snapToGrid w:val="0"/>
        <w:spacing w:line="560" w:lineRule="exact"/>
        <w:ind w:left="0" w:firstLine="643" w:firstLineChars="200"/>
        <w:textAlignment w:val="auto"/>
        <w:rPr>
          <w:rFonts w:hint="eastAsia" w:ascii="仿宋_GB2312" w:hAnsi="仿宋" w:eastAsia="仿宋_GB2312"/>
          <w:b/>
          <w:sz w:val="32"/>
          <w:szCs w:val="32"/>
        </w:rPr>
      </w:pPr>
      <w:r>
        <w:rPr>
          <w:rFonts w:hint="eastAsia" w:ascii="仿宋_GB2312" w:hAnsi="仿宋" w:eastAsia="仿宋_GB2312"/>
          <w:b/>
          <w:sz w:val="32"/>
          <w:szCs w:val="32"/>
        </w:rPr>
        <w:t>3．支出按经济分类科目分析</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（1）“三公”经费支出情况</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因公出国（境）费支出0元，较2020年0元对比，持平。</w:t>
      </w:r>
      <w:r>
        <w:rPr>
          <w:rFonts w:hint="eastAsia" w:ascii="仿宋_GB2312" w:hAnsi="仿宋" w:eastAsia="仿宋_GB2312" w:cs="Times New Roman"/>
          <w:bCs/>
          <w:sz w:val="32"/>
          <w:szCs w:val="32"/>
        </w:rPr>
        <w:t>2021年公务用车购置及运行维护费0万元,其中：</w:t>
      </w:r>
      <w:r>
        <w:rPr>
          <w:rFonts w:hint="eastAsia" w:ascii="仿宋_GB2312" w:hAnsi="仿宋" w:eastAsia="仿宋_GB2312" w:cs="Times New Roman"/>
          <w:bCs/>
          <w:sz w:val="32"/>
          <w:szCs w:val="32"/>
          <w:lang w:val="zh-CN"/>
        </w:rPr>
        <w:t>公务用车购置费支出0元，较2020年0元对比，持平；公务用车运行维护费支出0</w:t>
      </w:r>
      <w:r>
        <w:rPr>
          <w:rFonts w:hint="eastAsia" w:ascii="仿宋_GB2312" w:hAnsi="仿宋" w:eastAsia="仿宋_GB2312" w:cs="Times New Roman"/>
          <w:bCs/>
          <w:sz w:val="32"/>
          <w:szCs w:val="32"/>
        </w:rPr>
        <w:t>万</w:t>
      </w:r>
      <w:r>
        <w:rPr>
          <w:rFonts w:hint="eastAsia" w:ascii="仿宋_GB2312" w:hAnsi="仿宋" w:eastAsia="仿宋_GB2312" w:cs="Times New Roman"/>
          <w:bCs/>
          <w:sz w:val="32"/>
          <w:szCs w:val="32"/>
          <w:lang w:val="zh-CN"/>
        </w:rPr>
        <w:t>元</w:t>
      </w:r>
      <w:r>
        <w:rPr>
          <w:rFonts w:hint="eastAsia" w:ascii="仿宋_GB2312" w:hAnsi="仿宋" w:eastAsia="仿宋_GB2312" w:cs="Times New Roman"/>
          <w:bCs/>
          <w:sz w:val="32"/>
          <w:szCs w:val="32"/>
        </w:rPr>
        <w:t>，</w:t>
      </w:r>
      <w:r>
        <w:rPr>
          <w:rFonts w:hint="eastAsia" w:ascii="仿宋_GB2312" w:hAnsi="仿宋" w:eastAsia="仿宋_GB2312" w:cs="Times New Roman"/>
          <w:bCs/>
          <w:sz w:val="32"/>
          <w:szCs w:val="32"/>
          <w:lang w:val="zh-CN"/>
        </w:rPr>
        <w:t>较2020年0元对比，持平；公务接待费支出</w:t>
      </w:r>
      <w:r>
        <w:rPr>
          <w:rFonts w:hint="eastAsia" w:ascii="仿宋_GB2312" w:hAnsi="仿宋" w:eastAsia="仿宋_GB2312" w:cs="Times New Roman"/>
          <w:bCs/>
          <w:sz w:val="32"/>
          <w:szCs w:val="32"/>
        </w:rPr>
        <w:t>0万</w:t>
      </w:r>
      <w:r>
        <w:rPr>
          <w:rFonts w:hint="eastAsia" w:ascii="仿宋_GB2312" w:hAnsi="仿宋" w:eastAsia="仿宋_GB2312" w:cs="Times New Roman"/>
          <w:bCs/>
          <w:sz w:val="32"/>
          <w:szCs w:val="32"/>
          <w:lang w:val="zh-CN"/>
        </w:rPr>
        <w:t>元，较2020年0元对比，持平。</w:t>
      </w:r>
    </w:p>
    <w:tbl>
      <w:tblPr>
        <w:tblStyle w:val="14"/>
        <w:tblpPr w:leftFromText="180" w:rightFromText="180" w:vertAnchor="text" w:horzAnchor="page" w:tblpX="1904" w:tblpY="379"/>
        <w:tblOverlap w:val="never"/>
        <w:tblW w:w="8537" w:type="dxa"/>
        <w:tblInd w:w="0" w:type="dxa"/>
        <w:tblLayout w:type="fixed"/>
        <w:tblCellMar>
          <w:top w:w="0" w:type="dxa"/>
          <w:left w:w="108" w:type="dxa"/>
          <w:bottom w:w="0" w:type="dxa"/>
          <w:right w:w="108" w:type="dxa"/>
        </w:tblCellMar>
      </w:tblPr>
      <w:tblGrid>
        <w:gridCol w:w="3216"/>
        <w:gridCol w:w="1384"/>
        <w:gridCol w:w="1314"/>
        <w:gridCol w:w="1609"/>
        <w:gridCol w:w="1014"/>
      </w:tblGrid>
      <w:tr>
        <w:tblPrEx>
          <w:tblCellMar>
            <w:top w:w="0" w:type="dxa"/>
            <w:left w:w="108" w:type="dxa"/>
            <w:bottom w:w="0" w:type="dxa"/>
            <w:right w:w="108" w:type="dxa"/>
          </w:tblCellMar>
        </w:tblPrEx>
        <w:trPr>
          <w:trHeight w:val="1040" w:hRule="atLeast"/>
        </w:trPr>
        <w:tc>
          <w:tcPr>
            <w:tcW w:w="321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　</w:t>
            </w:r>
          </w:p>
        </w:tc>
        <w:tc>
          <w:tcPr>
            <w:tcW w:w="138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2021年</w:t>
            </w:r>
          </w:p>
        </w:tc>
        <w:tc>
          <w:tcPr>
            <w:tcW w:w="131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2020年</w:t>
            </w:r>
          </w:p>
        </w:tc>
        <w:tc>
          <w:tcPr>
            <w:tcW w:w="1609"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leftChars="0" w:firstLine="0" w:firstLineChars="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比上年增减</w:t>
            </w:r>
          </w:p>
        </w:tc>
        <w:tc>
          <w:tcPr>
            <w:tcW w:w="101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leftChars="0" w:firstLine="0" w:firstLineChars="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增减％</w:t>
            </w:r>
          </w:p>
        </w:tc>
      </w:tr>
      <w:tr>
        <w:tblPrEx>
          <w:tblCellMar>
            <w:top w:w="0" w:type="dxa"/>
            <w:left w:w="108" w:type="dxa"/>
            <w:bottom w:w="0" w:type="dxa"/>
            <w:right w:w="108" w:type="dxa"/>
          </w:tblCellMar>
        </w:tblPrEx>
        <w:trPr>
          <w:trHeight w:val="525" w:hRule="atLeast"/>
        </w:trPr>
        <w:tc>
          <w:tcPr>
            <w:tcW w:w="321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“三公”经费支出</w:t>
            </w:r>
          </w:p>
        </w:tc>
        <w:tc>
          <w:tcPr>
            <w:tcW w:w="13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tblPrEx>
          <w:tblCellMar>
            <w:top w:w="0" w:type="dxa"/>
            <w:left w:w="108" w:type="dxa"/>
            <w:bottom w:w="0" w:type="dxa"/>
            <w:right w:w="108" w:type="dxa"/>
          </w:tblCellMar>
        </w:tblPrEx>
        <w:trPr>
          <w:trHeight w:val="525" w:hRule="atLeast"/>
        </w:trPr>
        <w:tc>
          <w:tcPr>
            <w:tcW w:w="321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因公出国（境）费</w:t>
            </w:r>
          </w:p>
        </w:tc>
        <w:tc>
          <w:tcPr>
            <w:tcW w:w="13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tblPrEx>
          <w:tblCellMar>
            <w:top w:w="0" w:type="dxa"/>
            <w:left w:w="108" w:type="dxa"/>
            <w:bottom w:w="0" w:type="dxa"/>
            <w:right w:w="108" w:type="dxa"/>
          </w:tblCellMar>
        </w:tblPrEx>
        <w:trPr>
          <w:trHeight w:val="1040" w:hRule="atLeast"/>
        </w:trPr>
        <w:tc>
          <w:tcPr>
            <w:tcW w:w="321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公务用车购置及运行维护费</w:t>
            </w:r>
          </w:p>
        </w:tc>
        <w:tc>
          <w:tcPr>
            <w:tcW w:w="13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tblPrEx>
          <w:tblCellMar>
            <w:top w:w="0" w:type="dxa"/>
            <w:left w:w="108" w:type="dxa"/>
            <w:bottom w:w="0" w:type="dxa"/>
            <w:right w:w="108" w:type="dxa"/>
          </w:tblCellMar>
        </w:tblPrEx>
        <w:trPr>
          <w:trHeight w:val="994" w:hRule="atLeast"/>
        </w:trPr>
        <w:tc>
          <w:tcPr>
            <w:tcW w:w="321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其中：公务用车购置费</w:t>
            </w:r>
          </w:p>
        </w:tc>
        <w:tc>
          <w:tcPr>
            <w:tcW w:w="13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tblPrEx>
          <w:tblCellMar>
            <w:top w:w="0" w:type="dxa"/>
            <w:left w:w="108" w:type="dxa"/>
            <w:bottom w:w="0" w:type="dxa"/>
            <w:right w:w="108" w:type="dxa"/>
          </w:tblCellMar>
        </w:tblPrEx>
        <w:trPr>
          <w:trHeight w:val="994" w:hRule="atLeast"/>
        </w:trPr>
        <w:tc>
          <w:tcPr>
            <w:tcW w:w="321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公务用车运行维护费</w:t>
            </w:r>
          </w:p>
        </w:tc>
        <w:tc>
          <w:tcPr>
            <w:tcW w:w="13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r>
        <w:tblPrEx>
          <w:tblCellMar>
            <w:top w:w="0" w:type="dxa"/>
            <w:left w:w="108" w:type="dxa"/>
            <w:bottom w:w="0" w:type="dxa"/>
            <w:right w:w="108" w:type="dxa"/>
          </w:tblCellMar>
        </w:tblPrEx>
        <w:trPr>
          <w:trHeight w:val="534" w:hRule="atLeast"/>
        </w:trPr>
        <w:tc>
          <w:tcPr>
            <w:tcW w:w="3216"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lef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公务接待费</w:t>
            </w:r>
          </w:p>
        </w:tc>
        <w:tc>
          <w:tcPr>
            <w:tcW w:w="13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3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609"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c>
          <w:tcPr>
            <w:tcW w:w="101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pacing w:line="560" w:lineRule="exact"/>
              <w:ind w:left="0" w:firstLine="420" w:firstLineChars="200"/>
              <w:jc w:val="right"/>
              <w:textAlignment w:val="auto"/>
              <w:rPr>
                <w:rFonts w:ascii="仿宋_GB2312" w:hAnsi="宋体" w:eastAsia="仿宋_GB2312" w:cs="宋体"/>
                <w:color w:val="333333"/>
                <w:kern w:val="0"/>
                <w:sz w:val="21"/>
                <w:szCs w:val="21"/>
                <w:lang w:val="zh-CN"/>
              </w:rPr>
            </w:pPr>
            <w:r>
              <w:rPr>
                <w:rFonts w:hint="eastAsia" w:ascii="仿宋_GB2312" w:hAnsi="宋体" w:eastAsia="仿宋_GB2312" w:cs="宋体"/>
                <w:color w:val="333333"/>
                <w:kern w:val="0"/>
                <w:sz w:val="21"/>
                <w:szCs w:val="21"/>
                <w:lang w:val="zh-CN"/>
              </w:rPr>
              <w:t>0</w:t>
            </w:r>
          </w:p>
        </w:tc>
      </w:tr>
    </w:tbl>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（2）培训费支出情况</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2021年会议费支出0元，较2020年0元持平。</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（3）会议费支出情况</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2021年会议费支出0元，较2020年0元持平。</w:t>
      </w:r>
    </w:p>
    <w:p>
      <w:pPr>
        <w:keepNext w:val="0"/>
        <w:keepLines w:val="0"/>
        <w:pageBreakBefore w:val="0"/>
        <w:kinsoku/>
        <w:wordWrap/>
        <w:overflowPunct/>
        <w:topLinePunct w:val="0"/>
        <w:autoSpaceDE/>
        <w:autoSpaceDN/>
        <w:bidi w:val="0"/>
        <w:adjustRightInd/>
        <w:snapToGrid w:val="0"/>
        <w:spacing w:line="560" w:lineRule="exact"/>
        <w:ind w:left="0" w:firstLine="643" w:firstLineChars="200"/>
        <w:textAlignment w:val="auto"/>
        <w:rPr>
          <w:rFonts w:hint="eastAsia" w:ascii="仿宋_GB2312" w:hAnsi="仿宋" w:eastAsia="仿宋_GB2312"/>
          <w:b/>
          <w:sz w:val="32"/>
          <w:szCs w:val="32"/>
        </w:rPr>
      </w:pPr>
      <w:r>
        <w:rPr>
          <w:rFonts w:hint="eastAsia" w:ascii="仿宋_GB2312" w:hAnsi="仿宋" w:eastAsia="仿宋_GB2312"/>
          <w:b/>
          <w:sz w:val="32"/>
          <w:szCs w:val="32"/>
        </w:rPr>
        <w:t>4.财政拨款收入、支出分析</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2021年总收入</w:t>
      </w:r>
      <w:r>
        <w:rPr>
          <w:rFonts w:hint="eastAsia" w:ascii="仿宋" w:eastAsia="仿宋"/>
          <w:color w:val="000000"/>
          <w:sz w:val="32"/>
          <w:szCs w:val="32"/>
          <w:lang w:val="en-US" w:eastAsia="zh-CN"/>
        </w:rPr>
        <w:t>177.29</w:t>
      </w:r>
      <w:r>
        <w:rPr>
          <w:rFonts w:hint="eastAsia" w:ascii="仿宋_GB2312" w:hAnsi="仿宋" w:eastAsia="仿宋_GB2312" w:cs="Times New Roman"/>
          <w:bCs/>
          <w:sz w:val="32"/>
          <w:szCs w:val="32"/>
          <w:lang w:val="zh-CN"/>
        </w:rPr>
        <w:t>万元。其中：政府性基金预算财政拨款0万元。</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rPr>
      </w:pPr>
      <w:r>
        <w:rPr>
          <w:rFonts w:hint="eastAsia" w:ascii="仿宋_GB2312" w:hAnsi="仿宋" w:eastAsia="仿宋_GB2312" w:cs="Times New Roman"/>
          <w:bCs/>
          <w:sz w:val="32"/>
          <w:szCs w:val="32"/>
          <w:lang w:val="zh-CN"/>
        </w:rPr>
        <w:t>2021年总支出</w:t>
      </w:r>
      <w:r>
        <w:rPr>
          <w:rFonts w:hint="eastAsia" w:ascii="仿宋" w:eastAsia="仿宋"/>
          <w:color w:val="000000"/>
          <w:sz w:val="32"/>
          <w:szCs w:val="32"/>
          <w:lang w:val="en-US" w:eastAsia="zh-CN"/>
        </w:rPr>
        <w:t>196.29</w:t>
      </w:r>
      <w:r>
        <w:rPr>
          <w:rFonts w:hint="eastAsia" w:ascii="仿宋_GB2312" w:hAnsi="仿宋" w:eastAsia="仿宋_GB2312" w:cs="Times New Roman"/>
          <w:bCs/>
          <w:sz w:val="32"/>
          <w:szCs w:val="32"/>
        </w:rPr>
        <w:t>万元，占本年支出合计的100%。</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主要用于以下方面:基本支出</w:t>
      </w:r>
      <w:r>
        <w:rPr>
          <w:rFonts w:hint="eastAsia" w:ascii="仿宋" w:eastAsia="仿宋"/>
          <w:color w:val="000000"/>
          <w:sz w:val="32"/>
          <w:szCs w:val="32"/>
          <w:lang w:val="en-US" w:eastAsia="zh-CN"/>
        </w:rPr>
        <w:t>148.29</w:t>
      </w:r>
      <w:r>
        <w:rPr>
          <w:rFonts w:hint="eastAsia" w:ascii="仿宋_GB2312" w:hAnsi="仿宋" w:eastAsia="仿宋_GB2312" w:cs="Times New Roman"/>
          <w:bCs/>
          <w:sz w:val="32"/>
          <w:szCs w:val="32"/>
        </w:rPr>
        <w:t>万元，其中：</w:t>
      </w:r>
    </w:p>
    <w:p>
      <w:pPr>
        <w:spacing w:line="600" w:lineRule="exact"/>
        <w:ind w:firstLine="640"/>
        <w:rPr>
          <w:rFonts w:hint="eastAsia" w:ascii="仿宋" w:eastAsia="仿宋"/>
          <w:color w:val="000000"/>
          <w:sz w:val="32"/>
          <w:szCs w:val="32"/>
        </w:rPr>
      </w:pPr>
      <w:r>
        <w:rPr>
          <w:rFonts w:hint="eastAsia" w:ascii="仿宋" w:eastAsia="仿宋"/>
          <w:color w:val="000000"/>
          <w:sz w:val="32"/>
          <w:szCs w:val="32"/>
        </w:rPr>
        <w:t>人员经费</w:t>
      </w:r>
      <w:r>
        <w:rPr>
          <w:rFonts w:hint="eastAsia" w:ascii="仿宋" w:eastAsia="仿宋"/>
          <w:color w:val="000000"/>
          <w:sz w:val="32"/>
          <w:szCs w:val="32"/>
          <w:lang w:val="en-US" w:eastAsia="zh-CN"/>
        </w:rPr>
        <w:t>135.34</w:t>
      </w:r>
      <w:r>
        <w:rPr>
          <w:rFonts w:hint="eastAsia" w:ascii="仿宋" w:eastAsia="仿宋"/>
          <w:color w:val="000000"/>
          <w:sz w:val="32"/>
          <w:szCs w:val="32"/>
        </w:rPr>
        <w:t>万元，主要包括：基本工资</w:t>
      </w:r>
      <w:bookmarkStart w:id="52" w:name="OLE_LINK1"/>
      <w:r>
        <w:rPr>
          <w:rFonts w:hint="eastAsia" w:ascii="仿宋" w:eastAsia="仿宋"/>
          <w:color w:val="000000"/>
          <w:sz w:val="32"/>
          <w:szCs w:val="32"/>
          <w:lang w:val="en-US" w:eastAsia="zh-CN"/>
        </w:rPr>
        <w:t>21.91</w:t>
      </w:r>
      <w:bookmarkEnd w:id="52"/>
      <w:r>
        <w:rPr>
          <w:rFonts w:hint="eastAsia" w:ascii="仿宋" w:eastAsia="仿宋"/>
          <w:color w:val="000000"/>
          <w:sz w:val="32"/>
          <w:szCs w:val="32"/>
        </w:rPr>
        <w:t>万元、津贴补贴</w:t>
      </w:r>
      <w:r>
        <w:rPr>
          <w:rFonts w:hint="eastAsia" w:ascii="仿宋" w:eastAsia="仿宋"/>
          <w:color w:val="000000"/>
          <w:sz w:val="32"/>
          <w:szCs w:val="32"/>
          <w:lang w:val="en-US" w:eastAsia="zh-CN"/>
        </w:rPr>
        <w:t>25.62</w:t>
      </w:r>
      <w:r>
        <w:rPr>
          <w:rFonts w:hint="eastAsia" w:ascii="仿宋" w:eastAsia="仿宋"/>
          <w:color w:val="000000"/>
          <w:sz w:val="32"/>
          <w:szCs w:val="32"/>
        </w:rPr>
        <w:t>万元、奖金</w:t>
      </w:r>
      <w:r>
        <w:rPr>
          <w:rFonts w:hint="eastAsia" w:ascii="仿宋" w:eastAsia="仿宋"/>
          <w:color w:val="000000"/>
          <w:sz w:val="32"/>
          <w:szCs w:val="32"/>
          <w:lang w:val="en-US" w:eastAsia="zh-CN"/>
        </w:rPr>
        <w:t>2.12</w:t>
      </w:r>
      <w:r>
        <w:rPr>
          <w:rFonts w:hint="eastAsia" w:ascii="仿宋" w:eastAsia="仿宋"/>
          <w:color w:val="000000"/>
          <w:sz w:val="32"/>
          <w:szCs w:val="32"/>
        </w:rPr>
        <w:t>万元、机关事业单位基本养老保险缴费</w:t>
      </w:r>
      <w:r>
        <w:rPr>
          <w:rFonts w:hint="eastAsia" w:ascii="仿宋" w:eastAsia="仿宋"/>
          <w:color w:val="000000"/>
          <w:sz w:val="32"/>
          <w:szCs w:val="32"/>
          <w:lang w:val="en-US" w:eastAsia="zh-CN"/>
        </w:rPr>
        <w:t>7.79</w:t>
      </w:r>
      <w:r>
        <w:rPr>
          <w:rFonts w:hint="eastAsia" w:ascii="仿宋" w:eastAsia="仿宋"/>
          <w:color w:val="000000"/>
          <w:sz w:val="32"/>
          <w:szCs w:val="32"/>
        </w:rPr>
        <w:t>万元、职业年金缴费</w:t>
      </w:r>
      <w:r>
        <w:rPr>
          <w:rFonts w:hint="eastAsia" w:ascii="仿宋" w:eastAsia="仿宋"/>
          <w:color w:val="000000"/>
          <w:sz w:val="32"/>
          <w:szCs w:val="32"/>
          <w:lang w:val="en-US" w:eastAsia="zh-CN"/>
        </w:rPr>
        <w:t>3.9</w:t>
      </w:r>
      <w:r>
        <w:rPr>
          <w:rFonts w:hint="eastAsia" w:ascii="仿宋" w:eastAsia="仿宋"/>
          <w:color w:val="000000"/>
          <w:sz w:val="32"/>
          <w:szCs w:val="32"/>
        </w:rPr>
        <w:t>万元、职工基本医疗保险缴费</w:t>
      </w:r>
      <w:r>
        <w:rPr>
          <w:rFonts w:hint="eastAsia" w:ascii="仿宋" w:eastAsia="仿宋"/>
          <w:color w:val="000000"/>
          <w:sz w:val="32"/>
          <w:szCs w:val="32"/>
          <w:lang w:val="en-US" w:eastAsia="zh-CN"/>
        </w:rPr>
        <w:t>3.63</w:t>
      </w:r>
      <w:r>
        <w:rPr>
          <w:rFonts w:hint="eastAsia" w:ascii="仿宋" w:eastAsia="仿宋"/>
          <w:color w:val="000000"/>
          <w:sz w:val="32"/>
          <w:szCs w:val="32"/>
        </w:rPr>
        <w:t>万元、公务员医疗补助缴费</w:t>
      </w:r>
      <w:r>
        <w:rPr>
          <w:rFonts w:hint="eastAsia" w:ascii="仿宋" w:eastAsia="仿宋"/>
          <w:color w:val="000000"/>
          <w:sz w:val="32"/>
          <w:szCs w:val="32"/>
          <w:lang w:val="en-US" w:eastAsia="zh-CN"/>
        </w:rPr>
        <w:t>3.29</w:t>
      </w:r>
      <w:r>
        <w:rPr>
          <w:rFonts w:hint="eastAsia" w:ascii="仿宋" w:eastAsia="仿宋"/>
          <w:color w:val="000000"/>
          <w:sz w:val="32"/>
          <w:szCs w:val="32"/>
        </w:rPr>
        <w:t>万元、其他社会保障缴费</w:t>
      </w:r>
      <w:r>
        <w:rPr>
          <w:rFonts w:hint="eastAsia" w:ascii="仿宋" w:eastAsia="仿宋"/>
          <w:color w:val="000000"/>
          <w:sz w:val="32"/>
          <w:szCs w:val="32"/>
          <w:lang w:val="en-US" w:eastAsia="zh-CN"/>
        </w:rPr>
        <w:t>0.52</w:t>
      </w:r>
      <w:r>
        <w:rPr>
          <w:rFonts w:hint="eastAsia" w:ascii="仿宋" w:eastAsia="仿宋"/>
          <w:color w:val="000000"/>
          <w:sz w:val="32"/>
          <w:szCs w:val="32"/>
        </w:rPr>
        <w:t>万元、住房公积金</w:t>
      </w:r>
      <w:r>
        <w:rPr>
          <w:rFonts w:hint="eastAsia" w:ascii="仿宋" w:eastAsia="仿宋"/>
          <w:color w:val="000000"/>
          <w:sz w:val="32"/>
          <w:szCs w:val="32"/>
          <w:lang w:val="en-US" w:eastAsia="zh-CN"/>
        </w:rPr>
        <w:t>7.69</w:t>
      </w:r>
      <w:r>
        <w:rPr>
          <w:rFonts w:hint="eastAsia" w:ascii="仿宋" w:eastAsia="仿宋"/>
          <w:color w:val="000000"/>
          <w:sz w:val="32"/>
          <w:szCs w:val="32"/>
        </w:rPr>
        <w:t>万元、生活补助</w:t>
      </w:r>
      <w:r>
        <w:rPr>
          <w:rFonts w:hint="eastAsia" w:ascii="仿宋" w:eastAsia="仿宋"/>
          <w:color w:val="000000"/>
          <w:sz w:val="32"/>
          <w:szCs w:val="32"/>
          <w:lang w:val="en-US" w:eastAsia="zh-CN"/>
        </w:rPr>
        <w:t>16.31</w:t>
      </w:r>
      <w:r>
        <w:rPr>
          <w:rFonts w:hint="eastAsia" w:ascii="仿宋" w:eastAsia="仿宋"/>
          <w:color w:val="000000"/>
          <w:sz w:val="32"/>
          <w:szCs w:val="32"/>
        </w:rPr>
        <w:t>万元、抚恤金</w:t>
      </w:r>
      <w:r>
        <w:rPr>
          <w:rFonts w:hint="eastAsia" w:ascii="仿宋" w:eastAsia="仿宋"/>
          <w:color w:val="000000"/>
          <w:sz w:val="32"/>
          <w:szCs w:val="32"/>
          <w:lang w:val="en-US" w:eastAsia="zh-CN"/>
        </w:rPr>
        <w:t>6.05</w:t>
      </w:r>
      <w:r>
        <w:rPr>
          <w:rFonts w:hint="eastAsia" w:ascii="仿宋" w:eastAsia="仿宋"/>
          <w:color w:val="000000"/>
          <w:sz w:val="32"/>
          <w:szCs w:val="32"/>
        </w:rPr>
        <w:t>万元、奖励金</w:t>
      </w:r>
      <w:r>
        <w:rPr>
          <w:rFonts w:hint="eastAsia" w:ascii="仿宋" w:eastAsia="仿宋"/>
          <w:color w:val="000000"/>
          <w:sz w:val="32"/>
          <w:szCs w:val="32"/>
          <w:lang w:val="en-US" w:eastAsia="zh-CN"/>
        </w:rPr>
        <w:t>36.51</w:t>
      </w:r>
      <w:r>
        <w:rPr>
          <w:rFonts w:hint="eastAsia" w:ascii="仿宋" w:eastAsia="仿宋"/>
          <w:color w:val="000000"/>
          <w:sz w:val="32"/>
          <w:szCs w:val="32"/>
        </w:rPr>
        <w:t>万元。</w:t>
      </w:r>
    </w:p>
    <w:p>
      <w:pPr>
        <w:spacing w:line="600" w:lineRule="exact"/>
        <w:ind w:left="0" w:leftChars="0" w:firstLine="0" w:firstLineChars="0"/>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60288" behindDoc="0" locked="0" layoutInCell="1" allowOverlap="1">
            <wp:simplePos x="0" y="0"/>
            <wp:positionH relativeFrom="column">
              <wp:posOffset>167640</wp:posOffset>
            </wp:positionH>
            <wp:positionV relativeFrom="paragraph">
              <wp:posOffset>271780</wp:posOffset>
            </wp:positionV>
            <wp:extent cx="4868545" cy="3502025"/>
            <wp:effectExtent l="4445" t="4445" r="22860" b="1778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spacing w:line="600" w:lineRule="exact"/>
        <w:ind w:firstLine="640"/>
        <w:rPr>
          <w:rFonts w:hint="eastAsia" w:ascii="仿宋" w:eastAsia="仿宋"/>
          <w:color w:val="000000"/>
          <w:sz w:val="32"/>
          <w:szCs w:val="32"/>
        </w:rPr>
      </w:pPr>
      <w:r>
        <w:rPr>
          <w:rFonts w:hint="eastAsia" w:ascii="仿宋" w:eastAsia="仿宋"/>
          <w:color w:val="000000"/>
          <w:sz w:val="32"/>
          <w:szCs w:val="32"/>
        </w:rPr>
        <w:t>公用经费</w:t>
      </w:r>
      <w:r>
        <w:rPr>
          <w:rFonts w:hint="eastAsia" w:ascii="仿宋" w:eastAsia="仿宋"/>
          <w:color w:val="000000"/>
          <w:sz w:val="32"/>
          <w:szCs w:val="32"/>
          <w:lang w:val="en-US" w:eastAsia="zh-CN"/>
        </w:rPr>
        <w:t>12.96</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6.03</w:t>
      </w:r>
      <w:r>
        <w:rPr>
          <w:rFonts w:hint="eastAsia" w:ascii="仿宋" w:eastAsia="仿宋"/>
          <w:color w:val="000000"/>
          <w:sz w:val="32"/>
          <w:szCs w:val="32"/>
        </w:rPr>
        <w:t>万元、水费0.1万元、电费0.2万元、邮电费0.65万元、差旅费</w:t>
      </w:r>
      <w:r>
        <w:rPr>
          <w:rFonts w:hint="eastAsia" w:ascii="仿宋" w:eastAsia="仿宋"/>
          <w:color w:val="000000"/>
          <w:sz w:val="32"/>
          <w:szCs w:val="32"/>
          <w:lang w:val="en-US" w:eastAsia="zh-CN"/>
        </w:rPr>
        <w:t>2.99</w:t>
      </w:r>
      <w:r>
        <w:rPr>
          <w:rFonts w:hint="eastAsia" w:ascii="仿宋" w:eastAsia="仿宋"/>
          <w:color w:val="000000"/>
          <w:sz w:val="32"/>
          <w:szCs w:val="32"/>
        </w:rPr>
        <w:t>万元、</w:t>
      </w:r>
      <w:r>
        <w:rPr>
          <w:rFonts w:hint="eastAsia" w:ascii="仿宋" w:eastAsia="仿宋"/>
          <w:color w:val="000000"/>
          <w:sz w:val="32"/>
          <w:szCs w:val="32"/>
          <w:lang w:eastAsia="zh-CN"/>
        </w:rPr>
        <w:t>劳务费</w:t>
      </w:r>
      <w:r>
        <w:rPr>
          <w:rFonts w:hint="eastAsia" w:ascii="仿宋" w:eastAsia="仿宋"/>
          <w:color w:val="000000"/>
          <w:sz w:val="32"/>
          <w:szCs w:val="32"/>
          <w:lang w:val="en-US" w:eastAsia="zh-CN"/>
        </w:rPr>
        <w:t>0.2、</w:t>
      </w:r>
      <w:r>
        <w:rPr>
          <w:rFonts w:hint="eastAsia" w:ascii="仿宋" w:eastAsia="仿宋"/>
          <w:color w:val="000000"/>
          <w:sz w:val="32"/>
          <w:szCs w:val="32"/>
        </w:rPr>
        <w:t>其他交通费用</w:t>
      </w:r>
      <w:r>
        <w:rPr>
          <w:rFonts w:hint="eastAsia" w:ascii="仿宋" w:eastAsia="仿宋"/>
          <w:color w:val="000000"/>
          <w:sz w:val="32"/>
          <w:szCs w:val="32"/>
          <w:lang w:val="en-US" w:eastAsia="zh-CN"/>
        </w:rPr>
        <w:t>2.79</w:t>
      </w:r>
      <w:r>
        <w:rPr>
          <w:rFonts w:hint="eastAsia" w:ascii="仿宋" w:eastAsia="仿宋"/>
          <w:color w:val="000000"/>
          <w:sz w:val="32"/>
          <w:szCs w:val="32"/>
        </w:rPr>
        <w:t>万元。</w:t>
      </w:r>
    </w:p>
    <w:p>
      <w:pPr>
        <w:pStyle w:val="2"/>
      </w:pPr>
      <w:r>
        <w:rPr>
          <w:rFonts w:hint="eastAsia" w:ascii="仿宋" w:eastAsia="仿宋"/>
          <w:color w:val="000000"/>
          <w:sz w:val="32"/>
          <w:szCs w:val="32"/>
          <w:lang w:eastAsia="zh-CN"/>
        </w:rPr>
        <w:drawing>
          <wp:anchor distT="0" distB="0" distL="114300" distR="114300" simplePos="0" relativeHeight="251663360" behindDoc="0" locked="0" layoutInCell="1" allowOverlap="1">
            <wp:simplePos x="0" y="0"/>
            <wp:positionH relativeFrom="column">
              <wp:posOffset>375285</wp:posOffset>
            </wp:positionH>
            <wp:positionV relativeFrom="paragraph">
              <wp:posOffset>198120</wp:posOffset>
            </wp:positionV>
            <wp:extent cx="4868545" cy="3502025"/>
            <wp:effectExtent l="4445" t="4445" r="22860" b="1778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bidi w:val="0"/>
        <w:spacing w:line="560" w:lineRule="exact"/>
        <w:ind w:left="0" w:leftChars="0" w:firstLine="0" w:firstLineChars="0"/>
        <w:textAlignment w:val="auto"/>
        <w:rPr>
          <w:rFonts w:hint="eastAsia" w:ascii="仿宋_GB2312" w:eastAsia="仿宋_GB2312"/>
          <w:sz w:val="32"/>
          <w:szCs w:val="32"/>
        </w:rPr>
      </w:pPr>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hAnsi="仿宋" w:eastAsia="仿宋_GB2312" w:cs="Times New Roman"/>
          <w:bCs/>
          <w:sz w:val="32"/>
          <w:szCs w:val="32"/>
        </w:rPr>
      </w:pPr>
      <w:r>
        <w:rPr>
          <w:rFonts w:hint="eastAsia" w:ascii="仿宋_GB2312" w:eastAsia="仿宋_GB2312"/>
          <w:sz w:val="32"/>
          <w:szCs w:val="32"/>
        </w:rPr>
        <w:t>项目支出</w:t>
      </w:r>
      <w:r>
        <w:rPr>
          <w:rFonts w:hint="eastAsia" w:ascii="仿宋_GB2312"/>
          <w:sz w:val="32"/>
          <w:szCs w:val="32"/>
          <w:lang w:val="en-US" w:eastAsia="zh-CN"/>
        </w:rPr>
        <w:t>48</w:t>
      </w:r>
      <w:r>
        <w:rPr>
          <w:rFonts w:hint="eastAsia" w:ascii="仿宋_GB2312" w:eastAsia="仿宋_GB2312"/>
          <w:sz w:val="32"/>
          <w:szCs w:val="32"/>
        </w:rPr>
        <w:t>万元</w:t>
      </w:r>
      <w:r>
        <w:rPr>
          <w:rFonts w:hint="eastAsia" w:ascii="仿宋_GB2312"/>
          <w:sz w:val="32"/>
          <w:szCs w:val="32"/>
          <w:lang w:eastAsia="zh-CN"/>
        </w:rPr>
        <w:t>，</w:t>
      </w:r>
      <w:r>
        <w:rPr>
          <w:rFonts w:hint="eastAsia" w:ascii="仿宋_GB2312"/>
          <w:sz w:val="32"/>
          <w:szCs w:val="32"/>
          <w:lang w:val="en-US" w:eastAsia="zh-CN"/>
        </w:rPr>
        <w:t>主要包括：农村农业发展支出38万元，其他商业流通事务支出10万元</w:t>
      </w:r>
      <w:r>
        <w:rPr>
          <w:rFonts w:hint="eastAsia" w:ascii="仿宋_GB2312" w:eastAsia="仿宋_GB2312"/>
          <w:sz w:val="32"/>
          <w:szCs w:val="32"/>
        </w:rPr>
        <w:t>。</w:t>
      </w:r>
    </w:p>
    <w:p>
      <w:pPr>
        <w:keepNext w:val="0"/>
        <w:keepLines w:val="0"/>
        <w:pageBreakBefore w:val="0"/>
        <w:kinsoku/>
        <w:wordWrap/>
        <w:overflowPunct/>
        <w:topLinePunct w:val="0"/>
        <w:autoSpaceDE/>
        <w:autoSpaceDN/>
        <w:bidi w:val="0"/>
        <w:adjustRightInd/>
        <w:snapToGrid w:val="0"/>
        <w:spacing w:line="560" w:lineRule="exact"/>
        <w:ind w:left="0" w:firstLine="643" w:firstLineChars="200"/>
        <w:textAlignment w:val="auto"/>
        <w:rPr>
          <w:rFonts w:ascii="楷体_GB2312" w:hAnsi="仿宋" w:eastAsia="楷体_GB2312"/>
          <w:b/>
          <w:sz w:val="32"/>
          <w:szCs w:val="32"/>
        </w:rPr>
      </w:pPr>
      <w:r>
        <w:rPr>
          <w:rFonts w:hint="eastAsia" w:ascii="楷体_GB2312" w:hAnsi="仿宋" w:eastAsia="楷体_GB2312"/>
          <w:b/>
          <w:sz w:val="32"/>
          <w:szCs w:val="32"/>
        </w:rPr>
        <w:t>（三）年末结转和结余情况</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2021年末结转0万元，其中基本基础结转0元，项目支出结转0万元。</w:t>
      </w:r>
    </w:p>
    <w:p>
      <w:pPr>
        <w:keepNext w:val="0"/>
        <w:keepLines w:val="0"/>
        <w:pageBreakBefore w:val="0"/>
        <w:kinsoku/>
        <w:wordWrap/>
        <w:overflowPunct/>
        <w:topLinePunct w:val="0"/>
        <w:autoSpaceDE/>
        <w:autoSpaceDN/>
        <w:bidi w:val="0"/>
        <w:adjustRightInd/>
        <w:snapToGrid w:val="0"/>
        <w:spacing w:line="560" w:lineRule="exact"/>
        <w:ind w:left="0" w:firstLine="643" w:firstLineChars="200"/>
        <w:textAlignment w:val="auto"/>
        <w:rPr>
          <w:rFonts w:hint="eastAsia"/>
          <w:lang w:val="en-US" w:eastAsia="zh-CN"/>
        </w:rPr>
      </w:pPr>
      <w:r>
        <w:rPr>
          <w:rFonts w:hint="eastAsia" w:ascii="楷体_GB2312" w:hAnsi="仿宋" w:eastAsia="楷体_GB2312"/>
          <w:b/>
          <w:sz w:val="32"/>
          <w:szCs w:val="32"/>
        </w:rPr>
        <w:t>（四）绩效目标完成情况</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cs="Times New Roman"/>
          <w:bCs/>
          <w:sz w:val="32"/>
          <w:szCs w:val="32"/>
          <w:lang w:val="en-US" w:eastAsia="zh-CN"/>
        </w:rPr>
        <w:t>1</w:t>
      </w:r>
      <w:r>
        <w:rPr>
          <w:rFonts w:hint="eastAsia" w:ascii="仿宋_GB2312" w:hAnsi="仿宋" w:eastAsia="仿宋_GB2312" w:cs="Times New Roman"/>
          <w:bCs/>
          <w:sz w:val="32"/>
          <w:szCs w:val="32"/>
          <w:lang w:val="zh-CN"/>
        </w:rPr>
        <w:t>.按照预算绩效管理要求，本</w:t>
      </w:r>
      <w:r>
        <w:rPr>
          <w:rFonts w:hint="eastAsia" w:ascii="仿宋_GB2312" w:hAnsi="仿宋" w:cs="Times New Roman"/>
          <w:bCs/>
          <w:sz w:val="32"/>
          <w:szCs w:val="32"/>
          <w:lang w:val="en-US" w:eastAsia="zh-CN"/>
        </w:rPr>
        <w:t>单位</w:t>
      </w:r>
      <w:r>
        <w:rPr>
          <w:rFonts w:hint="eastAsia" w:ascii="仿宋_GB2312" w:hAnsi="仿宋" w:eastAsia="仿宋_GB2312" w:cs="Times New Roman"/>
          <w:bCs/>
          <w:sz w:val="32"/>
          <w:szCs w:val="32"/>
          <w:lang w:val="zh-CN"/>
        </w:rPr>
        <w:t>对2021年一般公共预算项目支出开展了绩效目标管理，</w:t>
      </w:r>
      <w:r>
        <w:rPr>
          <w:rFonts w:hint="eastAsia" w:ascii="仿宋_GB2312" w:hAnsi="仿宋" w:eastAsia="仿宋_GB2312" w:cs="Times New Roman"/>
          <w:bCs/>
          <w:sz w:val="32"/>
          <w:szCs w:val="32"/>
        </w:rPr>
        <w:t>正常完成</w:t>
      </w:r>
      <w:r>
        <w:rPr>
          <w:rFonts w:hint="eastAsia" w:ascii="仿宋_GB2312" w:hAnsi="仿宋" w:eastAsia="仿宋_GB2312" w:cs="Times New Roman"/>
          <w:bCs/>
          <w:sz w:val="32"/>
          <w:szCs w:val="32"/>
          <w:lang w:val="zh-CN"/>
        </w:rPr>
        <w:t>绩效目标</w:t>
      </w:r>
      <w:r>
        <w:rPr>
          <w:rFonts w:hint="eastAsia" w:ascii="仿宋_GB2312" w:hAnsi="仿宋" w:cs="Times New Roman"/>
          <w:bCs/>
          <w:sz w:val="32"/>
          <w:szCs w:val="32"/>
          <w:lang w:val="zh-CN"/>
        </w:rPr>
        <w:t>。</w:t>
      </w:r>
      <w:r>
        <w:rPr>
          <w:rFonts w:hint="eastAsia" w:ascii="仿宋" w:hAnsi="仿宋" w:eastAsia="仿宋" w:cs="仿宋"/>
          <w:sz w:val="32"/>
          <w:szCs w:val="32"/>
        </w:rPr>
        <w:t>绩效目标制定，做到了要素的完整，以及指标细化、量化。202</w:t>
      </w:r>
      <w:r>
        <w:rPr>
          <w:rFonts w:hint="eastAsia" w:ascii="仿宋" w:hAnsi="仿宋" w:eastAsia="仿宋" w:cs="仿宋"/>
          <w:sz w:val="32"/>
          <w:szCs w:val="32"/>
          <w:lang w:val="en-US" w:eastAsia="zh-CN"/>
        </w:rPr>
        <w:t>1</w:t>
      </w:r>
      <w:r>
        <w:rPr>
          <w:rFonts w:hint="eastAsia" w:ascii="仿宋" w:hAnsi="仿宋" w:eastAsia="仿宋" w:cs="仿宋"/>
          <w:sz w:val="32"/>
          <w:szCs w:val="32"/>
        </w:rPr>
        <w:t>年</w:t>
      </w:r>
      <w:r>
        <w:rPr>
          <w:rFonts w:hint="eastAsia" w:ascii="仿宋" w:hAnsi="仿宋" w:eastAsia="仿宋" w:cs="仿宋"/>
          <w:sz w:val="32"/>
          <w:szCs w:val="32"/>
          <w:lang w:val="zh-CN"/>
        </w:rPr>
        <w:t>年初预算科学准确，实际完成情况与预期绩效目标基本一致，部门公务经费支出与年初预算基本一致。单位预算内支出进度达标</w:t>
      </w:r>
      <w:r>
        <w:rPr>
          <w:rFonts w:hint="eastAsia" w:ascii="仿宋" w:hAnsi="仿宋" w:eastAsia="仿宋" w:cs="仿宋"/>
          <w:sz w:val="32"/>
          <w:szCs w:val="32"/>
        </w:rPr>
        <w:t>，年底预算情况全部完成。部门决算、绩效目标、及年末结余结转严格按照县财政局的要求严格完成，无违规记录。</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_GB2312" w:hAnsi="仿宋" w:eastAsia="仿宋_GB2312" w:cs="Times New Roman"/>
          <w:bCs/>
          <w:sz w:val="32"/>
          <w:szCs w:val="32"/>
          <w:lang w:val="zh-CN"/>
        </w:rPr>
      </w:pPr>
      <w:r>
        <w:rPr>
          <w:rFonts w:hint="eastAsia" w:ascii="仿宋_GB2312" w:hAnsi="仿宋" w:eastAsia="仿宋_GB2312" w:cs="Times New Roman"/>
          <w:bCs/>
          <w:sz w:val="32"/>
          <w:szCs w:val="32"/>
          <w:lang w:val="zh-CN"/>
        </w:rPr>
        <w:t>2.部门整体支出绩效自评开展情况。</w:t>
      </w:r>
    </w:p>
    <w:p>
      <w:pPr>
        <w:widowControl/>
        <w:adjustRightInd w:val="0"/>
        <w:snapToGrid w:val="0"/>
        <w:spacing w:line="580" w:lineRule="exact"/>
        <w:ind w:firstLine="960" w:firstLineChars="300"/>
        <w:contextualSpacing/>
        <w:jc w:val="left"/>
        <w:rPr>
          <w:rFonts w:hint="eastAsia" w:ascii="仿宋_GB2312" w:eastAsia="仿宋_GB2312"/>
          <w:sz w:val="32"/>
          <w:szCs w:val="32"/>
          <w:lang w:val="en-US" w:eastAsia="zh-CN"/>
        </w:rPr>
      </w:pPr>
      <w:r>
        <w:rPr>
          <w:rFonts w:hint="eastAsia" w:ascii="仿宋_GB2312" w:hAnsi="仿宋" w:eastAsia="仿宋_GB2312" w:cs="Times New Roman"/>
          <w:bCs/>
          <w:sz w:val="32"/>
          <w:szCs w:val="32"/>
          <w:lang w:val="zh-CN"/>
        </w:rPr>
        <w:t>按照预算绩效管理要求，</w:t>
      </w:r>
      <w:r>
        <w:rPr>
          <w:rFonts w:hint="eastAsia" w:ascii="仿宋_GB2312" w:hAnsi="仿宋" w:cs="Times New Roman"/>
          <w:bCs/>
          <w:sz w:val="32"/>
          <w:szCs w:val="32"/>
          <w:lang w:val="en-US" w:eastAsia="zh-CN"/>
        </w:rPr>
        <w:t>本单位</w:t>
      </w:r>
      <w:r>
        <w:rPr>
          <w:rFonts w:hint="eastAsia" w:ascii="仿宋_GB2312" w:hAnsi="仿宋" w:eastAsia="仿宋_GB2312" w:cs="Times New Roman"/>
          <w:bCs/>
          <w:sz w:val="32"/>
          <w:szCs w:val="32"/>
          <w:lang w:val="zh-CN"/>
        </w:rPr>
        <w:t>对2021年整体支出开展绩效自评，</w:t>
      </w:r>
      <w:r>
        <w:rPr>
          <w:rFonts w:hint="eastAsia" w:ascii="仿宋" w:hAnsi="仿宋" w:eastAsia="仿宋" w:cs="仿宋"/>
          <w:sz w:val="32"/>
          <w:szCs w:val="32"/>
        </w:rPr>
        <w:t>我单位</w:t>
      </w:r>
      <w:r>
        <w:rPr>
          <w:rFonts w:hint="eastAsia" w:ascii="仿宋" w:hAnsi="仿宋" w:eastAsia="仿宋" w:cs="仿宋"/>
          <w:sz w:val="32"/>
          <w:szCs w:val="32"/>
          <w:lang w:val="zh-CN"/>
        </w:rPr>
        <w:t>预算执行情况良好，预算支出和决算支出基本情况相符，</w:t>
      </w:r>
      <w:r>
        <w:rPr>
          <w:rFonts w:hint="eastAsia" w:ascii="仿宋" w:hAnsi="仿宋" w:eastAsia="仿宋" w:cs="仿宋"/>
          <w:sz w:val="32"/>
          <w:szCs w:val="32"/>
        </w:rPr>
        <w:t>收支平衡，略有结余</w:t>
      </w:r>
      <w:r>
        <w:rPr>
          <w:rFonts w:hint="eastAsia" w:ascii="仿宋" w:hAnsi="仿宋" w:eastAsia="仿宋" w:cs="仿宋"/>
          <w:sz w:val="32"/>
          <w:szCs w:val="32"/>
          <w:lang w:val="zh-CN"/>
        </w:rPr>
        <w:t>。</w:t>
      </w:r>
      <w:r>
        <w:rPr>
          <w:rFonts w:hint="eastAsia" w:ascii="仿宋" w:hAnsi="仿宋" w:eastAsia="仿宋" w:cs="仿宋"/>
          <w:sz w:val="32"/>
          <w:szCs w:val="32"/>
        </w:rPr>
        <w:t>从预算到执行的各方面，都严格按照相关制度以及财政局的相关要求执行，</w:t>
      </w:r>
      <w:r>
        <w:rPr>
          <w:rFonts w:hint="eastAsia" w:ascii="仿宋" w:hAnsi="仿宋" w:eastAsia="仿宋" w:cs="仿宋"/>
          <w:sz w:val="32"/>
          <w:szCs w:val="32"/>
          <w:lang w:val="zh-CN"/>
        </w:rPr>
        <w:t>无不良记录及违规违纪行为。</w:t>
      </w:r>
      <w:r>
        <w:rPr>
          <w:rFonts w:hint="eastAsia" w:ascii="仿宋_GB2312" w:hAnsi="仿宋" w:eastAsia="仿宋_GB2312" w:cs="Times New Roman"/>
          <w:bCs/>
          <w:sz w:val="32"/>
          <w:szCs w:val="32"/>
          <w:lang w:val="zh-CN"/>
        </w:rPr>
        <w:t>自评得分</w:t>
      </w:r>
      <w:r>
        <w:rPr>
          <w:rFonts w:hint="eastAsia" w:ascii="仿宋_GB2312" w:hAnsi="仿宋" w:eastAsia="仿宋_GB2312" w:cs="Times New Roman"/>
          <w:bCs/>
          <w:sz w:val="32"/>
          <w:szCs w:val="32"/>
        </w:rPr>
        <w:t>9</w:t>
      </w:r>
      <w:r>
        <w:rPr>
          <w:rFonts w:hint="eastAsia" w:ascii="仿宋_GB2312" w:hAnsi="仿宋" w:cs="Times New Roman"/>
          <w:bCs/>
          <w:sz w:val="32"/>
          <w:szCs w:val="32"/>
          <w:lang w:val="en-US" w:eastAsia="zh-CN"/>
        </w:rPr>
        <w:t>3</w:t>
      </w:r>
      <w:r>
        <w:rPr>
          <w:rFonts w:hint="eastAsia" w:ascii="仿宋_GB2312" w:hAnsi="仿宋" w:eastAsia="仿宋_GB2312" w:cs="Times New Roman"/>
          <w:bCs/>
          <w:sz w:val="32"/>
          <w:szCs w:val="32"/>
          <w:lang w:val="zh-CN"/>
        </w:rPr>
        <w:t>分。</w:t>
      </w:r>
      <w:bookmarkEnd w:id="45"/>
      <w:bookmarkEnd w:id="46"/>
      <w:bookmarkStart w:id="53" w:name="_Toc25434"/>
    </w:p>
    <w:p>
      <w:pPr>
        <w:keepNext w:val="0"/>
        <w:keepLines w:val="0"/>
        <w:pageBreakBefore w:val="0"/>
        <w:widowControl w:val="0"/>
        <w:kinsoku/>
        <w:wordWrap/>
        <w:overflowPunct/>
        <w:topLinePunct w:val="0"/>
        <w:bidi w:val="0"/>
        <w:spacing w:line="560" w:lineRule="exact"/>
        <w:ind w:left="0" w:firstLine="640" w:firstLineChars="200"/>
        <w:textAlignment w:val="auto"/>
        <w:outlineLvl w:val="0"/>
        <w:rPr>
          <w:rFonts w:hint="eastAsia" w:ascii="黑体" w:eastAsia="黑体"/>
          <w:b w:val="0"/>
          <w:bCs w:val="0"/>
          <w:color w:val="000000"/>
          <w:sz w:val="32"/>
          <w:szCs w:val="32"/>
        </w:rPr>
      </w:pPr>
      <w:bookmarkStart w:id="54" w:name="_Toc29853"/>
      <w:bookmarkStart w:id="55" w:name="_Toc8821"/>
      <w:bookmarkStart w:id="56" w:name="_Toc23319"/>
      <w:r>
        <w:rPr>
          <w:rFonts w:hint="eastAsia" w:ascii="黑体" w:eastAsia="黑体"/>
          <w:b w:val="0"/>
          <w:bCs w:val="0"/>
          <w:color w:val="000000"/>
          <w:sz w:val="32"/>
          <w:szCs w:val="32"/>
          <w:lang w:val="en-US" w:eastAsia="zh-CN"/>
        </w:rPr>
        <w:t>二</w:t>
      </w:r>
      <w:r>
        <w:rPr>
          <w:rFonts w:hint="eastAsia" w:ascii="黑体" w:eastAsia="黑体"/>
          <w:b w:val="0"/>
          <w:bCs w:val="0"/>
          <w:color w:val="000000"/>
          <w:sz w:val="32"/>
          <w:szCs w:val="32"/>
        </w:rPr>
        <w:t>、“三公”经费财政拨款支出决算情况</w:t>
      </w:r>
      <w:bookmarkEnd w:id="53"/>
      <w:bookmarkEnd w:id="54"/>
      <w:bookmarkEnd w:id="55"/>
      <w:bookmarkEnd w:id="56"/>
    </w:p>
    <w:p>
      <w:pPr>
        <w:keepNext w:val="0"/>
        <w:keepLines w:val="0"/>
        <w:pageBreakBefore w:val="0"/>
        <w:widowControl w:val="0"/>
        <w:kinsoku/>
        <w:wordWrap/>
        <w:overflowPunct/>
        <w:topLinePunct w:val="0"/>
        <w:bidi w:val="0"/>
        <w:spacing w:line="560" w:lineRule="exact"/>
        <w:ind w:left="0" w:firstLine="643" w:firstLineChars="200"/>
        <w:textAlignment w:val="auto"/>
        <w:outlineLvl w:val="1"/>
        <w:rPr>
          <w:rFonts w:hint="eastAsia" w:ascii="楷体" w:hAnsi="楷体" w:eastAsia="楷体" w:cs="楷体"/>
          <w:b/>
          <w:color w:val="000000"/>
          <w:sz w:val="32"/>
          <w:szCs w:val="32"/>
        </w:rPr>
      </w:pPr>
      <w:bookmarkStart w:id="57" w:name="_Toc5807"/>
      <w:bookmarkStart w:id="58" w:name="_Toc1429"/>
      <w:bookmarkStart w:id="59" w:name="_Toc26500"/>
      <w:r>
        <w:rPr>
          <w:rFonts w:hint="eastAsia" w:ascii="楷体" w:hAnsi="楷体" w:eastAsia="楷体" w:cs="楷体"/>
          <w:b/>
          <w:color w:val="000000"/>
          <w:sz w:val="32"/>
          <w:szCs w:val="32"/>
        </w:rPr>
        <w:t>（一）“三公”经费财政拨款支出决算总体情况说明</w:t>
      </w:r>
      <w:bookmarkEnd w:id="57"/>
      <w:bookmarkEnd w:id="58"/>
      <w:bookmarkEnd w:id="59"/>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olor w:val="333333"/>
          <w:sz w:val="32"/>
          <w:szCs w:val="32"/>
          <w:lang w:eastAsia="zh-CN"/>
        </w:rPr>
      </w:pPr>
      <w:r>
        <w:rPr>
          <w:rFonts w:hint="eastAsia" w:ascii="仿宋_GB2312"/>
          <w:color w:val="000000"/>
          <w:sz w:val="32"/>
          <w:szCs w:val="32"/>
          <w:lang w:eastAsia="zh-CN"/>
        </w:rPr>
        <w:t>金川县供销合作社联合社</w:t>
      </w:r>
      <w:r>
        <w:rPr>
          <w:rFonts w:hint="eastAsia" w:ascii="仿宋_GB2312" w:eastAsia="仿宋_GB2312"/>
          <w:color w:val="333333"/>
          <w:sz w:val="32"/>
          <w:szCs w:val="32"/>
          <w:lang w:val="en-US" w:eastAsia="zh-CN"/>
        </w:rPr>
        <w:t>2021</w:t>
      </w:r>
      <w:r>
        <w:rPr>
          <w:rFonts w:hint="eastAsia" w:ascii="仿宋_GB2312" w:eastAsia="仿宋_GB2312"/>
          <w:color w:val="333333"/>
          <w:sz w:val="32"/>
          <w:szCs w:val="32"/>
        </w:rPr>
        <w:t>年度“三公”经费财政拨款支出决算为</w:t>
      </w:r>
      <w:r>
        <w:rPr>
          <w:rFonts w:hint="eastAsia" w:ascii="仿宋_GB2312" w:eastAsia="仿宋_GB2312"/>
          <w:color w:val="333333"/>
          <w:sz w:val="32"/>
          <w:szCs w:val="32"/>
          <w:lang w:val="en-US" w:eastAsia="zh-CN"/>
        </w:rPr>
        <w:t>0万元，其中,</w:t>
      </w:r>
      <w:r>
        <w:rPr>
          <w:rFonts w:hint="eastAsia" w:ascii="仿宋_GB2312" w:eastAsia="仿宋_GB2312"/>
          <w:color w:val="333333"/>
          <w:sz w:val="32"/>
          <w:szCs w:val="32"/>
        </w:rPr>
        <w:t>因公出国（境）费支出0万元；公务用车购置及运行维护费支出决算为</w:t>
      </w:r>
      <w:r>
        <w:rPr>
          <w:rFonts w:hint="eastAsia" w:ascii="仿宋_GB2312" w:eastAsia="仿宋_GB2312"/>
          <w:color w:val="333333"/>
          <w:sz w:val="32"/>
          <w:szCs w:val="32"/>
          <w:lang w:val="en-US" w:eastAsia="zh-CN"/>
        </w:rPr>
        <w:t>0</w:t>
      </w:r>
      <w:r>
        <w:rPr>
          <w:rFonts w:hint="eastAsia" w:ascii="仿宋_GB2312" w:eastAsia="仿宋_GB2312"/>
          <w:color w:val="333333"/>
          <w:sz w:val="32"/>
          <w:szCs w:val="32"/>
        </w:rPr>
        <w:t>万元，公务接待费支出决算为</w:t>
      </w:r>
      <w:r>
        <w:rPr>
          <w:rFonts w:hint="eastAsia" w:ascii="仿宋_GB2312" w:eastAsia="仿宋_GB2312"/>
          <w:color w:val="333333"/>
          <w:sz w:val="32"/>
          <w:szCs w:val="32"/>
          <w:lang w:val="en-US" w:eastAsia="zh-CN"/>
        </w:rPr>
        <w:t>0</w:t>
      </w:r>
      <w:r>
        <w:rPr>
          <w:rFonts w:hint="eastAsia" w:ascii="仿宋_GB2312" w:eastAsia="仿宋_GB2312"/>
          <w:color w:val="333333"/>
          <w:sz w:val="32"/>
          <w:szCs w:val="32"/>
        </w:rPr>
        <w:t>万元</w:t>
      </w:r>
      <w:r>
        <w:rPr>
          <w:rFonts w:hint="eastAsia" w:ascii="仿宋_GB2312" w:eastAsia="仿宋_GB2312"/>
          <w:color w:val="333333"/>
          <w:sz w:val="32"/>
          <w:szCs w:val="32"/>
          <w:lang w:eastAsia="zh-CN"/>
        </w:rPr>
        <w:t>。</w:t>
      </w:r>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olor w:val="333333"/>
          <w:sz w:val="32"/>
          <w:szCs w:val="32"/>
          <w:lang w:eastAsia="zh-CN"/>
        </w:rPr>
      </w:pPr>
      <w:r>
        <w:rPr>
          <w:rFonts w:hint="eastAsia" w:ascii="仿宋_GB2312" w:eastAsia="仿宋_GB2312"/>
          <w:color w:val="333333"/>
          <w:sz w:val="32"/>
          <w:szCs w:val="32"/>
          <w:lang w:val="en-US" w:eastAsia="zh-CN"/>
        </w:rPr>
        <w:t>2021</w:t>
      </w:r>
      <w:r>
        <w:rPr>
          <w:rFonts w:hint="eastAsia" w:ascii="仿宋_GB2312" w:eastAsia="仿宋_GB2312"/>
          <w:color w:val="333333"/>
          <w:sz w:val="32"/>
          <w:szCs w:val="32"/>
        </w:rPr>
        <w:t>年度“三公”经费支出决算数</w:t>
      </w:r>
      <w:r>
        <w:rPr>
          <w:rFonts w:hint="eastAsia" w:ascii="仿宋_GB2312" w:eastAsia="仿宋_GB2312"/>
          <w:color w:val="333333"/>
          <w:sz w:val="32"/>
          <w:szCs w:val="32"/>
          <w:lang w:val="en-US" w:eastAsia="zh-CN"/>
        </w:rPr>
        <w:t>等于</w:t>
      </w:r>
      <w:r>
        <w:rPr>
          <w:rFonts w:hint="eastAsia" w:ascii="仿宋_GB2312" w:eastAsia="仿宋_GB2312"/>
          <w:color w:val="333333"/>
          <w:sz w:val="32"/>
          <w:szCs w:val="32"/>
        </w:rPr>
        <w:t>年初预算数</w:t>
      </w:r>
      <w:r>
        <w:rPr>
          <w:rFonts w:hint="eastAsia" w:ascii="仿宋_GB2312" w:eastAsia="仿宋_GB2312"/>
          <w:color w:val="333333"/>
          <w:sz w:val="32"/>
          <w:szCs w:val="32"/>
          <w:lang w:eastAsia="zh-CN"/>
        </w:rPr>
        <w:t>。</w:t>
      </w:r>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hAnsi="宋体" w:eastAsia="仿宋_GB2312" w:cs="宋体"/>
          <w:color w:val="333333"/>
          <w:kern w:val="0"/>
          <w:sz w:val="32"/>
          <w:szCs w:val="32"/>
          <w:lang w:val="en-US" w:eastAsia="zh-CN"/>
        </w:rPr>
      </w:pPr>
      <w:r>
        <w:rPr>
          <w:rFonts w:hint="eastAsia" w:ascii="仿宋_GB2312" w:eastAsia="仿宋_GB2312"/>
          <w:color w:val="333333"/>
          <w:sz w:val="32"/>
          <w:szCs w:val="32"/>
          <w:lang w:val="en-US" w:eastAsia="zh-CN"/>
        </w:rPr>
        <w:t>2021</w:t>
      </w:r>
      <w:r>
        <w:rPr>
          <w:rFonts w:hint="eastAsia" w:ascii="仿宋_GB2312" w:eastAsia="仿宋_GB2312"/>
          <w:color w:val="333333"/>
          <w:sz w:val="32"/>
          <w:szCs w:val="32"/>
        </w:rPr>
        <w:t>年度“三公”经费支出决算数</w:t>
      </w:r>
      <w:r>
        <w:rPr>
          <w:rFonts w:hint="eastAsia" w:ascii="仿宋_GB2312" w:eastAsia="仿宋_GB2312"/>
          <w:color w:val="333333"/>
          <w:sz w:val="32"/>
          <w:szCs w:val="32"/>
          <w:lang w:val="en-US" w:eastAsia="zh-CN"/>
        </w:rPr>
        <w:t>等于2020</w:t>
      </w:r>
      <w:r>
        <w:rPr>
          <w:rFonts w:hint="eastAsia" w:ascii="仿宋_GB2312" w:eastAsia="仿宋_GB2312"/>
          <w:color w:val="333333"/>
          <w:sz w:val="32"/>
          <w:szCs w:val="32"/>
        </w:rPr>
        <w:t>年度“三公”经费支出决算数</w:t>
      </w:r>
      <w:r>
        <w:rPr>
          <w:rFonts w:hint="eastAsia" w:ascii="仿宋_GB2312" w:eastAsia="仿宋_GB2312"/>
          <w:color w:val="333333"/>
          <w:sz w:val="32"/>
          <w:szCs w:val="32"/>
          <w:lang w:eastAsia="zh-CN"/>
        </w:rPr>
        <w:t>。</w:t>
      </w:r>
    </w:p>
    <w:p>
      <w:pPr>
        <w:keepNext w:val="0"/>
        <w:keepLines w:val="0"/>
        <w:pageBreakBefore w:val="0"/>
        <w:widowControl w:val="0"/>
        <w:kinsoku/>
        <w:wordWrap/>
        <w:overflowPunct/>
        <w:topLinePunct w:val="0"/>
        <w:bidi w:val="0"/>
        <w:spacing w:line="560" w:lineRule="exact"/>
        <w:ind w:left="0" w:firstLine="643" w:firstLineChars="200"/>
        <w:textAlignment w:val="auto"/>
        <w:outlineLvl w:val="1"/>
        <w:rPr>
          <w:rFonts w:hint="eastAsia" w:ascii="楷体" w:hAnsi="楷体" w:eastAsia="楷体" w:cs="楷体"/>
          <w:b/>
          <w:color w:val="333333"/>
          <w:sz w:val="32"/>
          <w:szCs w:val="32"/>
        </w:rPr>
      </w:pPr>
      <w:bookmarkStart w:id="60" w:name="_Toc1382"/>
      <w:bookmarkStart w:id="61" w:name="_Toc29980"/>
      <w:bookmarkStart w:id="62" w:name="_Toc18363"/>
      <w:r>
        <w:rPr>
          <w:rFonts w:hint="eastAsia" w:ascii="楷体" w:hAnsi="楷体" w:eastAsia="楷体" w:cs="楷体"/>
          <w:b/>
          <w:color w:val="333333"/>
          <w:sz w:val="32"/>
          <w:szCs w:val="32"/>
        </w:rPr>
        <w:t>（二）“三公”经费财政拨款支出决算具体情况说明</w:t>
      </w:r>
      <w:bookmarkEnd w:id="60"/>
      <w:bookmarkEnd w:id="61"/>
      <w:bookmarkEnd w:id="62"/>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olor w:val="000000"/>
          <w:sz w:val="32"/>
          <w:szCs w:val="32"/>
        </w:rPr>
      </w:pPr>
      <w:r>
        <w:rPr>
          <w:rFonts w:hint="eastAsia" w:ascii="仿宋_GB2312" w:eastAsia="仿宋_GB2312"/>
          <w:color w:val="333333"/>
          <w:sz w:val="32"/>
          <w:szCs w:val="32"/>
          <w:lang w:val="en-US" w:eastAsia="zh-CN"/>
        </w:rPr>
        <w:t>2020</w:t>
      </w:r>
      <w:r>
        <w:rPr>
          <w:rFonts w:hint="eastAsia" w:ascii="仿宋_GB2312" w:eastAsia="仿宋_GB2312"/>
          <w:color w:val="333333"/>
          <w:sz w:val="32"/>
          <w:szCs w:val="32"/>
        </w:rPr>
        <w:t>年度“三公”经费财政拨款支出决算中，因公出国（境）费0万元；公务用车购置及运行维护费支出决算</w:t>
      </w:r>
      <w:r>
        <w:rPr>
          <w:rFonts w:hint="eastAsia" w:ascii="仿宋_GB2312" w:eastAsia="仿宋_GB2312"/>
          <w:color w:val="333333"/>
          <w:sz w:val="32"/>
          <w:szCs w:val="32"/>
          <w:lang w:val="en-US" w:eastAsia="zh-CN"/>
        </w:rPr>
        <w:t>0</w:t>
      </w:r>
      <w:r>
        <w:rPr>
          <w:rFonts w:hint="eastAsia" w:ascii="仿宋_GB2312" w:eastAsia="仿宋_GB2312"/>
          <w:color w:val="333333"/>
          <w:sz w:val="32"/>
          <w:szCs w:val="32"/>
        </w:rPr>
        <w:t>万元；公务接待费支出决算</w:t>
      </w:r>
      <w:r>
        <w:rPr>
          <w:rFonts w:hint="eastAsia" w:ascii="仿宋_GB2312" w:eastAsia="仿宋_GB2312"/>
          <w:color w:val="333333"/>
          <w:sz w:val="32"/>
          <w:szCs w:val="32"/>
          <w:lang w:val="en-US" w:eastAsia="zh-CN"/>
        </w:rPr>
        <w:t>0</w:t>
      </w:r>
      <w:r>
        <w:rPr>
          <w:rFonts w:hint="eastAsia" w:ascii="仿宋_GB2312" w:eastAsia="仿宋_GB2312"/>
          <w:color w:val="333333"/>
          <w:sz w:val="32"/>
          <w:szCs w:val="32"/>
        </w:rPr>
        <w:t>万元</w:t>
      </w:r>
      <w:r>
        <w:rPr>
          <w:rFonts w:hint="eastAsia" w:ascii="仿宋_GB2312" w:eastAsia="仿宋_GB2312"/>
          <w:color w:val="000000"/>
          <w:sz w:val="32"/>
          <w:szCs w:val="32"/>
        </w:rPr>
        <w:t>。具体情况如下：</w:t>
      </w:r>
    </w:p>
    <w:p>
      <w:pPr>
        <w:keepNext w:val="0"/>
        <w:keepLines w:val="0"/>
        <w:pageBreakBefore w:val="0"/>
        <w:widowControl w:val="0"/>
        <w:kinsoku/>
        <w:wordWrap/>
        <w:overflowPunct/>
        <w:topLinePunct w:val="0"/>
        <w:bidi w:val="0"/>
        <w:spacing w:line="560" w:lineRule="exact"/>
        <w:ind w:left="0" w:firstLine="643" w:firstLineChars="200"/>
        <w:textAlignment w:val="auto"/>
        <w:outlineLvl w:val="2"/>
        <w:rPr>
          <w:rFonts w:hint="eastAsia" w:ascii="楷体" w:hAnsi="楷体" w:eastAsia="楷体" w:cs="楷体"/>
          <w:b/>
          <w:color w:val="000000"/>
          <w:sz w:val="32"/>
          <w:szCs w:val="32"/>
        </w:rPr>
      </w:pPr>
      <w:bookmarkStart w:id="63" w:name="_Toc1194"/>
      <w:bookmarkStart w:id="64" w:name="_Toc20291"/>
      <w:bookmarkStart w:id="65" w:name="_Toc23121"/>
      <w:r>
        <w:rPr>
          <w:rFonts w:hint="eastAsia" w:ascii="楷体" w:hAnsi="楷体" w:eastAsia="楷体" w:cs="楷体"/>
          <w:b/>
          <w:color w:val="000000"/>
          <w:sz w:val="32"/>
          <w:szCs w:val="32"/>
        </w:rPr>
        <w:t>1.因公出国（境）经费</w:t>
      </w:r>
      <w:bookmarkEnd w:id="63"/>
      <w:bookmarkEnd w:id="64"/>
      <w:bookmarkEnd w:id="65"/>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年因公出国（境）费0万元。</w:t>
      </w:r>
    </w:p>
    <w:p>
      <w:pPr>
        <w:keepNext w:val="0"/>
        <w:keepLines w:val="0"/>
        <w:pageBreakBefore w:val="0"/>
        <w:widowControl w:val="0"/>
        <w:kinsoku/>
        <w:wordWrap/>
        <w:overflowPunct/>
        <w:topLinePunct w:val="0"/>
        <w:bidi w:val="0"/>
        <w:spacing w:line="560" w:lineRule="exact"/>
        <w:ind w:left="0" w:firstLine="643" w:firstLineChars="200"/>
        <w:textAlignment w:val="auto"/>
        <w:outlineLvl w:val="2"/>
        <w:rPr>
          <w:rFonts w:hint="eastAsia" w:ascii="楷体" w:hAnsi="楷体" w:eastAsia="楷体" w:cs="楷体"/>
          <w:b/>
          <w:color w:val="000000"/>
          <w:sz w:val="32"/>
          <w:szCs w:val="32"/>
        </w:rPr>
      </w:pPr>
      <w:bookmarkStart w:id="66" w:name="_Toc1553"/>
      <w:bookmarkStart w:id="67" w:name="_Toc11335"/>
      <w:bookmarkStart w:id="68" w:name="_Toc32213"/>
      <w:r>
        <w:rPr>
          <w:rFonts w:hint="eastAsia" w:ascii="楷体" w:hAnsi="楷体" w:eastAsia="楷体" w:cs="楷体"/>
          <w:b/>
          <w:color w:val="000000"/>
          <w:sz w:val="32"/>
          <w:szCs w:val="32"/>
        </w:rPr>
        <w:t>2.公务用车购置及运行维护费</w:t>
      </w:r>
      <w:bookmarkEnd w:id="66"/>
      <w:bookmarkEnd w:id="67"/>
      <w:bookmarkEnd w:id="68"/>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olor w:val="000000"/>
          <w:sz w:val="32"/>
          <w:szCs w:val="32"/>
        </w:rPr>
      </w:pPr>
      <w:r>
        <w:rPr>
          <w:rFonts w:hint="eastAsia" w:ascii="仿宋_GB2312" w:eastAsia="仿宋_GB2312"/>
          <w:bCs/>
          <w:color w:val="000000"/>
          <w:sz w:val="32"/>
          <w:szCs w:val="32"/>
          <w:lang w:val="en-US" w:eastAsia="zh-CN"/>
        </w:rPr>
        <w:t>2021</w:t>
      </w:r>
      <w:r>
        <w:rPr>
          <w:rFonts w:hint="eastAsia" w:ascii="仿宋_GB2312" w:eastAsia="仿宋_GB2312"/>
          <w:bCs/>
          <w:color w:val="000000"/>
          <w:sz w:val="32"/>
          <w:szCs w:val="32"/>
        </w:rPr>
        <w:t>年公务用车购置及运行维护费</w:t>
      </w:r>
      <w:r>
        <w:rPr>
          <w:rFonts w:hint="eastAsia" w:ascii="仿宋_GB2312" w:eastAsia="仿宋_GB2312"/>
          <w:bCs/>
          <w:color w:val="000000"/>
          <w:sz w:val="32"/>
          <w:szCs w:val="32"/>
          <w:lang w:val="en-US" w:eastAsia="zh-CN"/>
        </w:rPr>
        <w:t>0</w:t>
      </w:r>
      <w:r>
        <w:rPr>
          <w:rFonts w:hint="eastAsia" w:ascii="仿宋_GB2312" w:eastAsia="仿宋_GB2312"/>
          <w:color w:val="000000"/>
          <w:sz w:val="32"/>
          <w:szCs w:val="32"/>
        </w:rPr>
        <w:t>万元,其中：</w:t>
      </w:r>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无公务用车购置支出。</w:t>
      </w:r>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公务用车运行维护费支出</w:t>
      </w:r>
      <w:r>
        <w:rPr>
          <w:rFonts w:hint="eastAsia" w:ascii="仿宋_GB2312" w:eastAsia="仿宋_GB2312"/>
          <w:bCs/>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widowControl w:val="0"/>
        <w:kinsoku/>
        <w:wordWrap/>
        <w:overflowPunct/>
        <w:topLinePunct w:val="0"/>
        <w:bidi w:val="0"/>
        <w:spacing w:line="560" w:lineRule="exact"/>
        <w:ind w:left="0" w:firstLine="643" w:firstLineChars="200"/>
        <w:textAlignment w:val="auto"/>
        <w:outlineLvl w:val="2"/>
        <w:rPr>
          <w:rFonts w:hint="eastAsia" w:ascii="楷体" w:hAnsi="楷体" w:eastAsia="楷体" w:cs="楷体"/>
          <w:b/>
          <w:color w:val="000000"/>
          <w:sz w:val="32"/>
          <w:szCs w:val="32"/>
        </w:rPr>
      </w:pPr>
      <w:bookmarkStart w:id="69" w:name="_Toc8178"/>
      <w:bookmarkStart w:id="70" w:name="_Toc25028"/>
      <w:bookmarkStart w:id="71" w:name="_Toc25253"/>
      <w:r>
        <w:rPr>
          <w:rFonts w:hint="eastAsia" w:ascii="楷体" w:hAnsi="楷体" w:eastAsia="楷体" w:cs="楷体"/>
          <w:b/>
          <w:color w:val="000000"/>
          <w:sz w:val="32"/>
          <w:szCs w:val="32"/>
        </w:rPr>
        <w:t>3.公务接待费</w:t>
      </w:r>
      <w:bookmarkEnd w:id="69"/>
      <w:bookmarkEnd w:id="70"/>
      <w:bookmarkEnd w:id="71"/>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年公务接待费0万元。</w:t>
      </w:r>
    </w:p>
    <w:p>
      <w:pPr>
        <w:keepNext w:val="0"/>
        <w:keepLines w:val="0"/>
        <w:pageBreakBefore w:val="0"/>
        <w:widowControl w:val="0"/>
        <w:kinsoku/>
        <w:wordWrap/>
        <w:overflowPunct/>
        <w:topLinePunct w:val="0"/>
        <w:bidi w:val="0"/>
        <w:spacing w:line="560" w:lineRule="exact"/>
        <w:ind w:left="0" w:leftChars="0" w:firstLine="640" w:firstLineChars="200"/>
        <w:textAlignment w:val="auto"/>
        <w:outlineLvl w:val="0"/>
        <w:rPr>
          <w:rFonts w:hint="eastAsia" w:ascii="黑体" w:hAnsi="黑体" w:eastAsia="黑体" w:cs="黑体"/>
          <w:b w:val="0"/>
          <w:bCs w:val="0"/>
          <w:color w:val="000000"/>
          <w:sz w:val="32"/>
          <w:szCs w:val="32"/>
        </w:rPr>
      </w:pPr>
      <w:bookmarkStart w:id="72" w:name="_Toc6898"/>
      <w:bookmarkStart w:id="73" w:name="_Toc22280"/>
      <w:bookmarkStart w:id="74" w:name="_Toc28380"/>
      <w:bookmarkStart w:id="75" w:name="_Toc25231"/>
      <w:r>
        <w:rPr>
          <w:rFonts w:hint="eastAsia" w:ascii="黑体" w:hAnsi="黑体" w:eastAsia="黑体" w:cs="黑体"/>
          <w:b w:val="0"/>
          <w:bCs w:val="0"/>
          <w:color w:val="000000"/>
          <w:sz w:val="32"/>
          <w:szCs w:val="32"/>
          <w:lang w:val="en-US" w:eastAsia="zh-CN"/>
        </w:rPr>
        <w:t>三</w:t>
      </w:r>
      <w:r>
        <w:rPr>
          <w:rFonts w:hint="eastAsia" w:ascii="黑体" w:hAnsi="黑体" w:eastAsia="黑体" w:cs="黑体"/>
          <w:b w:val="0"/>
          <w:bCs w:val="0"/>
          <w:color w:val="000000"/>
          <w:sz w:val="32"/>
          <w:szCs w:val="32"/>
        </w:rPr>
        <w:t>、政府性基金预算财政拨款支出决算情况</w:t>
      </w:r>
      <w:bookmarkEnd w:id="72"/>
      <w:bookmarkEnd w:id="73"/>
      <w:bookmarkEnd w:id="74"/>
      <w:bookmarkEnd w:id="75"/>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仿宋_GB2312" w:hAnsi="仿宋_GB2312" w:eastAsia="仿宋_GB2312" w:cs="仿宋_GB2312"/>
          <w:color w:val="000000"/>
          <w:sz w:val="32"/>
          <w:szCs w:val="32"/>
        </w:rPr>
      </w:pPr>
      <w:bookmarkStart w:id="76" w:name="_Toc12269"/>
      <w:r>
        <w:rPr>
          <w:rFonts w:hint="eastAsia" w:ascii="仿宋_GB2312" w:hAnsi="仿宋_GB2312" w:cs="仿宋_GB2312"/>
          <w:color w:val="000000"/>
          <w:sz w:val="32"/>
          <w:szCs w:val="32"/>
          <w:lang w:eastAsia="zh-CN"/>
        </w:rPr>
        <w:t>金川县供销合作社联合社</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年政府性基金预算财政拨款支出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keepNext w:val="0"/>
        <w:keepLines w:val="0"/>
        <w:pageBreakBefore w:val="0"/>
        <w:widowControl w:val="0"/>
        <w:kinsoku/>
        <w:wordWrap/>
        <w:overflowPunct/>
        <w:topLinePunct w:val="0"/>
        <w:bidi w:val="0"/>
        <w:spacing w:line="560" w:lineRule="exact"/>
        <w:ind w:left="0" w:leftChars="0" w:firstLine="640" w:firstLineChars="200"/>
        <w:textAlignment w:val="auto"/>
        <w:outlineLvl w:val="0"/>
        <w:rPr>
          <w:rFonts w:hint="eastAsia" w:ascii="黑体" w:hAnsi="黑体" w:eastAsia="黑体" w:cs="黑体"/>
          <w:b w:val="0"/>
          <w:bCs w:val="0"/>
          <w:color w:val="000000"/>
          <w:sz w:val="32"/>
          <w:szCs w:val="32"/>
        </w:rPr>
      </w:pPr>
      <w:bookmarkStart w:id="77" w:name="_Toc17752"/>
      <w:bookmarkStart w:id="78" w:name="_Toc17007"/>
      <w:r>
        <w:rPr>
          <w:rFonts w:hint="eastAsia" w:ascii="黑体" w:hAnsi="黑体" w:eastAsia="黑体" w:cs="黑体"/>
          <w:b w:val="0"/>
          <w:bCs w:val="0"/>
          <w:color w:val="000000"/>
          <w:sz w:val="32"/>
          <w:szCs w:val="32"/>
          <w:lang w:val="en-US" w:eastAsia="zh-CN"/>
        </w:rPr>
        <w:t>四</w:t>
      </w:r>
      <w:r>
        <w:rPr>
          <w:rFonts w:hint="eastAsia" w:ascii="黑体" w:hAnsi="黑体" w:eastAsia="黑体" w:cs="黑体"/>
          <w:b w:val="0"/>
          <w:bCs w:val="0"/>
          <w:color w:val="000000"/>
          <w:sz w:val="32"/>
          <w:szCs w:val="32"/>
        </w:rPr>
        <w:t>、国有资本经营预算支出决算情况说明</w:t>
      </w:r>
      <w:bookmarkEnd w:id="77"/>
      <w:bookmarkEnd w:id="78"/>
    </w:p>
    <w:p>
      <w:pPr>
        <w:keepNext w:val="0"/>
        <w:keepLines w:val="0"/>
        <w:pageBreakBefore w:val="0"/>
        <w:widowControl w:val="0"/>
        <w:kinsoku/>
        <w:wordWrap/>
        <w:overflowPunct/>
        <w:topLinePunct w:val="0"/>
        <w:bidi w:val="0"/>
        <w:spacing w:line="560" w:lineRule="exact"/>
        <w:ind w:left="0" w:firstLine="640" w:firstLineChars="200"/>
        <w:textAlignment w:val="auto"/>
        <w:rPr>
          <w:rFonts w:hint="default" w:ascii="仿宋_GB2312" w:hAnsi="仿宋_GB2312" w:cs="仿宋_GB2312"/>
          <w:color w:val="000000"/>
          <w:sz w:val="32"/>
          <w:szCs w:val="32"/>
          <w:lang w:val="en-US" w:eastAsia="zh-CN"/>
        </w:rPr>
      </w:pPr>
      <w:r>
        <w:rPr>
          <w:rFonts w:hint="eastAsia" w:ascii="仿宋_GB2312" w:hAnsi="仿宋_GB2312" w:cs="仿宋_GB2312"/>
          <w:color w:val="000000"/>
          <w:sz w:val="32"/>
          <w:szCs w:val="32"/>
          <w:lang w:val="en-US" w:eastAsia="zh-CN"/>
        </w:rPr>
        <w:t>2021年国有资本经营预算拨款支出0万元。</w:t>
      </w:r>
    </w:p>
    <w:p>
      <w:pPr>
        <w:keepNext w:val="0"/>
        <w:keepLines w:val="0"/>
        <w:pageBreakBefore w:val="0"/>
        <w:widowControl w:val="0"/>
        <w:kinsoku/>
        <w:wordWrap/>
        <w:overflowPunct/>
        <w:topLinePunct w:val="0"/>
        <w:bidi w:val="0"/>
        <w:spacing w:line="560" w:lineRule="exact"/>
        <w:ind w:left="0" w:firstLine="640" w:firstLineChars="200"/>
        <w:textAlignment w:val="auto"/>
        <w:outlineLvl w:val="0"/>
        <w:rPr>
          <w:rFonts w:ascii="黑体" w:eastAsia="黑体"/>
          <w:b w:val="0"/>
          <w:bCs w:val="0"/>
          <w:color w:val="000000"/>
          <w:sz w:val="32"/>
          <w:szCs w:val="32"/>
        </w:rPr>
      </w:pPr>
      <w:bookmarkStart w:id="79" w:name="_Toc4566"/>
      <w:bookmarkStart w:id="80" w:name="_Toc30026"/>
      <w:bookmarkStart w:id="81" w:name="_Toc994"/>
      <w:r>
        <w:rPr>
          <w:rFonts w:hint="eastAsia" w:ascii="黑体" w:eastAsia="黑体"/>
          <w:b w:val="0"/>
          <w:bCs w:val="0"/>
          <w:color w:val="000000"/>
          <w:sz w:val="32"/>
          <w:szCs w:val="32"/>
          <w:lang w:val="en-US" w:eastAsia="zh-CN"/>
        </w:rPr>
        <w:t>五</w:t>
      </w:r>
      <w:r>
        <w:rPr>
          <w:rFonts w:hint="eastAsia" w:ascii="黑体" w:eastAsia="黑体"/>
          <w:b w:val="0"/>
          <w:bCs w:val="0"/>
          <w:color w:val="000000"/>
          <w:sz w:val="32"/>
          <w:szCs w:val="32"/>
        </w:rPr>
        <w:t>、其他重要事项的情况说明</w:t>
      </w:r>
      <w:bookmarkEnd w:id="76"/>
      <w:bookmarkEnd w:id="79"/>
      <w:bookmarkEnd w:id="80"/>
      <w:bookmarkEnd w:id="81"/>
    </w:p>
    <w:p>
      <w:pPr>
        <w:pStyle w:val="4"/>
        <w:pageBreakBefore w:val="0"/>
        <w:kinsoku/>
        <w:wordWrap/>
        <w:overflowPunct/>
        <w:topLinePunct w:val="0"/>
        <w:bidi w:val="0"/>
        <w:spacing w:line="560" w:lineRule="exact"/>
        <w:ind w:left="0" w:firstLine="643" w:firstLineChars="200"/>
        <w:textAlignment w:val="auto"/>
        <w:rPr>
          <w:rFonts w:hint="default" w:ascii="Times New Roman" w:hAnsi="Times New Roman" w:cs="Times New Roman"/>
          <w:sz w:val="32"/>
          <w:szCs w:val="32"/>
        </w:rPr>
      </w:pPr>
      <w:bookmarkStart w:id="82" w:name="_Toc887"/>
      <w:bookmarkStart w:id="83" w:name="_Toc5649"/>
      <w:bookmarkStart w:id="84" w:name="_Toc61109031"/>
      <w:bookmarkStart w:id="85" w:name="_Toc1330"/>
      <w:bookmarkStart w:id="86" w:name="_Toc23682"/>
      <w:bookmarkStart w:id="87" w:name="_Toc29003"/>
      <w:r>
        <w:rPr>
          <w:rFonts w:hint="default" w:ascii="Times New Roman" w:hAnsi="Times New Roman" w:cs="Times New Roman"/>
          <w:sz w:val="32"/>
          <w:szCs w:val="32"/>
        </w:rPr>
        <w:t>（一）本部门财务管理、绩效管理、决算组织、编报、审核情况</w:t>
      </w:r>
      <w:bookmarkEnd w:id="82"/>
      <w:bookmarkEnd w:id="83"/>
      <w:bookmarkEnd w:id="84"/>
      <w:bookmarkEnd w:id="85"/>
      <w:bookmarkEnd w:id="86"/>
    </w:p>
    <w:p>
      <w:pPr>
        <w:pageBreakBefore w:val="0"/>
        <w:kinsoku/>
        <w:wordWrap/>
        <w:overflowPunct/>
        <w:topLinePunct w:val="0"/>
        <w:bidi w:val="0"/>
        <w:spacing w:line="560" w:lineRule="exact"/>
        <w:ind w:left="0" w:firstLine="640" w:firstLineChars="200"/>
        <w:textAlignment w:val="auto"/>
        <w:rPr>
          <w:rFonts w:hint="default" w:ascii="Times New Roman" w:hAnsi="Times New Roman" w:cs="Times New Roman"/>
          <w:sz w:val="32"/>
          <w:szCs w:val="32"/>
        </w:rPr>
      </w:pPr>
      <w:r>
        <w:rPr>
          <w:rFonts w:hint="default" w:ascii="Times New Roman" w:hAnsi="Times New Roman" w:cs="Times New Roman"/>
          <w:sz w:val="32"/>
          <w:szCs w:val="32"/>
          <w:lang w:eastAsia="zh-CN"/>
        </w:rPr>
        <w:t>2021年</w:t>
      </w:r>
      <w:r>
        <w:rPr>
          <w:rFonts w:hint="eastAsia" w:cs="Times New Roman"/>
          <w:sz w:val="32"/>
          <w:szCs w:val="32"/>
          <w:lang w:eastAsia="zh-CN"/>
        </w:rPr>
        <w:t>我单位</w:t>
      </w:r>
      <w:r>
        <w:rPr>
          <w:rFonts w:hint="default" w:ascii="Times New Roman" w:hAnsi="Times New Roman" w:cs="Times New Roman"/>
          <w:sz w:val="32"/>
          <w:szCs w:val="32"/>
        </w:rPr>
        <w:t>财务工作坚持以人为本，理顺机制，更新财务理念，服务大众。这一年，在领导和财务工作人员的共同努力下，立足现状，努力提高有限经费的使用效率，本着厉行节约，反对铺张浪费的原则圆满完成了财务管理任务，实现了财政经费的收支平衡。</w:t>
      </w:r>
    </w:p>
    <w:p>
      <w:pPr>
        <w:pStyle w:val="4"/>
        <w:pageBreakBefore w:val="0"/>
        <w:kinsoku/>
        <w:wordWrap/>
        <w:overflowPunct/>
        <w:topLinePunct w:val="0"/>
        <w:bidi w:val="0"/>
        <w:spacing w:line="560" w:lineRule="exact"/>
        <w:ind w:left="0" w:firstLine="643" w:firstLineChars="200"/>
        <w:textAlignment w:val="auto"/>
        <w:rPr>
          <w:rFonts w:hint="default" w:ascii="Times New Roman" w:hAnsi="Times New Roman" w:cs="Times New Roman"/>
          <w:sz w:val="32"/>
          <w:szCs w:val="32"/>
        </w:rPr>
      </w:pPr>
      <w:bookmarkStart w:id="88" w:name="_Toc19585"/>
      <w:bookmarkStart w:id="89" w:name="_Toc24522"/>
      <w:bookmarkStart w:id="90" w:name="_Toc61109032"/>
      <w:bookmarkStart w:id="91" w:name="_Toc2159"/>
      <w:bookmarkStart w:id="92" w:name="_Toc31529"/>
      <w:r>
        <w:rPr>
          <w:rFonts w:hint="default" w:ascii="Times New Roman" w:hAnsi="Times New Roman" w:cs="Times New Roman"/>
          <w:sz w:val="32"/>
          <w:szCs w:val="32"/>
        </w:rPr>
        <w:t>（二）本部门决算及绩效信息公开工作、主管部门对所属单位按规定批复决算工作开展情况</w:t>
      </w:r>
      <w:bookmarkEnd w:id="88"/>
      <w:bookmarkEnd w:id="89"/>
      <w:bookmarkEnd w:id="90"/>
      <w:bookmarkEnd w:id="91"/>
      <w:bookmarkEnd w:id="92"/>
    </w:p>
    <w:p>
      <w:pPr>
        <w:keepNext w:val="0"/>
        <w:keepLines w:val="0"/>
        <w:pageBreakBefore w:val="0"/>
        <w:widowControl w:val="0"/>
        <w:kinsoku/>
        <w:wordWrap/>
        <w:overflowPunct/>
        <w:topLinePunct w:val="0"/>
        <w:autoSpaceDE w:val="0"/>
        <w:autoSpaceDN w:val="0"/>
        <w:bidi w:val="0"/>
        <w:adjustRightInd w:val="0"/>
        <w:spacing w:line="560" w:lineRule="exact"/>
        <w:ind w:left="0" w:firstLine="640" w:firstLineChars="200"/>
        <w:jc w:val="left"/>
        <w:textAlignment w:val="auto"/>
        <w:outlineLvl w:val="1"/>
        <w:rPr>
          <w:rFonts w:hint="default" w:ascii="Times New Roman" w:hAnsi="Times New Roman" w:cs="Times New Roman"/>
          <w:sz w:val="32"/>
          <w:szCs w:val="32"/>
        </w:rPr>
      </w:pPr>
      <w:bookmarkStart w:id="93" w:name="_Toc28493"/>
      <w:bookmarkStart w:id="94" w:name="_Toc26453"/>
      <w:r>
        <w:rPr>
          <w:rFonts w:hint="default" w:ascii="Times New Roman" w:hAnsi="Times New Roman" w:cs="Times New Roman"/>
          <w:sz w:val="32"/>
          <w:szCs w:val="32"/>
        </w:rPr>
        <w:t>按照县委、县政府的统一安排,</w:t>
      </w:r>
      <w:r>
        <w:rPr>
          <w:rFonts w:hint="eastAsia" w:cs="Times New Roman"/>
          <w:sz w:val="32"/>
          <w:szCs w:val="32"/>
          <w:lang w:eastAsia="zh-CN"/>
        </w:rPr>
        <w:t>我单位</w:t>
      </w:r>
      <w:r>
        <w:rPr>
          <w:rFonts w:hint="default" w:ascii="Times New Roman" w:hAnsi="Times New Roman" w:cs="Times New Roman"/>
          <w:sz w:val="32"/>
          <w:szCs w:val="32"/>
        </w:rPr>
        <w:t>准确、及时地进行部门预、决算公开工作。</w:t>
      </w:r>
      <w:bookmarkEnd w:id="93"/>
      <w:bookmarkEnd w:id="94"/>
      <w:bookmarkStart w:id="95" w:name="_Toc6981"/>
    </w:p>
    <w:p>
      <w:pPr>
        <w:keepNext w:val="0"/>
        <w:keepLines w:val="0"/>
        <w:pageBreakBefore w:val="0"/>
        <w:widowControl w:val="0"/>
        <w:kinsoku/>
        <w:wordWrap/>
        <w:overflowPunct/>
        <w:topLinePunct w:val="0"/>
        <w:autoSpaceDE w:val="0"/>
        <w:autoSpaceDN w:val="0"/>
        <w:bidi w:val="0"/>
        <w:adjustRightInd w:val="0"/>
        <w:spacing w:line="560" w:lineRule="exact"/>
        <w:ind w:left="0" w:firstLine="643" w:firstLineChars="200"/>
        <w:jc w:val="left"/>
        <w:textAlignment w:val="auto"/>
        <w:outlineLvl w:val="1"/>
        <w:rPr>
          <w:rFonts w:hint="eastAsia" w:ascii="楷体" w:hAnsi="楷体" w:eastAsia="楷体" w:cs="楷体"/>
          <w:b/>
          <w:color w:val="000000"/>
          <w:sz w:val="32"/>
          <w:szCs w:val="32"/>
        </w:rPr>
      </w:pPr>
      <w:bookmarkStart w:id="96" w:name="_Toc3234"/>
      <w:bookmarkStart w:id="97" w:name="_Toc17755"/>
      <w:r>
        <w:rPr>
          <w:rFonts w:hint="eastAsia" w:ascii="楷体" w:hAnsi="楷体" w:eastAsia="楷体" w:cs="楷体"/>
          <w:b/>
          <w:color w:val="000000"/>
          <w:sz w:val="32"/>
          <w:szCs w:val="32"/>
        </w:rPr>
        <w:t>（</w:t>
      </w:r>
      <w:r>
        <w:rPr>
          <w:rFonts w:hint="eastAsia" w:ascii="楷体" w:hAnsi="楷体" w:eastAsia="楷体" w:cs="楷体"/>
          <w:b/>
          <w:color w:val="000000"/>
          <w:sz w:val="32"/>
          <w:szCs w:val="32"/>
          <w:lang w:val="en-US" w:eastAsia="zh-CN"/>
        </w:rPr>
        <w:t>三</w:t>
      </w:r>
      <w:r>
        <w:rPr>
          <w:rFonts w:hint="eastAsia" w:ascii="楷体" w:hAnsi="楷体" w:eastAsia="楷体" w:cs="楷体"/>
          <w:b/>
          <w:color w:val="000000"/>
          <w:sz w:val="32"/>
          <w:szCs w:val="32"/>
        </w:rPr>
        <w:t>）政府采购支出情况</w:t>
      </w:r>
      <w:bookmarkEnd w:id="95"/>
      <w:bookmarkEnd w:id="96"/>
      <w:bookmarkEnd w:id="97"/>
    </w:p>
    <w:p>
      <w:pPr>
        <w:keepNext w:val="0"/>
        <w:keepLines w:val="0"/>
        <w:pageBreakBefore w:val="0"/>
        <w:widowControl w:val="0"/>
        <w:kinsoku/>
        <w:wordWrap/>
        <w:overflowPunct/>
        <w:topLinePunct w:val="0"/>
        <w:bidi w:val="0"/>
        <w:spacing w:line="560" w:lineRule="exact"/>
        <w:ind w:left="0" w:firstLine="640" w:firstLineChars="200"/>
        <w:textAlignment w:val="auto"/>
        <w:rPr>
          <w:rFonts w:hint="eastAsia" w:ascii="楷体" w:hAnsi="楷体" w:eastAsia="楷体" w:cs="楷体"/>
          <w:b/>
          <w:color w:val="000000"/>
          <w:sz w:val="32"/>
          <w:szCs w:val="32"/>
        </w:rPr>
      </w:pP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年度，</w:t>
      </w:r>
      <w:r>
        <w:rPr>
          <w:rFonts w:hint="eastAsia" w:ascii="仿宋_GB2312" w:hAnsi="仿宋_GB2312" w:cs="仿宋_GB2312"/>
          <w:color w:val="000000"/>
          <w:sz w:val="32"/>
          <w:szCs w:val="32"/>
          <w:lang w:eastAsia="zh-CN"/>
        </w:rPr>
        <w:t>金川县供销合作社联合社</w:t>
      </w:r>
      <w:r>
        <w:rPr>
          <w:rFonts w:hint="eastAsia" w:ascii="仿宋_GB2312" w:hAnsi="仿宋_GB2312" w:eastAsia="仿宋_GB2312" w:cs="仿宋_GB2312"/>
          <w:color w:val="000000"/>
          <w:sz w:val="32"/>
          <w:szCs w:val="32"/>
        </w:rPr>
        <w:t>采购支出总额0万元。</w:t>
      </w:r>
    </w:p>
    <w:p>
      <w:pPr>
        <w:keepNext w:val="0"/>
        <w:keepLines w:val="0"/>
        <w:pageBreakBefore w:val="0"/>
        <w:widowControl w:val="0"/>
        <w:kinsoku/>
        <w:wordWrap/>
        <w:overflowPunct/>
        <w:topLinePunct w:val="0"/>
        <w:bidi w:val="0"/>
        <w:spacing w:line="560" w:lineRule="exact"/>
        <w:ind w:left="0" w:firstLine="643" w:firstLineChars="200"/>
        <w:textAlignment w:val="auto"/>
        <w:outlineLvl w:val="1"/>
        <w:rPr>
          <w:rFonts w:hint="eastAsia" w:ascii="楷体" w:hAnsi="楷体" w:eastAsia="楷体" w:cs="楷体"/>
          <w:b/>
          <w:color w:val="000000"/>
          <w:sz w:val="32"/>
          <w:szCs w:val="32"/>
        </w:rPr>
      </w:pPr>
      <w:bookmarkStart w:id="98" w:name="_Toc5057"/>
      <w:bookmarkStart w:id="99" w:name="_Toc4828"/>
      <w:r>
        <w:rPr>
          <w:rFonts w:hint="eastAsia" w:ascii="楷体" w:hAnsi="楷体" w:eastAsia="楷体" w:cs="楷体"/>
          <w:b/>
          <w:color w:val="000000"/>
          <w:sz w:val="32"/>
          <w:szCs w:val="32"/>
        </w:rPr>
        <w:t>（</w:t>
      </w:r>
      <w:r>
        <w:rPr>
          <w:rFonts w:hint="eastAsia" w:ascii="楷体" w:hAnsi="楷体" w:eastAsia="楷体" w:cs="楷体"/>
          <w:b/>
          <w:color w:val="000000"/>
          <w:sz w:val="32"/>
          <w:szCs w:val="32"/>
          <w:lang w:val="en-US" w:eastAsia="zh-CN"/>
        </w:rPr>
        <w:t>四</w:t>
      </w:r>
      <w:r>
        <w:rPr>
          <w:rFonts w:hint="eastAsia" w:ascii="楷体" w:hAnsi="楷体" w:eastAsia="楷体" w:cs="楷体"/>
          <w:b/>
          <w:color w:val="000000"/>
          <w:sz w:val="32"/>
          <w:szCs w:val="32"/>
        </w:rPr>
        <w:t>）机关运行经费支出情况</w:t>
      </w:r>
      <w:bookmarkEnd w:id="87"/>
      <w:bookmarkEnd w:id="98"/>
      <w:bookmarkEnd w:id="99"/>
    </w:p>
    <w:p>
      <w:pPr>
        <w:spacing w:line="600" w:lineRule="exact"/>
        <w:ind w:firstLine="640" w:firstLineChars="200"/>
        <w:rPr>
          <w:rFonts w:ascii="仿宋_GB2312" w:eastAsia="仿宋_GB2312"/>
          <w:sz w:val="32"/>
          <w:szCs w:val="32"/>
        </w:rPr>
      </w:pPr>
      <w:bookmarkStart w:id="100" w:name="_Toc7294"/>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1</w:t>
      </w:r>
      <w:r>
        <w:rPr>
          <w:rFonts w:hint="eastAsia" w:ascii="仿宋_GB2312" w:eastAsia="仿宋_GB2312"/>
          <w:sz w:val="32"/>
          <w:szCs w:val="32"/>
        </w:rPr>
        <w:t>年，金川县供销合作社联合社运行经费支出</w:t>
      </w:r>
      <w:r>
        <w:rPr>
          <w:rFonts w:hint="eastAsia" w:ascii="仿宋_GB2312" w:eastAsia="仿宋_GB2312"/>
          <w:sz w:val="32"/>
          <w:szCs w:val="32"/>
          <w:lang w:val="en-US" w:eastAsia="zh-CN"/>
        </w:rPr>
        <w:t>12.96</w:t>
      </w:r>
      <w:r>
        <w:rPr>
          <w:rFonts w:hint="eastAsia" w:ascii="仿宋_GB2312" w:eastAsia="仿宋_GB2312"/>
          <w:sz w:val="32"/>
          <w:szCs w:val="32"/>
        </w:rPr>
        <w:t>万元，比20</w:t>
      </w:r>
      <w:r>
        <w:rPr>
          <w:rFonts w:hint="eastAsia" w:ascii="仿宋_GB2312" w:eastAsia="仿宋_GB2312"/>
          <w:sz w:val="32"/>
          <w:szCs w:val="32"/>
          <w:lang w:val="en-US" w:eastAsia="zh-CN"/>
        </w:rPr>
        <w:t>20</w:t>
      </w:r>
      <w:r>
        <w:rPr>
          <w:rFonts w:hint="eastAsia" w:ascii="仿宋_GB2312" w:eastAsia="仿宋_GB2312"/>
          <w:sz w:val="32"/>
          <w:szCs w:val="32"/>
        </w:rPr>
        <w:t>年增加</w:t>
      </w:r>
      <w:r>
        <w:rPr>
          <w:rFonts w:hint="eastAsia" w:ascii="仿宋_GB2312" w:eastAsia="仿宋_GB2312"/>
          <w:sz w:val="32"/>
          <w:szCs w:val="32"/>
          <w:lang w:val="en-US" w:eastAsia="zh-CN"/>
        </w:rPr>
        <w:t>3.81</w:t>
      </w:r>
      <w:r>
        <w:rPr>
          <w:rFonts w:hint="eastAsia" w:ascii="仿宋_GB2312" w:eastAsia="仿宋_GB2312"/>
          <w:sz w:val="32"/>
          <w:szCs w:val="32"/>
        </w:rPr>
        <w:t>万元，上升</w:t>
      </w:r>
      <w:r>
        <w:rPr>
          <w:rFonts w:hint="eastAsia" w:ascii="仿宋_GB2312" w:eastAsia="仿宋_GB2312"/>
          <w:sz w:val="32"/>
          <w:szCs w:val="32"/>
          <w:lang w:val="en-US" w:eastAsia="zh-CN"/>
        </w:rPr>
        <w:t>41.64</w:t>
      </w:r>
      <w:r>
        <w:rPr>
          <w:rFonts w:ascii="仿宋_GB2312" w:eastAsia="仿宋_GB2312"/>
          <w:sz w:val="32"/>
          <w:szCs w:val="32"/>
        </w:rPr>
        <w:t>%</w:t>
      </w:r>
      <w:r>
        <w:rPr>
          <w:rFonts w:hint="eastAsia" w:ascii="仿宋_GB2312" w:eastAsia="仿宋_GB2312"/>
          <w:sz w:val="32"/>
          <w:szCs w:val="32"/>
        </w:rPr>
        <w:t>。主要原因为办公费、其他交通费用等有所增长。</w:t>
      </w:r>
    </w:p>
    <w:p>
      <w:pPr>
        <w:keepNext w:val="0"/>
        <w:keepLines w:val="0"/>
        <w:pageBreakBefore w:val="0"/>
        <w:widowControl w:val="0"/>
        <w:kinsoku/>
        <w:wordWrap/>
        <w:overflowPunct/>
        <w:topLinePunct w:val="0"/>
        <w:autoSpaceDE w:val="0"/>
        <w:autoSpaceDN w:val="0"/>
        <w:bidi w:val="0"/>
        <w:adjustRightInd w:val="0"/>
        <w:spacing w:line="560" w:lineRule="exact"/>
        <w:ind w:left="0" w:firstLine="643" w:firstLineChars="200"/>
        <w:jc w:val="left"/>
        <w:textAlignment w:val="auto"/>
        <w:outlineLvl w:val="1"/>
        <w:rPr>
          <w:rFonts w:hint="eastAsia" w:ascii="楷体" w:hAnsi="楷体" w:eastAsia="楷体" w:cs="楷体"/>
          <w:b/>
          <w:color w:val="000000"/>
          <w:sz w:val="32"/>
          <w:szCs w:val="32"/>
        </w:rPr>
      </w:pPr>
      <w:bookmarkStart w:id="101" w:name="_Toc8761"/>
      <w:bookmarkStart w:id="102" w:name="_Toc17939"/>
      <w:r>
        <w:rPr>
          <w:rFonts w:hint="eastAsia" w:ascii="楷体" w:hAnsi="楷体" w:eastAsia="楷体" w:cs="楷体"/>
          <w:b/>
          <w:color w:val="000000"/>
          <w:sz w:val="32"/>
          <w:szCs w:val="32"/>
        </w:rPr>
        <w:t>（</w:t>
      </w:r>
      <w:r>
        <w:rPr>
          <w:rFonts w:hint="eastAsia" w:ascii="楷体" w:hAnsi="楷体" w:eastAsia="楷体" w:cs="楷体"/>
          <w:b/>
          <w:color w:val="000000"/>
          <w:sz w:val="32"/>
          <w:szCs w:val="32"/>
          <w:lang w:val="en-US" w:eastAsia="zh-CN"/>
        </w:rPr>
        <w:t>五</w:t>
      </w:r>
      <w:r>
        <w:rPr>
          <w:rFonts w:hint="eastAsia" w:ascii="楷体" w:hAnsi="楷体" w:eastAsia="楷体" w:cs="楷体"/>
          <w:b/>
          <w:color w:val="000000"/>
          <w:sz w:val="32"/>
          <w:szCs w:val="32"/>
        </w:rPr>
        <w:t>）国有资产占有使用情况</w:t>
      </w:r>
      <w:bookmarkEnd w:id="100"/>
      <w:bookmarkEnd w:id="101"/>
      <w:bookmarkEnd w:id="102"/>
    </w:p>
    <w:p>
      <w:pPr>
        <w:keepNext w:val="0"/>
        <w:keepLines w:val="0"/>
        <w:pageBreakBefore w:val="0"/>
        <w:widowControl w:val="0"/>
        <w:kinsoku/>
        <w:wordWrap/>
        <w:overflowPunct/>
        <w:topLinePunct w:val="0"/>
        <w:autoSpaceDE w:val="0"/>
        <w:autoSpaceDN w:val="0"/>
        <w:bidi w:val="0"/>
        <w:adjustRightInd w:val="0"/>
        <w:spacing w:line="560" w:lineRule="exact"/>
        <w:ind w:lef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1</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日，共有车辆0辆。</w:t>
      </w:r>
      <w:r>
        <w:rPr>
          <w:rFonts w:hint="eastAsia" w:ascii="仿宋_GB2312" w:eastAsia="仿宋_GB2312"/>
          <w:b/>
          <w:sz w:val="32"/>
          <w:szCs w:val="32"/>
        </w:rPr>
        <w:t xml:space="preserve"> </w:t>
      </w:r>
    </w:p>
    <w:p>
      <w:pPr>
        <w:pStyle w:val="4"/>
        <w:pageBreakBefore w:val="0"/>
        <w:kinsoku/>
        <w:wordWrap/>
        <w:overflowPunct/>
        <w:topLinePunct w:val="0"/>
        <w:bidi w:val="0"/>
        <w:spacing w:line="560" w:lineRule="exact"/>
        <w:ind w:left="0" w:firstLine="643" w:firstLineChars="200"/>
        <w:textAlignment w:val="auto"/>
        <w:rPr>
          <w:rFonts w:hint="eastAsia"/>
          <w:sz w:val="32"/>
          <w:szCs w:val="32"/>
        </w:rPr>
      </w:pPr>
      <w:bookmarkStart w:id="103" w:name="_Toc7485"/>
      <w:bookmarkStart w:id="104" w:name="_Toc1988"/>
      <w:bookmarkStart w:id="105" w:name="_Toc8685"/>
      <w:r>
        <w:rPr>
          <w:rFonts w:hint="eastAsia"/>
          <w:sz w:val="32"/>
          <w:szCs w:val="32"/>
          <w:lang w:eastAsia="zh-CN"/>
        </w:rPr>
        <w:t>（</w:t>
      </w:r>
      <w:r>
        <w:rPr>
          <w:rFonts w:hint="eastAsia"/>
          <w:sz w:val="32"/>
          <w:szCs w:val="32"/>
          <w:lang w:val="en-US" w:eastAsia="zh-CN"/>
        </w:rPr>
        <w:t>六</w:t>
      </w:r>
      <w:r>
        <w:rPr>
          <w:rFonts w:hint="eastAsia"/>
          <w:sz w:val="32"/>
          <w:szCs w:val="32"/>
          <w:lang w:eastAsia="zh-CN"/>
        </w:rPr>
        <w:t>）</w:t>
      </w:r>
      <w:r>
        <w:rPr>
          <w:rFonts w:hint="eastAsia"/>
          <w:sz w:val="32"/>
          <w:szCs w:val="32"/>
        </w:rPr>
        <w:t>资产负债结构情况</w:t>
      </w:r>
      <w:bookmarkEnd w:id="103"/>
      <w:bookmarkEnd w:id="104"/>
      <w:bookmarkEnd w:id="105"/>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color w:val="0000FF"/>
          <w:lang w:val="en-US" w:eastAsia="zh-CN"/>
        </w:rPr>
      </w:pPr>
      <w:r>
        <w:rPr>
          <w:rFonts w:hint="eastAsia"/>
          <w:sz w:val="32"/>
          <w:szCs w:val="32"/>
          <w:lang w:val="en-US" w:eastAsia="zh-CN"/>
        </w:rPr>
        <w:t>2021</w:t>
      </w:r>
      <w:r>
        <w:rPr>
          <w:rFonts w:hint="eastAsia" w:ascii="仿宋_GB2312" w:hAnsi="仿宋" w:eastAsia="仿宋_GB2312"/>
          <w:sz w:val="32"/>
          <w:szCs w:val="32"/>
        </w:rPr>
        <w:t>年末固定资产总</w:t>
      </w:r>
      <w:r>
        <w:rPr>
          <w:rFonts w:hint="eastAsia" w:ascii="仿宋_GB2312" w:hAnsi="仿宋" w:eastAsia="仿宋_GB2312"/>
          <w:sz w:val="32"/>
          <w:szCs w:val="32"/>
          <w:lang w:val="en-US" w:eastAsia="zh-CN"/>
        </w:rPr>
        <w:t>值</w:t>
      </w:r>
      <w:r>
        <w:rPr>
          <w:rFonts w:hint="eastAsia" w:ascii="仿宋_GB2312" w:hAnsi="仿宋"/>
          <w:sz w:val="32"/>
          <w:szCs w:val="32"/>
          <w:lang w:val="en-US" w:eastAsia="zh-CN"/>
        </w:rPr>
        <w:t>11.09</w:t>
      </w:r>
      <w:r>
        <w:rPr>
          <w:rFonts w:hint="eastAsia" w:ascii="仿宋_GB2312" w:hAnsi="仿宋" w:eastAsia="仿宋_GB2312"/>
          <w:sz w:val="32"/>
          <w:szCs w:val="32"/>
        </w:rPr>
        <w:t>万元</w:t>
      </w:r>
      <w:r>
        <w:rPr>
          <w:rFonts w:hint="eastAsia" w:ascii="仿宋_GB2312" w:hAnsi="仿宋" w:eastAsia="仿宋_GB2312"/>
          <w:sz w:val="32"/>
          <w:szCs w:val="32"/>
          <w:lang w:eastAsia="zh-CN"/>
        </w:rPr>
        <w:t>，</w:t>
      </w:r>
      <w:r>
        <w:rPr>
          <w:rFonts w:hint="eastAsia" w:ascii="仿宋_GB2312" w:hAnsi="仿宋" w:eastAsia="仿宋_GB2312"/>
          <w:sz w:val="32"/>
          <w:szCs w:val="32"/>
        </w:rPr>
        <w:t>较</w:t>
      </w:r>
      <w:r>
        <w:rPr>
          <w:rFonts w:hint="eastAsia" w:ascii="仿宋_GB2312" w:hAnsi="仿宋" w:eastAsia="仿宋_GB2312"/>
          <w:sz w:val="32"/>
          <w:szCs w:val="32"/>
          <w:lang w:val="en-US" w:eastAsia="zh-CN"/>
        </w:rPr>
        <w:t>2020</w:t>
      </w:r>
      <w:r>
        <w:rPr>
          <w:rFonts w:hint="eastAsia" w:ascii="仿宋_GB2312" w:hAnsi="仿宋" w:eastAsia="仿宋_GB2312"/>
          <w:sz w:val="32"/>
          <w:szCs w:val="32"/>
        </w:rPr>
        <w:t>年</w:t>
      </w:r>
      <w:r>
        <w:rPr>
          <w:rFonts w:hint="eastAsia" w:ascii="仿宋_GB2312" w:hAnsi="仿宋"/>
          <w:sz w:val="32"/>
          <w:szCs w:val="32"/>
          <w:lang w:val="en-US" w:eastAsia="zh-CN"/>
        </w:rPr>
        <w:t>11.09</w:t>
      </w:r>
      <w:r>
        <w:rPr>
          <w:rFonts w:hint="eastAsia" w:ascii="仿宋_GB2312" w:hAnsi="仿宋" w:eastAsia="仿宋_GB2312"/>
          <w:sz w:val="32"/>
          <w:szCs w:val="32"/>
        </w:rPr>
        <w:t>万元无增加。</w:t>
      </w:r>
      <w:r>
        <w:rPr>
          <w:rFonts w:hint="eastAsia"/>
          <w:sz w:val="32"/>
          <w:szCs w:val="32"/>
          <w:lang w:val="en-US" w:eastAsia="zh-CN"/>
        </w:rPr>
        <w:t>2021</w:t>
      </w:r>
      <w:r>
        <w:rPr>
          <w:rFonts w:hint="eastAsia" w:ascii="仿宋_GB2312" w:hAnsi="仿宋" w:eastAsia="仿宋_GB2312"/>
          <w:sz w:val="32"/>
          <w:szCs w:val="32"/>
        </w:rPr>
        <w:t>年年末固定资产</w:t>
      </w:r>
      <w:r>
        <w:rPr>
          <w:rFonts w:hint="eastAsia" w:ascii="仿宋_GB2312" w:hAnsi="仿宋" w:eastAsia="仿宋_GB2312"/>
          <w:sz w:val="32"/>
          <w:szCs w:val="32"/>
          <w:lang w:val="en-US" w:eastAsia="zh-CN"/>
        </w:rPr>
        <w:t>累计折旧</w:t>
      </w:r>
      <w:r>
        <w:rPr>
          <w:rFonts w:hint="eastAsia" w:ascii="仿宋_GB2312" w:hAnsi="仿宋"/>
          <w:sz w:val="32"/>
          <w:szCs w:val="32"/>
          <w:lang w:val="en-US" w:eastAsia="zh-CN"/>
        </w:rPr>
        <w:t>4.06</w:t>
      </w:r>
      <w:r>
        <w:rPr>
          <w:rFonts w:hint="eastAsia" w:ascii="仿宋_GB2312" w:hAnsi="仿宋" w:eastAsia="仿宋_GB2312"/>
          <w:sz w:val="32"/>
          <w:szCs w:val="32"/>
          <w:lang w:val="en-US" w:eastAsia="zh-CN"/>
        </w:rPr>
        <w:t>万元，</w:t>
      </w:r>
      <w:r>
        <w:rPr>
          <w:rFonts w:hint="eastAsia" w:ascii="仿宋_GB2312" w:hAnsi="仿宋" w:eastAsia="仿宋_GB2312"/>
          <w:sz w:val="32"/>
          <w:szCs w:val="32"/>
        </w:rPr>
        <w:t>固定资产</w:t>
      </w:r>
      <w:r>
        <w:rPr>
          <w:rFonts w:hint="eastAsia" w:ascii="仿宋_GB2312" w:hAnsi="仿宋" w:eastAsia="仿宋_GB2312"/>
          <w:sz w:val="32"/>
          <w:szCs w:val="32"/>
          <w:lang w:val="en-US" w:eastAsia="zh-CN"/>
        </w:rPr>
        <w:t>净值</w:t>
      </w:r>
      <w:r>
        <w:rPr>
          <w:rFonts w:hint="eastAsia" w:ascii="仿宋_GB2312" w:hAnsi="仿宋"/>
          <w:sz w:val="32"/>
          <w:szCs w:val="32"/>
          <w:lang w:val="en-US" w:eastAsia="zh-CN"/>
        </w:rPr>
        <w:t>7.03</w:t>
      </w:r>
      <w:r>
        <w:rPr>
          <w:rFonts w:hint="eastAsia" w:ascii="仿宋_GB2312" w:hAnsi="仿宋" w:eastAsia="仿宋_GB2312"/>
          <w:sz w:val="32"/>
          <w:szCs w:val="32"/>
          <w:lang w:val="en-US" w:eastAsia="zh-CN"/>
        </w:rPr>
        <w:t>万元。</w:t>
      </w:r>
      <w:bookmarkStart w:id="106" w:name="_Toc10747"/>
      <w:bookmarkStart w:id="107" w:name="_Toc31471"/>
      <w:bookmarkStart w:id="108" w:name="_Toc19803"/>
    </w:p>
    <w:p>
      <w:pPr>
        <w:pStyle w:val="3"/>
        <w:pageBreakBefore w:val="0"/>
        <w:kinsoku/>
        <w:wordWrap/>
        <w:overflowPunct/>
        <w:topLinePunct w:val="0"/>
        <w:bidi w:val="0"/>
        <w:spacing w:line="560" w:lineRule="exact"/>
        <w:ind w:left="0" w:leftChars="0" w:firstLine="0" w:firstLineChars="0"/>
        <w:jc w:val="center"/>
        <w:textAlignment w:val="auto"/>
        <w:rPr>
          <w:rFonts w:hint="default" w:ascii="Times New Roman" w:hAnsi="Times New Roman" w:cs="Times New Roman"/>
          <w:b w:val="0"/>
          <w:bCs/>
          <w:color w:val="auto"/>
          <w:sz w:val="44"/>
          <w:szCs w:val="44"/>
          <w:lang w:val="en-US" w:eastAsia="zh-CN"/>
        </w:rPr>
      </w:pPr>
      <w:bookmarkStart w:id="109" w:name="_Toc28410"/>
      <w:bookmarkStart w:id="110" w:name="_Toc5069"/>
      <w:r>
        <w:rPr>
          <w:rFonts w:hint="default" w:ascii="Times New Roman" w:hAnsi="Times New Roman" w:cs="Times New Roman"/>
          <w:b w:val="0"/>
          <w:bCs/>
          <w:color w:val="auto"/>
          <w:sz w:val="44"/>
          <w:szCs w:val="44"/>
          <w:lang w:val="en-US" w:eastAsia="zh-CN"/>
        </w:rPr>
        <w:t>第三部分</w:t>
      </w:r>
      <w:bookmarkEnd w:id="106"/>
      <w:bookmarkEnd w:id="107"/>
      <w:bookmarkEnd w:id="108"/>
      <w:bookmarkStart w:id="111" w:name="_Toc15377225"/>
      <w:bookmarkStart w:id="112" w:name="_Toc15396613"/>
      <w:r>
        <w:rPr>
          <w:rFonts w:hint="eastAsia" w:cs="Times New Roman"/>
          <w:b w:val="0"/>
          <w:bCs/>
          <w:color w:val="auto"/>
          <w:sz w:val="44"/>
          <w:szCs w:val="44"/>
          <w:lang w:val="en-US" w:eastAsia="zh-CN"/>
        </w:rPr>
        <w:t xml:space="preserve"> </w:t>
      </w:r>
      <w:r>
        <w:rPr>
          <w:rFonts w:hint="eastAsia" w:ascii="Times New Roman" w:hAnsi="Times New Roman" w:cs="Times New Roman"/>
          <w:b w:val="0"/>
          <w:bCs/>
          <w:color w:val="auto"/>
          <w:sz w:val="44"/>
          <w:szCs w:val="44"/>
          <w:lang w:val="en-US" w:eastAsia="zh-CN"/>
        </w:rPr>
        <w:t>名词解释</w:t>
      </w:r>
      <w:bookmarkEnd w:id="109"/>
      <w:bookmarkEnd w:id="110"/>
      <w:bookmarkEnd w:id="111"/>
      <w:bookmarkEnd w:id="112"/>
    </w:p>
    <w:p>
      <w:pPr>
        <w:pStyle w:val="1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1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1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16"/>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6"/>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6"/>
        <w:pageBreakBefore w:val="0"/>
        <w:kinsoku/>
        <w:wordWrap/>
        <w:overflowPunct/>
        <w:topLinePunct w:val="0"/>
        <w:bidi w:val="0"/>
        <w:spacing w:line="560" w:lineRule="exact"/>
        <w:ind w:left="0" w:firstLine="640" w:firstLineChars="200"/>
        <w:textAlignment w:val="auto"/>
        <w:rPr>
          <w:rFonts w:hint="eastAsia" w:ascii="仿宋_GB2312" w:eastAsia="仿宋_GB2312" w:cs="黑体"/>
          <w:color w:val="0000FF"/>
          <w:sz w:val="32"/>
          <w:szCs w:val="32"/>
        </w:rPr>
      </w:pPr>
    </w:p>
    <w:p>
      <w:pPr>
        <w:pageBreakBefore w:val="0"/>
        <w:kinsoku/>
        <w:wordWrap/>
        <w:overflowPunct/>
        <w:topLinePunct w:val="0"/>
        <w:bidi w:val="0"/>
        <w:spacing w:line="560" w:lineRule="exact"/>
        <w:ind w:left="0" w:firstLine="643" w:firstLineChars="200"/>
        <w:textAlignment w:val="auto"/>
        <w:rPr>
          <w:rFonts w:hint="eastAsia" w:ascii="仿宋_GB2312" w:eastAsia="仿宋_GB2312"/>
          <w:b/>
          <w:i/>
          <w:color w:val="0000FF"/>
          <w:sz w:val="32"/>
          <w:szCs w:val="32"/>
        </w:rPr>
      </w:pPr>
    </w:p>
    <w:p>
      <w:pPr>
        <w:pStyle w:val="3"/>
        <w:pageBreakBefore w:val="0"/>
        <w:kinsoku/>
        <w:wordWrap/>
        <w:overflowPunct/>
        <w:topLinePunct w:val="0"/>
        <w:bidi w:val="0"/>
        <w:spacing w:line="560" w:lineRule="exact"/>
        <w:ind w:left="0" w:firstLine="643" w:firstLineChars="200"/>
        <w:jc w:val="center"/>
        <w:textAlignment w:val="auto"/>
        <w:rPr>
          <w:rFonts w:hint="eastAsia" w:ascii="仿宋_GB2312" w:hAnsi="仿宋_GB2312" w:eastAsia="仿宋_GB2312" w:cs="仿宋_GB2312"/>
          <w:b/>
          <w:color w:val="0000FF"/>
          <w:sz w:val="32"/>
          <w:szCs w:val="32"/>
          <w:lang w:eastAsia="zh-CN"/>
        </w:rPr>
      </w:pPr>
      <w:bookmarkStart w:id="113" w:name="_Toc11061"/>
    </w:p>
    <w:p>
      <w:pPr>
        <w:pStyle w:val="3"/>
        <w:pageBreakBefore w:val="0"/>
        <w:kinsoku/>
        <w:wordWrap/>
        <w:overflowPunct/>
        <w:topLinePunct w:val="0"/>
        <w:bidi w:val="0"/>
        <w:spacing w:line="560" w:lineRule="exact"/>
        <w:ind w:left="0" w:firstLine="643" w:firstLineChars="200"/>
        <w:jc w:val="center"/>
        <w:textAlignment w:val="auto"/>
        <w:rPr>
          <w:rFonts w:hint="eastAsia" w:ascii="仿宋_GB2312" w:hAnsi="仿宋_GB2312" w:eastAsia="仿宋_GB2312" w:cs="仿宋_GB2312"/>
          <w:b/>
          <w:color w:val="0000FF"/>
          <w:sz w:val="32"/>
          <w:szCs w:val="32"/>
        </w:rPr>
      </w:pPr>
    </w:p>
    <w:p>
      <w:pPr>
        <w:pStyle w:val="3"/>
        <w:pageBreakBefore w:val="0"/>
        <w:kinsoku/>
        <w:wordWrap/>
        <w:overflowPunct/>
        <w:topLinePunct w:val="0"/>
        <w:bidi w:val="0"/>
        <w:spacing w:line="560" w:lineRule="exact"/>
        <w:ind w:left="0" w:firstLine="643" w:firstLineChars="200"/>
        <w:jc w:val="center"/>
        <w:textAlignment w:val="auto"/>
        <w:rPr>
          <w:rFonts w:hint="eastAsia" w:ascii="仿宋_GB2312" w:hAnsi="仿宋_GB2312" w:eastAsia="仿宋_GB2312" w:cs="仿宋_GB2312"/>
          <w:b/>
          <w:color w:val="0000FF"/>
          <w:sz w:val="32"/>
          <w:szCs w:val="32"/>
        </w:rPr>
      </w:pPr>
    </w:p>
    <w:p>
      <w:pPr>
        <w:pStyle w:val="3"/>
        <w:pageBreakBefore w:val="0"/>
        <w:kinsoku/>
        <w:wordWrap/>
        <w:overflowPunct/>
        <w:topLinePunct w:val="0"/>
        <w:bidi w:val="0"/>
        <w:spacing w:line="560" w:lineRule="exact"/>
        <w:ind w:left="0" w:firstLine="643" w:firstLineChars="200"/>
        <w:jc w:val="center"/>
        <w:textAlignment w:val="auto"/>
        <w:rPr>
          <w:rFonts w:hint="eastAsia" w:ascii="仿宋_GB2312" w:hAnsi="仿宋_GB2312" w:eastAsia="仿宋_GB2312" w:cs="仿宋_GB2312"/>
          <w:b/>
          <w:color w:val="0000FF"/>
          <w:sz w:val="32"/>
          <w:szCs w:val="32"/>
        </w:rPr>
      </w:pPr>
    </w:p>
    <w:bookmarkEnd w:id="113"/>
    <w:p>
      <w:pPr>
        <w:pageBreakBefore w:val="0"/>
        <w:kinsoku/>
        <w:wordWrap/>
        <w:overflowPunct/>
        <w:topLinePunct w:val="0"/>
        <w:bidi w:val="0"/>
        <w:spacing w:line="560" w:lineRule="exact"/>
        <w:ind w:left="0" w:firstLine="640" w:firstLineChars="200"/>
        <w:textAlignment w:val="auto"/>
        <w:rPr>
          <w:rFonts w:hint="eastAsia" w:ascii="仿宋_GB2312" w:hAnsi="Calibri" w:eastAsia="仿宋_GB2312" w:cs="仿宋"/>
          <w:color w:val="0000FF"/>
          <w:kern w:val="0"/>
          <w:sz w:val="32"/>
          <w:szCs w:val="32"/>
          <w:lang w:eastAsia="zh-CN"/>
        </w:rPr>
      </w:pPr>
    </w:p>
    <w:p>
      <w:pPr>
        <w:pStyle w:val="2"/>
        <w:rPr>
          <w:rFonts w:hint="eastAsia" w:ascii="仿宋_GB2312" w:hAnsi="Calibri" w:eastAsia="仿宋_GB2312" w:cs="仿宋"/>
          <w:color w:val="0000FF"/>
          <w:kern w:val="0"/>
          <w:sz w:val="32"/>
          <w:szCs w:val="32"/>
          <w:lang w:eastAsia="zh-CN"/>
        </w:rPr>
      </w:pPr>
    </w:p>
    <w:p>
      <w:pPr>
        <w:pStyle w:val="2"/>
        <w:rPr>
          <w:rFonts w:hint="eastAsia" w:ascii="仿宋_GB2312" w:hAnsi="Calibri" w:eastAsia="仿宋_GB2312" w:cs="仿宋"/>
          <w:color w:val="0000FF"/>
          <w:kern w:val="0"/>
          <w:sz w:val="32"/>
          <w:szCs w:val="32"/>
          <w:lang w:eastAsia="zh-CN"/>
        </w:rPr>
      </w:pPr>
    </w:p>
    <w:p>
      <w:pPr>
        <w:pStyle w:val="2"/>
        <w:rPr>
          <w:rFonts w:hint="eastAsia" w:ascii="仿宋_GB2312" w:hAnsi="Calibri" w:eastAsia="仿宋_GB2312" w:cs="仿宋"/>
          <w:color w:val="0000FF"/>
          <w:kern w:val="0"/>
          <w:sz w:val="32"/>
          <w:szCs w:val="32"/>
          <w:lang w:eastAsia="zh-CN"/>
        </w:rPr>
      </w:pPr>
    </w:p>
    <w:p>
      <w:pPr>
        <w:pStyle w:val="2"/>
        <w:rPr>
          <w:rFonts w:hint="eastAsia" w:ascii="仿宋_GB2312" w:hAnsi="Calibri" w:eastAsia="仿宋_GB2312" w:cs="仿宋"/>
          <w:color w:val="0000FF"/>
          <w:kern w:val="0"/>
          <w:sz w:val="32"/>
          <w:szCs w:val="32"/>
          <w:lang w:eastAsia="zh-CN"/>
        </w:rPr>
      </w:pPr>
    </w:p>
    <w:p>
      <w:pPr>
        <w:pStyle w:val="2"/>
        <w:rPr>
          <w:rFonts w:hint="eastAsia" w:ascii="仿宋_GB2312" w:hAnsi="Calibri" w:eastAsia="仿宋_GB2312" w:cs="仿宋"/>
          <w:color w:val="0000FF"/>
          <w:kern w:val="0"/>
          <w:sz w:val="32"/>
          <w:szCs w:val="32"/>
          <w:lang w:eastAsia="zh-CN"/>
        </w:rPr>
      </w:pPr>
    </w:p>
    <w:p>
      <w:pPr>
        <w:pStyle w:val="2"/>
        <w:rPr>
          <w:rFonts w:hint="eastAsia" w:ascii="仿宋_GB2312" w:hAnsi="Calibri" w:eastAsia="仿宋_GB2312" w:cs="仿宋"/>
          <w:color w:val="0000FF"/>
          <w:kern w:val="0"/>
          <w:sz w:val="32"/>
          <w:szCs w:val="32"/>
          <w:lang w:eastAsia="zh-CN"/>
        </w:rPr>
      </w:pPr>
    </w:p>
    <w:p>
      <w:pPr>
        <w:pStyle w:val="4"/>
        <w:rPr>
          <w:rStyle w:val="18"/>
          <w:rFonts w:ascii="仿宋" w:eastAsia="仿宋"/>
          <w:b w:val="0"/>
          <w:bCs w:val="0"/>
          <w:sz w:val="32"/>
          <w:szCs w:val="32"/>
        </w:rPr>
      </w:pPr>
    </w:p>
    <w:p>
      <w:pPr>
        <w:pStyle w:val="3"/>
        <w:pageBreakBefore w:val="0"/>
        <w:kinsoku/>
        <w:wordWrap/>
        <w:overflowPunct/>
        <w:topLinePunct w:val="0"/>
        <w:bidi w:val="0"/>
        <w:spacing w:line="560" w:lineRule="exact"/>
        <w:ind w:left="0" w:leftChars="0" w:firstLine="0" w:firstLineChars="0"/>
        <w:jc w:val="center"/>
        <w:textAlignment w:val="auto"/>
        <w:rPr>
          <w:rFonts w:hint="default" w:ascii="Times New Roman" w:hAnsi="Times New Roman" w:cs="Times New Roman"/>
          <w:b w:val="0"/>
          <w:bCs/>
          <w:color w:val="auto"/>
          <w:sz w:val="44"/>
          <w:szCs w:val="44"/>
          <w:lang w:val="en-US" w:eastAsia="zh-CN"/>
        </w:rPr>
      </w:pPr>
      <w:bookmarkStart w:id="114" w:name="_Toc20931"/>
      <w:bookmarkStart w:id="115" w:name="_Toc15380"/>
      <w:r>
        <w:rPr>
          <w:rFonts w:hint="default" w:ascii="Times New Roman" w:hAnsi="Times New Roman" w:cs="Times New Roman"/>
          <w:b w:val="0"/>
          <w:bCs/>
          <w:color w:val="auto"/>
          <w:sz w:val="44"/>
          <w:szCs w:val="44"/>
          <w:lang w:val="en-US" w:eastAsia="zh-CN"/>
        </w:rPr>
        <w:t>第</w:t>
      </w:r>
      <w:r>
        <w:rPr>
          <w:rFonts w:hint="eastAsia" w:cs="Times New Roman"/>
          <w:b w:val="0"/>
          <w:bCs/>
          <w:color w:val="auto"/>
          <w:sz w:val="44"/>
          <w:szCs w:val="44"/>
          <w:lang w:val="en-US" w:eastAsia="zh-CN"/>
        </w:rPr>
        <w:t>四</w:t>
      </w:r>
      <w:r>
        <w:rPr>
          <w:rFonts w:hint="default" w:ascii="Times New Roman" w:hAnsi="Times New Roman" w:cs="Times New Roman"/>
          <w:b w:val="0"/>
          <w:bCs/>
          <w:color w:val="auto"/>
          <w:sz w:val="44"/>
          <w:szCs w:val="44"/>
          <w:lang w:val="en-US" w:eastAsia="zh-CN"/>
        </w:rPr>
        <w:t>部分</w:t>
      </w:r>
      <w:r>
        <w:rPr>
          <w:rFonts w:hint="eastAsia" w:ascii="Times New Roman" w:hAnsi="Times New Roman" w:cs="Times New Roman"/>
          <w:b w:val="0"/>
          <w:bCs/>
          <w:color w:val="auto"/>
          <w:sz w:val="44"/>
          <w:szCs w:val="44"/>
          <w:lang w:val="en-US" w:eastAsia="zh-CN"/>
        </w:rPr>
        <w:t xml:space="preserve"> </w:t>
      </w:r>
      <w:r>
        <w:rPr>
          <w:rFonts w:hint="eastAsia" w:cs="Times New Roman"/>
          <w:b w:val="0"/>
          <w:bCs/>
          <w:color w:val="auto"/>
          <w:sz w:val="44"/>
          <w:szCs w:val="44"/>
          <w:lang w:val="en-US" w:eastAsia="zh-CN"/>
        </w:rPr>
        <w:t>附件</w:t>
      </w:r>
      <w:bookmarkEnd w:id="114"/>
      <w:bookmarkEnd w:id="115"/>
    </w:p>
    <w:p>
      <w:pPr>
        <w:widowControl/>
        <w:spacing w:line="580" w:lineRule="exact"/>
        <w:contextualSpacing/>
        <w:jc w:val="center"/>
        <w:rPr>
          <w:rFonts w:ascii="宋体" w:hAnsi="宋体"/>
          <w:b/>
          <w:sz w:val="44"/>
          <w:szCs w:val="44"/>
          <w:shd w:val="clear" w:color="auto" w:fill="FFFFFF"/>
        </w:rPr>
      </w:pPr>
      <w:r>
        <w:rPr>
          <w:rFonts w:hint="eastAsia" w:ascii="宋体" w:hAnsi="宋体"/>
          <w:b/>
          <w:sz w:val="44"/>
          <w:szCs w:val="44"/>
          <w:shd w:val="clear" w:color="auto" w:fill="FFFFFF"/>
        </w:rPr>
        <w:t>2021年金川县供销合作社联合社</w:t>
      </w:r>
    </w:p>
    <w:p>
      <w:pPr>
        <w:widowControl/>
        <w:spacing w:line="580" w:lineRule="exact"/>
        <w:contextualSpacing/>
        <w:jc w:val="center"/>
        <w:rPr>
          <w:rFonts w:ascii="宋体" w:hAnsi="宋体"/>
          <w:b/>
          <w:sz w:val="44"/>
          <w:szCs w:val="44"/>
          <w:shd w:val="clear" w:color="auto" w:fill="FFFFFF"/>
        </w:rPr>
      </w:pPr>
      <w:r>
        <w:rPr>
          <w:rFonts w:hint="eastAsia" w:ascii="宋体" w:hAnsi="宋体"/>
          <w:b/>
          <w:sz w:val="44"/>
          <w:szCs w:val="44"/>
          <w:shd w:val="clear" w:color="auto" w:fill="FFFFFF"/>
        </w:rPr>
        <w:t>整体支出绩效评价报告</w:t>
      </w: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r>
        <w:rPr>
          <w:rFonts w:hint="eastAsia" w:ascii="仿宋_GB2312" w:eastAsia="仿宋_GB2312"/>
          <w:sz w:val="32"/>
          <w:szCs w:val="32"/>
        </w:rPr>
        <w:t>为了贯彻落实《预算法》和《中共中央、国务院全面实施绩效管理的意见》，根据《金川县财政局关于开展2021年部门、政策和项目支出绩效评价工作的通知》（金财监绩〔2021〕26号）文件要求，现就我单位2021年部门整体支出绩效情况报告如下：</w:t>
      </w:r>
    </w:p>
    <w:p>
      <w:pPr>
        <w:ind w:firstLine="640" w:firstLineChars="20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部门（单位）概况</w:t>
      </w:r>
    </w:p>
    <w:p>
      <w:pPr>
        <w:numPr>
          <w:ilvl w:val="0"/>
          <w:numId w:val="3"/>
        </w:numPr>
        <w:ind w:firstLine="643" w:firstLineChars="200"/>
        <w:rPr>
          <w:rFonts w:ascii="楷体_GB2312" w:eastAsia="楷体_GB2312"/>
          <w:b/>
          <w:sz w:val="32"/>
          <w:szCs w:val="32"/>
          <w:lang w:val="zh-CN"/>
        </w:rPr>
      </w:pPr>
      <w:r>
        <w:rPr>
          <w:rFonts w:hint="eastAsia" w:ascii="楷体_GB2312" w:eastAsia="楷体_GB2312"/>
          <w:b/>
          <w:sz w:val="32"/>
          <w:szCs w:val="32"/>
          <w:lang w:val="zh-CN"/>
        </w:rPr>
        <w:t>机构组成。</w:t>
      </w:r>
    </w:p>
    <w:p>
      <w:pPr>
        <w:widowControl/>
        <w:adjustRightInd w:val="0"/>
        <w:snapToGrid w:val="0"/>
        <w:spacing w:line="580" w:lineRule="exact"/>
        <w:ind w:firstLine="640" w:firstLineChars="200"/>
        <w:contextualSpacing/>
        <w:jc w:val="left"/>
        <w:rPr>
          <w:rFonts w:ascii="仿宋_GB2312" w:eastAsia="仿宋_GB2312" w:cs="宋体"/>
          <w:color w:val="000000"/>
          <w:kern w:val="0"/>
          <w:szCs w:val="32"/>
          <w:shd w:val="clear" w:color="auto" w:fill="FFFFFF"/>
        </w:rPr>
      </w:pPr>
      <w:r>
        <w:rPr>
          <w:rFonts w:hint="eastAsia" w:eastAsia="仿宋_GB2312"/>
          <w:sz w:val="32"/>
          <w:szCs w:val="32"/>
        </w:rPr>
        <w:t xml:space="preserve"> </w:t>
      </w:r>
      <w:r>
        <w:rPr>
          <w:rFonts w:hint="eastAsia" w:ascii="仿宋_GB2312" w:eastAsia="仿宋_GB2312"/>
          <w:spacing w:val="-2"/>
          <w:sz w:val="32"/>
          <w:szCs w:val="32"/>
        </w:rPr>
        <w:t>本单位属于一级预算单位，是参公管理的事业单位。</w:t>
      </w:r>
      <w:r>
        <w:rPr>
          <w:rFonts w:hint="eastAsia" w:eastAsia="仿宋_GB2312"/>
          <w:sz w:val="32"/>
          <w:szCs w:val="32"/>
        </w:rPr>
        <w:t xml:space="preserve"> </w:t>
      </w:r>
      <w:r>
        <w:rPr>
          <w:rFonts w:hint="eastAsia" w:ascii="仿宋_GB2312" w:hAnsi="Times New Roman" w:eastAsia="仿宋_GB2312" w:cs="Times New Roman"/>
          <w:b w:val="0"/>
          <w:kern w:val="2"/>
          <w:sz w:val="32"/>
          <w:szCs w:val="32"/>
          <w:lang w:val="en-US" w:eastAsia="zh-CN" w:bidi="ar-SA"/>
        </w:rPr>
        <w:t>设统一核算机构为1个，独立编制机构为1个。</w:t>
      </w:r>
      <w:r>
        <w:rPr>
          <w:rFonts w:hint="eastAsia" w:ascii="仿宋_GB2312" w:cs="宋体"/>
          <w:color w:val="000000"/>
          <w:kern w:val="0"/>
          <w:szCs w:val="32"/>
          <w:shd w:val="clear" w:color="auto" w:fill="FFFFFF"/>
        </w:rPr>
        <w:t xml:space="preserve"> </w:t>
      </w:r>
    </w:p>
    <w:p>
      <w:pPr>
        <w:numPr>
          <w:ilvl w:val="0"/>
          <w:numId w:val="3"/>
        </w:numPr>
        <w:ind w:firstLine="643" w:firstLineChars="200"/>
        <w:rPr>
          <w:rFonts w:ascii="楷体_GB2312" w:eastAsia="楷体_GB2312"/>
          <w:b/>
          <w:sz w:val="32"/>
          <w:szCs w:val="32"/>
          <w:lang w:val="zh-CN"/>
        </w:rPr>
      </w:pPr>
      <w:r>
        <w:rPr>
          <w:rFonts w:hint="eastAsia" w:ascii="楷体_GB2312" w:eastAsia="楷体_GB2312"/>
          <w:b/>
          <w:sz w:val="32"/>
          <w:szCs w:val="32"/>
          <w:lang w:val="zh-CN"/>
        </w:rPr>
        <w:t>机构职能。</w:t>
      </w:r>
    </w:p>
    <w:p>
      <w:pPr>
        <w:widowControl/>
        <w:adjustRightInd w:val="0"/>
        <w:snapToGrid w:val="0"/>
        <w:spacing w:line="580" w:lineRule="exact"/>
        <w:contextualSpacing/>
        <w:jc w:val="left"/>
        <w:rPr>
          <w:rFonts w:ascii="仿宋" w:hAnsi="仿宋" w:eastAsia="仿宋" w:cs="仿宋"/>
          <w:sz w:val="32"/>
          <w:szCs w:val="32"/>
          <w:lang w:val="zh-CN"/>
        </w:rPr>
      </w:pPr>
      <w:r>
        <w:rPr>
          <w:rFonts w:hint="eastAsia" w:ascii="仿宋" w:hAnsi="仿宋" w:eastAsia="仿宋" w:cs="仿宋"/>
          <w:sz w:val="32"/>
          <w:szCs w:val="32"/>
        </w:rPr>
        <w:t>负责研究和制定全县供销合作社的发展战略和发展规划，指导全县供销社的改革和发展，按照县政府的授权对重要农业生产资料、农副畜产品经营、烟花爆竹、再生资源和毛绒经营的组织、协调和管理，对基层社进行的业务指导，促进城乡物资交流，宣传贯彻党中央、国务院有关农村经济工作的方针政策，组织全县农村合作经济组织和农民经纪人，引导农民进入市场，发展农业产业化经营，为农业、农村和农民提供服务，牵头成立农民经纪人协会和各类农产品行业协会，成为政府与农民密切联系的桥梁和纽带。行使本级社有资产出资人代表职能，监督社有资产的保值增值。</w:t>
      </w:r>
    </w:p>
    <w:p>
      <w:pPr>
        <w:numPr>
          <w:ilvl w:val="0"/>
          <w:numId w:val="3"/>
        </w:numPr>
        <w:ind w:firstLine="643" w:firstLineChars="200"/>
        <w:rPr>
          <w:rFonts w:ascii="楷体_GB2312" w:eastAsia="楷体_GB2312"/>
          <w:b/>
          <w:sz w:val="32"/>
          <w:szCs w:val="32"/>
          <w:lang w:val="zh-CN"/>
        </w:rPr>
      </w:pPr>
      <w:r>
        <w:rPr>
          <w:rFonts w:hint="eastAsia" w:ascii="楷体_GB2312" w:eastAsia="楷体_GB2312"/>
          <w:b/>
          <w:sz w:val="32"/>
          <w:szCs w:val="32"/>
          <w:lang w:val="zh-CN"/>
        </w:rPr>
        <w:t>人员概况</w:t>
      </w:r>
    </w:p>
    <w:p>
      <w:pPr>
        <w:widowControl/>
        <w:adjustRightInd w:val="0"/>
        <w:snapToGrid w:val="0"/>
        <w:spacing w:line="580" w:lineRule="exact"/>
        <w:contextualSpacing/>
        <w:jc w:val="left"/>
        <w:rPr>
          <w:rFonts w:hint="eastAsia" w:ascii="仿宋_GB2312" w:hAnsi="Times New Roman" w:eastAsia="仿宋_GB2312" w:cs="Times New Roman"/>
          <w:b w:val="0"/>
          <w:kern w:val="2"/>
          <w:sz w:val="32"/>
          <w:szCs w:val="32"/>
          <w:lang w:val="en-US" w:eastAsia="zh-CN" w:bidi="ar-SA"/>
        </w:rPr>
      </w:pPr>
      <w:r>
        <w:rPr>
          <w:rFonts w:hint="eastAsia" w:ascii="仿宋_GB2312" w:cs="宋体"/>
          <w:color w:val="000000"/>
          <w:kern w:val="0"/>
          <w:szCs w:val="32"/>
          <w:shd w:val="clear" w:color="auto" w:fill="FFFFFF"/>
        </w:rPr>
        <w:t xml:space="preserve"> </w:t>
      </w:r>
      <w:r>
        <w:rPr>
          <w:rFonts w:hint="eastAsia" w:ascii="仿宋" w:hAnsi="仿宋" w:eastAsia="仿宋" w:cs="仿宋"/>
          <w:sz w:val="32"/>
          <w:szCs w:val="32"/>
          <w:lang w:val="zh-CN"/>
        </w:rPr>
        <w:t>1、编制情况</w:t>
      </w:r>
      <w:r>
        <w:rPr>
          <w:rFonts w:hint="eastAsia" w:ascii="仿宋" w:hAnsi="仿宋" w:eastAsia="仿宋" w:cs="仿宋"/>
          <w:sz w:val="32"/>
          <w:szCs w:val="32"/>
        </w:rPr>
        <w:tab/>
      </w:r>
    </w:p>
    <w:p>
      <w:pPr>
        <w:widowControl/>
        <w:adjustRightInd w:val="0"/>
        <w:snapToGrid w:val="0"/>
        <w:spacing w:line="580" w:lineRule="exact"/>
        <w:contextualSpacing/>
        <w:jc w:val="left"/>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w:t>
      </w:r>
      <w:r>
        <w:rPr>
          <w:rFonts w:hint="eastAsia" w:ascii="仿宋_GB2312" w:hAnsi="Times New Roman" w:eastAsia="仿宋_GB2312" w:cs="Times New Roman"/>
          <w:b w:val="0"/>
          <w:kern w:val="2"/>
          <w:sz w:val="32"/>
          <w:szCs w:val="32"/>
          <w:lang w:val="en-US" w:eastAsia="zh-CN" w:bidi="ar-SA"/>
        </w:rPr>
        <w:t>单位</w:t>
      </w:r>
      <w:r>
        <w:rPr>
          <w:rFonts w:hint="eastAsia" w:ascii="仿宋" w:hAnsi="仿宋" w:eastAsia="仿宋" w:cs="仿宋"/>
          <w:sz w:val="32"/>
          <w:szCs w:val="32"/>
        </w:rPr>
        <w:t>编制数7</w:t>
      </w:r>
      <w:r>
        <w:rPr>
          <w:rFonts w:hint="eastAsia" w:ascii="仿宋" w:hAnsi="仿宋" w:eastAsia="仿宋" w:cs="仿宋"/>
          <w:sz w:val="32"/>
          <w:szCs w:val="32"/>
          <w:lang w:val="en-US" w:eastAsia="zh-CN"/>
        </w:rPr>
        <w:t>个</w:t>
      </w:r>
      <w:r>
        <w:rPr>
          <w:rFonts w:hint="eastAsia" w:ascii="仿宋" w:hAnsi="仿宋" w:eastAsia="仿宋" w:cs="仿宋"/>
          <w:sz w:val="32"/>
          <w:szCs w:val="32"/>
        </w:rPr>
        <w:t>，其中：</w:t>
      </w:r>
      <w:r>
        <w:rPr>
          <w:rFonts w:hint="eastAsia" w:ascii="仿宋_GB2312" w:hAnsi="Times New Roman" w:eastAsia="仿宋_GB2312" w:cs="Times New Roman"/>
          <w:b w:val="0"/>
          <w:kern w:val="2"/>
          <w:sz w:val="32"/>
          <w:szCs w:val="32"/>
          <w:lang w:val="en-US" w:eastAsia="zh-CN" w:bidi="ar-SA"/>
        </w:rPr>
        <w:t>参公编制6个,行政工勤编制1个</w:t>
      </w:r>
      <w:r>
        <w:rPr>
          <w:rFonts w:hint="eastAsia" w:ascii="仿宋" w:hAnsi="仿宋" w:eastAsia="仿宋" w:cs="仿宋"/>
          <w:sz w:val="32"/>
          <w:szCs w:val="32"/>
        </w:rPr>
        <w:t>。</w:t>
      </w:r>
    </w:p>
    <w:p>
      <w:pPr>
        <w:widowControl/>
        <w:adjustRightInd w:val="0"/>
        <w:snapToGrid w:val="0"/>
        <w:spacing w:line="580" w:lineRule="exact"/>
        <w:contextualSpacing/>
        <w:jc w:val="left"/>
        <w:rPr>
          <w:rFonts w:ascii="仿宋" w:hAnsi="仿宋" w:eastAsia="仿宋" w:cs="仿宋"/>
          <w:sz w:val="32"/>
          <w:szCs w:val="32"/>
        </w:rPr>
      </w:pPr>
      <w:r>
        <w:rPr>
          <w:rFonts w:hint="eastAsia" w:ascii="仿宋" w:hAnsi="仿宋" w:eastAsia="仿宋" w:cs="仿宋"/>
          <w:sz w:val="32"/>
          <w:szCs w:val="32"/>
        </w:rPr>
        <w:t>2、人员情况</w:t>
      </w:r>
    </w:p>
    <w:p>
      <w:pPr>
        <w:pStyle w:val="3"/>
        <w:spacing w:line="579" w:lineRule="auto"/>
        <w:ind w:right="442" w:firstLine="640" w:firstLineChars="200"/>
        <w:jc w:val="left"/>
        <w:rPr>
          <w:rFonts w:hint="eastAsia" w:ascii="仿宋_GB2312" w:hAnsi="Times New Roman" w:eastAsia="仿宋_GB2312" w:cs="Times New Roman"/>
          <w:b w:val="0"/>
          <w:kern w:val="2"/>
          <w:sz w:val="32"/>
          <w:szCs w:val="32"/>
          <w:lang w:val="en-US" w:eastAsia="zh-CN" w:bidi="ar-SA"/>
        </w:rPr>
      </w:pPr>
      <w:bookmarkStart w:id="116" w:name="_Toc88"/>
      <w:bookmarkStart w:id="117" w:name="_Toc24314"/>
      <w:r>
        <w:rPr>
          <w:rFonts w:hint="eastAsia" w:ascii="仿宋_GB2312" w:hAnsi="Times New Roman" w:eastAsia="仿宋_GB2312" w:cs="Times New Roman"/>
          <w:b w:val="0"/>
          <w:kern w:val="2"/>
          <w:sz w:val="32"/>
          <w:szCs w:val="32"/>
          <w:lang w:val="en-US" w:eastAsia="zh-CN" w:bidi="ar-SA"/>
        </w:rPr>
        <w:t>2021年末，单位实有人数7人，其中：在职7人（参公6人、行政工勤1人）。</w:t>
      </w:r>
      <w:bookmarkEnd w:id="116"/>
      <w:bookmarkEnd w:id="117"/>
    </w:p>
    <w:p>
      <w:pPr>
        <w:ind w:firstLine="640" w:firstLineChars="200"/>
        <w:rPr>
          <w:rFonts w:ascii="黑体" w:eastAsia="黑体"/>
          <w:sz w:val="32"/>
          <w:szCs w:val="32"/>
        </w:rPr>
      </w:pPr>
      <w:r>
        <w:rPr>
          <w:rFonts w:hint="eastAsia" w:ascii="黑体" w:eastAsia="黑体"/>
          <w:sz w:val="32"/>
          <w:szCs w:val="32"/>
        </w:rPr>
        <w:t>二、部门财政资金收支情况</w:t>
      </w:r>
    </w:p>
    <w:p>
      <w:pPr>
        <w:tabs>
          <w:tab w:val="left" w:pos="0"/>
        </w:tabs>
        <w:rPr>
          <w:rFonts w:ascii="楷体_GB2312" w:eastAsia="楷体_GB2312"/>
          <w:b/>
          <w:sz w:val="32"/>
          <w:szCs w:val="32"/>
          <w:lang w:val="zh-CN"/>
        </w:rPr>
      </w:pPr>
      <w:r>
        <w:rPr>
          <w:rFonts w:hint="eastAsia" w:ascii="楷体_GB2312" w:eastAsia="楷体_GB2312"/>
          <w:b/>
          <w:sz w:val="32"/>
          <w:szCs w:val="32"/>
          <w:lang w:val="zh-CN"/>
        </w:rPr>
        <w:t>（一）部门财政资金收入情况</w:t>
      </w:r>
    </w:p>
    <w:p>
      <w:pPr>
        <w:widowControl/>
        <w:adjustRightInd w:val="0"/>
        <w:snapToGrid w:val="0"/>
        <w:spacing w:line="580" w:lineRule="exact"/>
        <w:contextualSpacing/>
        <w:jc w:val="left"/>
        <w:rPr>
          <w:rFonts w:ascii="仿宋" w:hAnsi="仿宋" w:eastAsia="仿宋" w:cs="仿宋"/>
          <w:sz w:val="32"/>
          <w:szCs w:val="32"/>
          <w:lang w:val="zh-CN"/>
        </w:rPr>
      </w:pP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年度财政拨款收入总决算</w:t>
      </w:r>
      <w:r>
        <w:rPr>
          <w:rFonts w:hint="eastAsia" w:ascii="仿宋" w:hAnsi="仿宋" w:eastAsia="仿宋" w:cs="仿宋"/>
          <w:sz w:val="32"/>
          <w:szCs w:val="32"/>
          <w:lang w:val="en-US" w:eastAsia="zh-CN"/>
        </w:rPr>
        <w:t>177.29</w:t>
      </w:r>
      <w:r>
        <w:rPr>
          <w:rFonts w:hint="eastAsia" w:ascii="仿宋" w:hAnsi="仿宋" w:eastAsia="仿宋" w:cs="仿宋"/>
          <w:sz w:val="32"/>
          <w:szCs w:val="32"/>
        </w:rPr>
        <w:t>万元；其中：基本收入</w:t>
      </w:r>
      <w:r>
        <w:rPr>
          <w:rFonts w:hint="eastAsia" w:ascii="仿宋" w:hAnsi="仿宋" w:eastAsia="仿宋" w:cs="仿宋"/>
          <w:sz w:val="32"/>
          <w:szCs w:val="32"/>
          <w:lang w:val="en-US" w:eastAsia="zh-CN"/>
        </w:rPr>
        <w:t>148.29</w:t>
      </w:r>
      <w:r>
        <w:rPr>
          <w:rFonts w:hint="eastAsia" w:ascii="仿宋" w:hAnsi="仿宋" w:eastAsia="仿宋" w:cs="仿宋"/>
          <w:sz w:val="32"/>
          <w:szCs w:val="32"/>
        </w:rPr>
        <w:t>万元，占总收入的</w:t>
      </w:r>
      <w:r>
        <w:rPr>
          <w:rFonts w:hint="eastAsia" w:ascii="仿宋" w:hAnsi="仿宋" w:eastAsia="仿宋" w:cs="仿宋"/>
          <w:sz w:val="32"/>
          <w:szCs w:val="32"/>
          <w:lang w:val="en-US" w:eastAsia="zh-CN"/>
        </w:rPr>
        <w:t>83.64</w:t>
      </w:r>
      <w:r>
        <w:rPr>
          <w:rFonts w:hint="eastAsia" w:ascii="仿宋" w:hAnsi="仿宋" w:eastAsia="仿宋" w:cs="仿宋"/>
          <w:sz w:val="32"/>
          <w:szCs w:val="32"/>
        </w:rPr>
        <w:t xml:space="preserve"> %；项目收入</w:t>
      </w:r>
      <w:r>
        <w:rPr>
          <w:rFonts w:hint="eastAsia" w:ascii="仿宋" w:hAnsi="仿宋" w:eastAsia="仿宋" w:cs="仿宋"/>
          <w:sz w:val="32"/>
          <w:szCs w:val="32"/>
          <w:lang w:val="en-US" w:eastAsia="zh-CN"/>
        </w:rPr>
        <w:t>29</w:t>
      </w:r>
      <w:r>
        <w:rPr>
          <w:rFonts w:hint="eastAsia" w:ascii="仿宋" w:hAnsi="仿宋" w:eastAsia="仿宋" w:cs="仿宋"/>
          <w:sz w:val="32"/>
          <w:szCs w:val="32"/>
        </w:rPr>
        <w:t>万元，占总收入的</w:t>
      </w:r>
      <w:r>
        <w:rPr>
          <w:rFonts w:hint="eastAsia" w:ascii="仿宋" w:hAnsi="仿宋" w:eastAsia="仿宋" w:cs="仿宋"/>
          <w:sz w:val="32"/>
          <w:szCs w:val="32"/>
          <w:lang w:val="en-US" w:eastAsia="zh-CN"/>
        </w:rPr>
        <w:t>16.36</w:t>
      </w:r>
      <w:r>
        <w:rPr>
          <w:rFonts w:hint="eastAsia" w:ascii="仿宋" w:hAnsi="仿宋" w:eastAsia="仿宋" w:cs="仿宋"/>
          <w:sz w:val="32"/>
          <w:szCs w:val="32"/>
        </w:rPr>
        <w:t>%。</w:t>
      </w:r>
    </w:p>
    <w:p>
      <w:pPr>
        <w:tabs>
          <w:tab w:val="left" w:pos="0"/>
        </w:tabs>
        <w:rPr>
          <w:rFonts w:ascii="楷体_GB2312" w:eastAsia="楷体_GB2312"/>
          <w:b/>
          <w:sz w:val="32"/>
          <w:szCs w:val="32"/>
          <w:lang w:val="zh-CN"/>
        </w:rPr>
      </w:pPr>
      <w:r>
        <w:rPr>
          <w:rFonts w:hint="eastAsia" w:ascii="楷体_GB2312" w:eastAsia="楷体_GB2312"/>
          <w:b/>
          <w:sz w:val="32"/>
          <w:szCs w:val="32"/>
          <w:lang w:val="zh-CN"/>
        </w:rPr>
        <w:t>（二）部门财政资金支出情况</w:t>
      </w:r>
    </w:p>
    <w:p>
      <w:pPr>
        <w:spacing w:line="600" w:lineRule="exact"/>
        <w:ind w:firstLine="640" w:firstLineChars="200"/>
        <w:outlineLvl w:val="2"/>
        <w:rPr>
          <w:rFonts w:ascii="仿宋" w:eastAsia="仿宋"/>
          <w:b/>
          <w:color w:val="000000"/>
          <w:sz w:val="32"/>
          <w:szCs w:val="32"/>
        </w:rPr>
      </w:pPr>
      <w:bookmarkStart w:id="118" w:name="_Toc15377210"/>
      <w:bookmarkStart w:id="119" w:name="_Toc20279"/>
      <w:bookmarkStart w:id="120" w:name="_Toc8901"/>
      <w:r>
        <w:rPr>
          <w:rFonts w:hint="eastAsia" w:ascii="仿宋" w:eastAsia="仿宋"/>
          <w:color w:val="000000"/>
          <w:sz w:val="32"/>
          <w:szCs w:val="32"/>
          <w:lang w:val="en-US" w:eastAsia="zh-CN"/>
        </w:rPr>
        <w:t>1.一般公共预算财政拨款支出决算总体情况</w:t>
      </w:r>
      <w:bookmarkEnd w:id="118"/>
      <w:bookmarkEnd w:id="119"/>
      <w:bookmarkEnd w:id="120"/>
    </w:p>
    <w:p>
      <w:pPr>
        <w:widowControl/>
        <w:adjustRightInd w:val="0"/>
        <w:snapToGrid w:val="0"/>
        <w:spacing w:line="580" w:lineRule="exact"/>
        <w:contextualSpacing/>
        <w:jc w:val="left"/>
        <w:rPr>
          <w:rFonts w:hint="eastAsia" w:ascii="仿宋" w:eastAsia="仿宋"/>
          <w:color w:val="000000"/>
          <w:sz w:val="32"/>
          <w:szCs w:val="32"/>
        </w:rPr>
      </w:pPr>
      <w:r>
        <w:rPr>
          <w:rFonts w:hint="eastAsia" w:ascii="仿宋" w:eastAsia="仿宋"/>
          <w:color w:val="000000"/>
          <w:sz w:val="32"/>
          <w:szCs w:val="32"/>
          <w:lang w:val="en-US" w:eastAsia="zh-CN"/>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196.29</w:t>
      </w:r>
      <w:r>
        <w:rPr>
          <w:rFonts w:hint="eastAsia" w:ascii="仿宋" w:eastAsia="仿宋"/>
          <w:color w:val="000000"/>
          <w:sz w:val="32"/>
          <w:szCs w:val="32"/>
        </w:rPr>
        <w:t>万元，占本年总支出的100%。与</w:t>
      </w:r>
      <w:r>
        <w:rPr>
          <w:rFonts w:hint="eastAsia" w:ascii="仿宋" w:eastAsia="仿宋"/>
          <w:color w:val="000000"/>
          <w:sz w:val="32"/>
          <w:szCs w:val="32"/>
          <w:lang w:val="en-US" w:eastAsia="zh-CN"/>
        </w:rPr>
        <w:t>2020</w:t>
      </w:r>
      <w:r>
        <w:rPr>
          <w:rFonts w:hint="eastAsia" w:ascii="仿宋" w:eastAsia="仿宋"/>
          <w:color w:val="000000"/>
          <w:sz w:val="32"/>
          <w:szCs w:val="32"/>
        </w:rPr>
        <w:t>年相比，一般公共预算财政拨款支出</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49.11</w:t>
      </w:r>
      <w:r>
        <w:rPr>
          <w:rFonts w:hint="eastAsia" w:ascii="仿宋" w:eastAsia="仿宋"/>
          <w:color w:val="000000"/>
          <w:sz w:val="32"/>
          <w:szCs w:val="32"/>
        </w:rPr>
        <w:t>万元，减少</w:t>
      </w:r>
      <w:r>
        <w:rPr>
          <w:rFonts w:hint="eastAsia" w:ascii="仿宋" w:eastAsia="仿宋"/>
          <w:color w:val="000000"/>
          <w:sz w:val="32"/>
          <w:szCs w:val="32"/>
          <w:lang w:val="en-US" w:eastAsia="zh-CN"/>
        </w:rPr>
        <w:t>33.37</w:t>
      </w:r>
      <w:r>
        <w:rPr>
          <w:rFonts w:hint="eastAsia" w:ascii="仿宋" w:eastAsia="仿宋"/>
          <w:color w:val="000000"/>
          <w:sz w:val="32"/>
          <w:szCs w:val="32"/>
        </w:rPr>
        <w:t>%。主要原因是</w:t>
      </w:r>
      <w:r>
        <w:rPr>
          <w:rFonts w:hint="eastAsia" w:ascii="仿宋" w:eastAsia="仿宋"/>
          <w:color w:val="000000"/>
          <w:sz w:val="32"/>
          <w:szCs w:val="32"/>
          <w:lang w:eastAsia="zh-CN"/>
        </w:rPr>
        <w:t>上年结转结余</w:t>
      </w:r>
      <w:r>
        <w:rPr>
          <w:rFonts w:hint="eastAsia" w:ascii="仿宋" w:eastAsia="仿宋"/>
          <w:color w:val="000000"/>
          <w:sz w:val="32"/>
          <w:szCs w:val="32"/>
          <w:lang w:val="en-US" w:eastAsia="zh-CN"/>
        </w:rPr>
        <w:t>19万元以及人员增减变动</w:t>
      </w:r>
      <w:r>
        <w:rPr>
          <w:rFonts w:hint="eastAsia" w:ascii="仿宋" w:eastAsia="仿宋"/>
          <w:color w:val="000000"/>
          <w:sz w:val="32"/>
          <w:szCs w:val="32"/>
        </w:rPr>
        <w:t>。</w:t>
      </w:r>
    </w:p>
    <w:p>
      <w:pPr>
        <w:spacing w:line="600" w:lineRule="exact"/>
        <w:ind w:firstLine="640" w:firstLineChars="200"/>
        <w:outlineLvl w:val="2"/>
        <w:rPr>
          <w:rFonts w:hint="eastAsia" w:ascii="仿宋" w:eastAsia="仿宋"/>
          <w:color w:val="000000"/>
          <w:sz w:val="32"/>
          <w:szCs w:val="32"/>
          <w:lang w:val="en-US" w:eastAsia="zh-CN"/>
        </w:rPr>
      </w:pPr>
      <w:bookmarkStart w:id="121" w:name="_Toc15377211"/>
      <w:bookmarkStart w:id="122" w:name="_Toc29814"/>
      <w:bookmarkStart w:id="123" w:name="_Toc4834"/>
      <w:r>
        <w:rPr>
          <w:rFonts w:hint="eastAsia" w:ascii="仿宋" w:eastAsia="仿宋"/>
          <w:color w:val="000000"/>
          <w:sz w:val="32"/>
          <w:szCs w:val="32"/>
          <w:lang w:val="en-US" w:eastAsia="zh-CN"/>
        </w:rPr>
        <w:t>2.一般公共预算财政拨款支出决算结构情况</w:t>
      </w:r>
      <w:bookmarkEnd w:id="121"/>
      <w:bookmarkEnd w:id="122"/>
      <w:bookmarkEnd w:id="123"/>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val="en-US" w:eastAsia="zh-CN"/>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196.29</w:t>
      </w:r>
      <w:r>
        <w:rPr>
          <w:rFonts w:hint="eastAsia" w:ascii="仿宋" w:eastAsia="仿宋"/>
          <w:color w:val="000000"/>
          <w:sz w:val="32"/>
          <w:szCs w:val="32"/>
        </w:rPr>
        <w:t>万元，主要用于以下方面:社会保障和就业（类）支出</w:t>
      </w:r>
      <w:r>
        <w:rPr>
          <w:rFonts w:hint="eastAsia" w:ascii="仿宋" w:eastAsia="仿宋"/>
          <w:color w:val="000000"/>
          <w:sz w:val="32"/>
          <w:szCs w:val="32"/>
          <w:lang w:val="en-US" w:eastAsia="zh-CN"/>
        </w:rPr>
        <w:t>11.69</w:t>
      </w:r>
      <w:r>
        <w:rPr>
          <w:rFonts w:hint="eastAsia" w:ascii="仿宋" w:eastAsia="仿宋"/>
          <w:color w:val="000000"/>
          <w:sz w:val="32"/>
          <w:szCs w:val="32"/>
        </w:rPr>
        <w:t>万元，占</w:t>
      </w:r>
      <w:r>
        <w:rPr>
          <w:rFonts w:hint="eastAsia" w:ascii="仿宋" w:eastAsia="仿宋"/>
          <w:color w:val="000000"/>
          <w:sz w:val="32"/>
          <w:szCs w:val="32"/>
          <w:lang w:val="en-US" w:eastAsia="zh-CN"/>
        </w:rPr>
        <w:t>5.96</w:t>
      </w:r>
      <w:r>
        <w:rPr>
          <w:rFonts w:hint="eastAsia" w:ascii="仿宋" w:eastAsia="仿宋"/>
          <w:color w:val="000000"/>
          <w:sz w:val="32"/>
          <w:szCs w:val="32"/>
        </w:rPr>
        <w:t>%；卫生健康支出</w:t>
      </w:r>
      <w:r>
        <w:rPr>
          <w:rFonts w:hint="eastAsia" w:ascii="仿宋" w:eastAsia="仿宋"/>
          <w:color w:val="000000"/>
          <w:sz w:val="32"/>
          <w:szCs w:val="32"/>
          <w:lang w:val="en-US" w:eastAsia="zh-CN"/>
        </w:rPr>
        <w:t>6.92</w:t>
      </w:r>
      <w:r>
        <w:rPr>
          <w:rFonts w:hint="eastAsia" w:ascii="仿宋" w:eastAsia="仿宋"/>
          <w:color w:val="000000"/>
          <w:sz w:val="32"/>
          <w:szCs w:val="32"/>
        </w:rPr>
        <w:t>万元，占</w:t>
      </w:r>
      <w:r>
        <w:rPr>
          <w:rFonts w:hint="eastAsia" w:ascii="仿宋" w:eastAsia="仿宋"/>
          <w:color w:val="000000"/>
          <w:sz w:val="32"/>
          <w:szCs w:val="32"/>
          <w:lang w:val="en-US" w:eastAsia="zh-CN"/>
        </w:rPr>
        <w:t>3.53</w:t>
      </w:r>
      <w:r>
        <w:rPr>
          <w:rFonts w:hint="eastAsia" w:ascii="仿宋" w:eastAsia="仿宋"/>
          <w:color w:val="000000"/>
          <w:sz w:val="32"/>
          <w:szCs w:val="32"/>
        </w:rPr>
        <w:t>%；</w:t>
      </w:r>
      <w:r>
        <w:rPr>
          <w:rFonts w:hint="eastAsia" w:ascii="仿宋" w:eastAsia="仿宋"/>
          <w:color w:val="000000"/>
          <w:sz w:val="32"/>
          <w:szCs w:val="32"/>
          <w:lang w:eastAsia="zh-CN"/>
        </w:rPr>
        <w:t>农林水支出</w:t>
      </w:r>
      <w:r>
        <w:rPr>
          <w:rFonts w:hint="eastAsia" w:ascii="仿宋" w:eastAsia="仿宋"/>
          <w:color w:val="000000"/>
          <w:sz w:val="32"/>
          <w:szCs w:val="32"/>
          <w:lang w:val="en-US" w:eastAsia="zh-CN"/>
        </w:rPr>
        <w:t>38万元，占19.36%；</w:t>
      </w:r>
      <w:r>
        <w:rPr>
          <w:rFonts w:hint="eastAsia" w:ascii="仿宋" w:eastAsia="仿宋"/>
          <w:color w:val="000000"/>
          <w:sz w:val="32"/>
          <w:szCs w:val="32"/>
        </w:rPr>
        <w:t>商业服务业等支出</w:t>
      </w:r>
      <w:r>
        <w:rPr>
          <w:rFonts w:hint="eastAsia" w:ascii="仿宋" w:eastAsia="仿宋"/>
          <w:color w:val="000000"/>
          <w:sz w:val="32"/>
          <w:szCs w:val="32"/>
          <w:lang w:val="en-US" w:eastAsia="zh-CN"/>
        </w:rPr>
        <w:t>132</w:t>
      </w:r>
      <w:r>
        <w:rPr>
          <w:rFonts w:hint="eastAsia" w:ascii="仿宋" w:eastAsia="仿宋"/>
          <w:color w:val="000000"/>
          <w:sz w:val="32"/>
          <w:szCs w:val="32"/>
        </w:rPr>
        <w:t>万元，占</w:t>
      </w:r>
      <w:r>
        <w:rPr>
          <w:rFonts w:hint="eastAsia" w:ascii="仿宋" w:eastAsia="仿宋"/>
          <w:color w:val="000000"/>
          <w:sz w:val="32"/>
          <w:szCs w:val="32"/>
          <w:lang w:val="en-US" w:eastAsia="zh-CN"/>
        </w:rPr>
        <w:t>67.25</w:t>
      </w:r>
      <w:r>
        <w:rPr>
          <w:rFonts w:hint="eastAsia" w:ascii="仿宋" w:eastAsia="仿宋"/>
          <w:color w:val="000000"/>
          <w:sz w:val="32"/>
          <w:szCs w:val="32"/>
        </w:rPr>
        <w:t>%；住房保障支出</w:t>
      </w:r>
      <w:r>
        <w:rPr>
          <w:rFonts w:hint="eastAsia" w:ascii="仿宋" w:eastAsia="仿宋"/>
          <w:color w:val="000000"/>
          <w:sz w:val="32"/>
          <w:szCs w:val="32"/>
          <w:lang w:val="en-US" w:eastAsia="zh-CN"/>
        </w:rPr>
        <w:t>7.69</w:t>
      </w:r>
      <w:r>
        <w:rPr>
          <w:rFonts w:hint="eastAsia" w:ascii="仿宋" w:eastAsia="仿宋"/>
          <w:color w:val="000000"/>
          <w:sz w:val="32"/>
          <w:szCs w:val="32"/>
        </w:rPr>
        <w:t>万元，占</w:t>
      </w:r>
      <w:r>
        <w:rPr>
          <w:rFonts w:hint="eastAsia" w:ascii="仿宋" w:eastAsia="仿宋"/>
          <w:color w:val="000000"/>
          <w:sz w:val="32"/>
          <w:szCs w:val="32"/>
          <w:lang w:val="en-US" w:eastAsia="zh-CN"/>
        </w:rPr>
        <w:t>3.92</w:t>
      </w:r>
      <w:r>
        <w:rPr>
          <w:rFonts w:hint="eastAsia" w:ascii="仿宋" w:eastAsia="仿宋"/>
          <w:color w:val="000000"/>
          <w:sz w:val="32"/>
          <w:szCs w:val="32"/>
        </w:rPr>
        <w:t>%。</w:t>
      </w:r>
    </w:p>
    <w:p>
      <w:pPr>
        <w:spacing w:line="600" w:lineRule="exact"/>
        <w:ind w:firstLine="640"/>
        <w:rPr>
          <w:rFonts w:hint="eastAsia" w:ascii="仿宋" w:eastAsia="仿宋"/>
          <w:color w:val="000000"/>
          <w:sz w:val="32"/>
          <w:szCs w:val="32"/>
        </w:rPr>
      </w:pPr>
      <w:bookmarkStart w:id="124" w:name="_Toc15377212"/>
      <w:r>
        <w:rPr>
          <w:rFonts w:hint="eastAsia" w:ascii="仿宋" w:eastAsia="仿宋"/>
          <w:color w:val="000000"/>
          <w:sz w:val="32"/>
          <w:szCs w:val="32"/>
          <w:lang w:val="en-US" w:eastAsia="zh-CN"/>
        </w:rPr>
        <w:t>3.</w:t>
      </w:r>
      <w:r>
        <w:rPr>
          <w:rFonts w:hint="eastAsia" w:ascii="仿宋" w:eastAsia="仿宋"/>
          <w:color w:val="000000"/>
          <w:sz w:val="32"/>
          <w:szCs w:val="32"/>
        </w:rPr>
        <w:t>一般公共预算财政拨款支出决算具体情况</w:t>
      </w:r>
      <w:bookmarkEnd w:id="124"/>
    </w:p>
    <w:p>
      <w:pPr>
        <w:spacing w:line="600" w:lineRule="exact"/>
        <w:ind w:firstLine="640"/>
        <w:rPr>
          <w:rFonts w:ascii="仿宋" w:eastAsia="仿宋"/>
          <w:color w:val="000000"/>
          <w:sz w:val="32"/>
          <w:szCs w:val="32"/>
        </w:rPr>
      </w:pPr>
      <w:r>
        <w:rPr>
          <w:rFonts w:hint="eastAsia" w:ascii="仿宋" w:eastAsia="仿宋"/>
          <w:bCs/>
          <w:color w:val="000000"/>
          <w:sz w:val="32"/>
          <w:szCs w:val="32"/>
        </w:rPr>
        <w:t xml:space="preserve"> </w:t>
      </w:r>
      <w:r>
        <w:rPr>
          <w:rFonts w:hint="eastAsia" w:ascii="仿宋" w:eastAsia="仿宋"/>
          <w:color w:val="000000"/>
          <w:sz w:val="32"/>
          <w:szCs w:val="32"/>
          <w:lang w:val="en-US" w:eastAsia="zh-CN"/>
        </w:rPr>
        <w:t>2021</w:t>
      </w:r>
      <w:r>
        <w:rPr>
          <w:rFonts w:hint="eastAsia" w:ascii="仿宋" w:eastAsia="仿宋"/>
          <w:color w:val="000000"/>
          <w:sz w:val="32"/>
          <w:szCs w:val="32"/>
        </w:rPr>
        <w:t>年一般公共预算数为</w:t>
      </w:r>
      <w:r>
        <w:rPr>
          <w:rFonts w:hint="eastAsia" w:ascii="仿宋" w:eastAsia="仿宋"/>
          <w:color w:val="000000"/>
          <w:sz w:val="32"/>
          <w:szCs w:val="32"/>
          <w:lang w:val="en-US" w:eastAsia="zh-CN"/>
        </w:rPr>
        <w:t>177.29</w:t>
      </w:r>
      <w:r>
        <w:rPr>
          <w:rFonts w:hint="eastAsia" w:ascii="仿宋" w:eastAsia="仿宋"/>
          <w:color w:val="000000"/>
          <w:sz w:val="32"/>
          <w:szCs w:val="32"/>
        </w:rPr>
        <w:t>万元，支出决算数为</w:t>
      </w:r>
      <w:r>
        <w:rPr>
          <w:rFonts w:hint="eastAsia" w:ascii="仿宋" w:eastAsia="仿宋"/>
          <w:color w:val="000000"/>
          <w:sz w:val="32"/>
          <w:szCs w:val="32"/>
          <w:lang w:val="en-US" w:eastAsia="zh-CN"/>
        </w:rPr>
        <w:t>196.29</w:t>
      </w:r>
      <w:r>
        <w:rPr>
          <w:rFonts w:hint="eastAsia" w:ascii="仿宋" w:eastAsia="仿宋"/>
          <w:color w:val="000000"/>
          <w:sz w:val="32"/>
          <w:szCs w:val="32"/>
        </w:rPr>
        <w:t>万元，完成预算</w:t>
      </w:r>
      <w:r>
        <w:rPr>
          <w:rFonts w:hint="eastAsia" w:ascii="仿宋" w:eastAsia="仿宋"/>
          <w:color w:val="000000"/>
          <w:sz w:val="32"/>
          <w:szCs w:val="32"/>
          <w:lang w:val="en-US" w:eastAsia="zh-CN"/>
        </w:rPr>
        <w:t>110.72</w:t>
      </w:r>
      <w:r>
        <w:rPr>
          <w:rFonts w:hint="eastAsia" w:ascii="仿宋" w:eastAsia="仿宋"/>
          <w:color w:val="000000"/>
          <w:sz w:val="32"/>
          <w:szCs w:val="32"/>
        </w:rPr>
        <w:t>%。其中：</w:t>
      </w:r>
    </w:p>
    <w:p>
      <w:pPr>
        <w:spacing w:line="600" w:lineRule="exact"/>
        <w:ind w:firstLine="640"/>
        <w:rPr>
          <w:rFonts w:ascii="仿宋" w:eastAsia="仿宋"/>
          <w:color w:val="000000"/>
          <w:sz w:val="32"/>
          <w:szCs w:val="32"/>
        </w:rPr>
      </w:pPr>
      <w:r>
        <w:rPr>
          <w:rFonts w:hint="eastAsia" w:ascii="仿宋" w:eastAsia="仿宋"/>
          <w:color w:val="000000"/>
          <w:sz w:val="32"/>
          <w:szCs w:val="32"/>
        </w:rPr>
        <w:t>1. 社会保障和就业（类）行政事业单位离退休（款）机关事业单位基本养老保险缴费支出（项）: 支出决算为</w:t>
      </w:r>
      <w:r>
        <w:rPr>
          <w:rFonts w:hint="eastAsia" w:ascii="仿宋" w:eastAsia="仿宋"/>
          <w:color w:val="000000"/>
          <w:sz w:val="32"/>
          <w:szCs w:val="32"/>
          <w:lang w:val="en-US" w:eastAsia="zh-CN"/>
        </w:rPr>
        <w:t>7.79</w:t>
      </w:r>
      <w:r>
        <w:rPr>
          <w:rFonts w:hint="eastAsia" w:ascii="仿宋" w:eastAsia="仿宋"/>
          <w:color w:val="000000"/>
          <w:sz w:val="32"/>
          <w:szCs w:val="32"/>
        </w:rPr>
        <w:t>万元，完成预算100%，决算数等于预算数。</w:t>
      </w:r>
    </w:p>
    <w:p>
      <w:pPr>
        <w:spacing w:line="600" w:lineRule="exact"/>
        <w:ind w:firstLine="640"/>
        <w:rPr>
          <w:rFonts w:ascii="仿宋" w:eastAsia="仿宋"/>
          <w:color w:val="000000"/>
          <w:sz w:val="32"/>
          <w:szCs w:val="32"/>
        </w:rPr>
      </w:pPr>
      <w:r>
        <w:rPr>
          <w:rFonts w:hint="eastAsia" w:ascii="仿宋" w:eastAsia="仿宋"/>
          <w:color w:val="000000"/>
          <w:sz w:val="32"/>
          <w:szCs w:val="32"/>
        </w:rPr>
        <w:t>2.社会保障和就业（类）行政事业单位离退休（款）机关事业单位基本职业年金缴费支出（项）:支出决算为</w:t>
      </w:r>
      <w:r>
        <w:rPr>
          <w:rFonts w:hint="eastAsia" w:ascii="仿宋" w:eastAsia="仿宋"/>
          <w:color w:val="000000"/>
          <w:sz w:val="32"/>
          <w:szCs w:val="32"/>
          <w:lang w:val="en-US" w:eastAsia="zh-CN"/>
        </w:rPr>
        <w:t>3.9</w:t>
      </w:r>
      <w:r>
        <w:rPr>
          <w:rFonts w:hint="eastAsia" w:ascii="仿宋" w:eastAsia="仿宋"/>
          <w:color w:val="000000"/>
          <w:sz w:val="32"/>
          <w:szCs w:val="32"/>
        </w:rPr>
        <w:t>万元，完成预算100%，决算数等于预算数。</w:t>
      </w:r>
    </w:p>
    <w:p>
      <w:pPr>
        <w:spacing w:line="600" w:lineRule="exact"/>
        <w:ind w:firstLine="640"/>
        <w:rPr>
          <w:rFonts w:ascii="仿宋" w:eastAsia="仿宋"/>
          <w:color w:val="000000"/>
          <w:sz w:val="32"/>
          <w:szCs w:val="32"/>
        </w:rPr>
      </w:pPr>
      <w:r>
        <w:rPr>
          <w:rFonts w:hint="eastAsia" w:ascii="仿宋" w:eastAsia="仿宋"/>
          <w:color w:val="000000"/>
          <w:sz w:val="32"/>
          <w:szCs w:val="32"/>
        </w:rPr>
        <w:t>3.卫生健康支出（类）行政事业单位医疗（款）行政单位医疗（项）:支出决算为</w:t>
      </w:r>
      <w:r>
        <w:rPr>
          <w:rFonts w:hint="eastAsia" w:ascii="仿宋" w:eastAsia="仿宋"/>
          <w:color w:val="000000"/>
          <w:sz w:val="32"/>
          <w:szCs w:val="32"/>
          <w:lang w:val="en-US" w:eastAsia="zh-CN"/>
        </w:rPr>
        <w:t>3.63</w:t>
      </w:r>
      <w:r>
        <w:rPr>
          <w:rFonts w:hint="eastAsia" w:ascii="仿宋" w:eastAsia="仿宋"/>
          <w:color w:val="000000"/>
          <w:sz w:val="32"/>
          <w:szCs w:val="32"/>
        </w:rPr>
        <w:t>万元，完成预算100%，决算数等于预算数。</w:t>
      </w:r>
    </w:p>
    <w:p>
      <w:pPr>
        <w:spacing w:line="600" w:lineRule="exact"/>
        <w:ind w:firstLine="640"/>
        <w:rPr>
          <w:rFonts w:ascii="仿宋" w:eastAsia="仿宋"/>
          <w:color w:val="000000"/>
          <w:sz w:val="32"/>
          <w:szCs w:val="32"/>
        </w:rPr>
      </w:pPr>
      <w:r>
        <w:rPr>
          <w:rFonts w:hint="eastAsia" w:ascii="仿宋" w:eastAsia="仿宋"/>
          <w:color w:val="000000"/>
          <w:sz w:val="32"/>
          <w:szCs w:val="32"/>
        </w:rPr>
        <w:t>4.卫生健康支出（类）行政事业单位医疗（款）公务员医疗补助（项）:支出决算为</w:t>
      </w:r>
      <w:r>
        <w:rPr>
          <w:rFonts w:hint="eastAsia" w:ascii="仿宋" w:eastAsia="仿宋"/>
          <w:color w:val="000000"/>
          <w:sz w:val="32"/>
          <w:szCs w:val="32"/>
          <w:lang w:val="en-US" w:eastAsia="zh-CN"/>
        </w:rPr>
        <w:t>3.29</w:t>
      </w:r>
      <w:r>
        <w:rPr>
          <w:rFonts w:hint="eastAsia" w:ascii="仿宋" w:eastAsia="仿宋"/>
          <w:color w:val="000000"/>
          <w:sz w:val="32"/>
          <w:szCs w:val="32"/>
        </w:rPr>
        <w:t>万元，完成预算100%，决算数等于预算数。</w:t>
      </w:r>
    </w:p>
    <w:p>
      <w:pPr>
        <w:spacing w:line="600" w:lineRule="exact"/>
        <w:ind w:firstLine="640"/>
        <w:rPr>
          <w:rFonts w:ascii="仿宋" w:eastAsia="仿宋"/>
          <w:color w:val="000000"/>
          <w:sz w:val="32"/>
          <w:szCs w:val="32"/>
        </w:rPr>
      </w:pPr>
      <w:r>
        <w:rPr>
          <w:rFonts w:hint="eastAsia" w:ascii="仿宋" w:eastAsia="仿宋"/>
          <w:color w:val="000000"/>
          <w:sz w:val="32"/>
          <w:szCs w:val="32"/>
        </w:rPr>
        <w:t>5.</w:t>
      </w:r>
      <w:r>
        <w:rPr>
          <w:rFonts w:hint="eastAsia" w:ascii="仿宋" w:eastAsia="仿宋"/>
          <w:color w:val="000000"/>
          <w:sz w:val="32"/>
          <w:szCs w:val="32"/>
          <w:lang w:eastAsia="zh-CN"/>
        </w:rPr>
        <w:t>农林水支出</w:t>
      </w:r>
      <w:r>
        <w:rPr>
          <w:rFonts w:hint="eastAsia" w:ascii="仿宋" w:eastAsia="仿宋"/>
          <w:color w:val="000000"/>
          <w:sz w:val="32"/>
          <w:szCs w:val="32"/>
        </w:rPr>
        <w:t>（类）</w:t>
      </w:r>
      <w:r>
        <w:rPr>
          <w:rFonts w:hint="eastAsia" w:ascii="仿宋" w:eastAsia="仿宋"/>
          <w:color w:val="000000"/>
          <w:sz w:val="32"/>
          <w:szCs w:val="32"/>
          <w:lang w:eastAsia="zh-CN"/>
        </w:rPr>
        <w:t>农业农村</w:t>
      </w:r>
      <w:r>
        <w:rPr>
          <w:rFonts w:hint="eastAsia" w:ascii="仿宋" w:eastAsia="仿宋"/>
          <w:color w:val="000000"/>
          <w:sz w:val="32"/>
          <w:szCs w:val="32"/>
        </w:rPr>
        <w:t>（款）</w:t>
      </w:r>
      <w:r>
        <w:rPr>
          <w:rFonts w:hint="eastAsia" w:ascii="仿宋" w:eastAsia="仿宋"/>
          <w:color w:val="000000"/>
          <w:sz w:val="32"/>
          <w:szCs w:val="32"/>
          <w:lang w:eastAsia="zh-CN"/>
        </w:rPr>
        <w:t>农业生产发展</w:t>
      </w:r>
      <w:r>
        <w:rPr>
          <w:rFonts w:hint="eastAsia" w:ascii="仿宋" w:eastAsia="仿宋"/>
          <w:color w:val="000000"/>
          <w:sz w:val="32"/>
          <w:szCs w:val="32"/>
        </w:rPr>
        <w:t>（项）:支出决算为</w:t>
      </w:r>
      <w:r>
        <w:rPr>
          <w:rFonts w:hint="eastAsia" w:ascii="仿宋" w:eastAsia="仿宋"/>
          <w:color w:val="000000"/>
          <w:sz w:val="32"/>
          <w:szCs w:val="32"/>
          <w:lang w:val="en-US" w:eastAsia="zh-CN"/>
        </w:rPr>
        <w:t>38</w:t>
      </w:r>
      <w:r>
        <w:rPr>
          <w:rFonts w:hint="eastAsia" w:ascii="仿宋" w:eastAsia="仿宋"/>
          <w:color w:val="000000"/>
          <w:sz w:val="32"/>
          <w:szCs w:val="32"/>
        </w:rPr>
        <w:t>万元，完成预算</w:t>
      </w:r>
      <w:r>
        <w:rPr>
          <w:rFonts w:hint="eastAsia" w:ascii="仿宋" w:eastAsia="仿宋"/>
          <w:color w:val="000000"/>
          <w:sz w:val="32"/>
          <w:szCs w:val="32"/>
          <w:lang w:val="en-US" w:eastAsia="zh-CN"/>
        </w:rPr>
        <w:t>200</w:t>
      </w:r>
      <w:r>
        <w:rPr>
          <w:rFonts w:hint="eastAsia" w:ascii="仿宋" w:eastAsia="仿宋"/>
          <w:color w:val="000000"/>
          <w:sz w:val="32"/>
          <w:szCs w:val="32"/>
        </w:rPr>
        <w:t>%，决算数等于预算数</w:t>
      </w:r>
      <w:r>
        <w:rPr>
          <w:rFonts w:hint="eastAsia" w:ascii="仿宋" w:eastAsia="仿宋"/>
          <w:color w:val="000000"/>
          <w:sz w:val="32"/>
          <w:szCs w:val="32"/>
          <w:lang w:eastAsia="zh-CN"/>
        </w:rPr>
        <w:t>加上年初结转结余数之和</w:t>
      </w:r>
      <w:r>
        <w:rPr>
          <w:rFonts w:hint="eastAsia" w:ascii="仿宋" w:eastAsia="仿宋"/>
          <w:color w:val="000000"/>
          <w:sz w:val="32"/>
          <w:szCs w:val="32"/>
        </w:rPr>
        <w:t>。</w:t>
      </w:r>
    </w:p>
    <w:p>
      <w:pPr>
        <w:spacing w:line="600" w:lineRule="exact"/>
        <w:ind w:firstLine="640"/>
        <w:rPr>
          <w:rFonts w:ascii="仿宋" w:eastAsia="仿宋"/>
          <w:color w:val="000000"/>
          <w:sz w:val="32"/>
          <w:szCs w:val="32"/>
        </w:rPr>
      </w:pPr>
      <w:r>
        <w:rPr>
          <w:rFonts w:hint="eastAsia" w:ascii="仿宋" w:eastAsia="仿宋"/>
          <w:color w:val="000000"/>
          <w:sz w:val="32"/>
          <w:szCs w:val="32"/>
        </w:rPr>
        <w:t>6.商业服务业等支出（类）商业流通事务（款）行政运行（项）：支出决算为</w:t>
      </w:r>
      <w:r>
        <w:rPr>
          <w:rFonts w:hint="eastAsia" w:ascii="仿宋" w:eastAsia="仿宋"/>
          <w:color w:val="000000"/>
          <w:sz w:val="32"/>
          <w:szCs w:val="32"/>
          <w:lang w:val="en-US" w:eastAsia="zh-CN"/>
        </w:rPr>
        <w:t>132</w:t>
      </w:r>
      <w:r>
        <w:rPr>
          <w:rFonts w:hint="eastAsia" w:ascii="仿宋" w:eastAsia="仿宋"/>
          <w:color w:val="000000"/>
          <w:sz w:val="32"/>
          <w:szCs w:val="32"/>
        </w:rPr>
        <w:t>万元，完成预算100%，决算数等于预算数。</w:t>
      </w:r>
    </w:p>
    <w:p>
      <w:pPr>
        <w:spacing w:line="600" w:lineRule="exact"/>
        <w:ind w:firstLine="640"/>
      </w:pPr>
      <w:r>
        <w:rPr>
          <w:rFonts w:hint="eastAsia" w:ascii="仿宋" w:eastAsia="仿宋"/>
          <w:color w:val="000000"/>
          <w:sz w:val="32"/>
          <w:szCs w:val="32"/>
        </w:rPr>
        <w:t>7.住房保障（类）住房改革支出（款）住房公积金（项）：支出决算为</w:t>
      </w:r>
      <w:r>
        <w:rPr>
          <w:rFonts w:hint="eastAsia" w:ascii="仿宋" w:eastAsia="仿宋"/>
          <w:color w:val="000000"/>
          <w:sz w:val="32"/>
          <w:szCs w:val="32"/>
          <w:lang w:val="en-US" w:eastAsia="zh-CN"/>
        </w:rPr>
        <w:t>7.69</w:t>
      </w:r>
      <w:r>
        <w:rPr>
          <w:rFonts w:hint="eastAsia" w:ascii="仿宋" w:eastAsia="仿宋"/>
          <w:color w:val="000000"/>
          <w:sz w:val="32"/>
          <w:szCs w:val="32"/>
        </w:rPr>
        <w:t>万元，完成预算100%，决算数等于预算数。</w:t>
      </w:r>
    </w:p>
    <w:p>
      <w:pPr>
        <w:rPr>
          <w:rFonts w:ascii="黑体" w:eastAsia="黑体"/>
          <w:sz w:val="32"/>
          <w:szCs w:val="32"/>
        </w:rPr>
      </w:pPr>
      <w:r>
        <w:rPr>
          <w:rFonts w:hint="eastAsia" w:ascii="黑体" w:eastAsia="黑体"/>
          <w:sz w:val="32"/>
          <w:szCs w:val="32"/>
        </w:rPr>
        <w:t>三、部门整体预算绩效管理情况</w:t>
      </w:r>
    </w:p>
    <w:p>
      <w:pPr>
        <w:tabs>
          <w:tab w:val="left" w:pos="0"/>
        </w:tabs>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一</w:t>
      </w:r>
      <w:r>
        <w:rPr>
          <w:rFonts w:hint="eastAsia" w:ascii="楷体_GB2312" w:eastAsia="楷体_GB2312"/>
          <w:b/>
          <w:sz w:val="32"/>
          <w:szCs w:val="32"/>
          <w:lang w:val="zh-CN"/>
        </w:rPr>
        <w:t>）部门预算管理</w:t>
      </w:r>
    </w:p>
    <w:p>
      <w:pPr>
        <w:widowControl/>
        <w:adjustRightInd w:val="0"/>
        <w:snapToGrid w:val="0"/>
        <w:spacing w:line="580" w:lineRule="exact"/>
        <w:contextualSpacing/>
        <w:jc w:val="left"/>
        <w:rPr>
          <w:rFonts w:ascii="仿宋" w:hAnsi="仿宋" w:eastAsia="仿宋" w:cs="仿宋"/>
          <w:sz w:val="32"/>
          <w:szCs w:val="32"/>
          <w:lang w:val="zh-CN"/>
        </w:rPr>
      </w:pPr>
      <w:r>
        <w:rPr>
          <w:rFonts w:hint="eastAsia" w:ascii="仿宋" w:hAnsi="仿宋" w:eastAsia="仿宋" w:cs="仿宋"/>
          <w:sz w:val="32"/>
          <w:szCs w:val="32"/>
        </w:rPr>
        <w:t>金川县供销社严格按照县级部门对预算编制的相关要求。绩效目标制定，做到了要素的完整，以及指标细化、量化。202</w:t>
      </w:r>
      <w:r>
        <w:rPr>
          <w:rFonts w:hint="eastAsia" w:ascii="仿宋" w:hAnsi="仿宋" w:eastAsia="仿宋" w:cs="仿宋"/>
          <w:sz w:val="32"/>
          <w:szCs w:val="32"/>
          <w:lang w:val="en-US" w:eastAsia="zh-CN"/>
        </w:rPr>
        <w:t>1</w:t>
      </w:r>
      <w:r>
        <w:rPr>
          <w:rFonts w:hint="eastAsia" w:ascii="仿宋" w:hAnsi="仿宋" w:eastAsia="仿宋" w:cs="仿宋"/>
          <w:sz w:val="32"/>
          <w:szCs w:val="32"/>
        </w:rPr>
        <w:t>年</w:t>
      </w:r>
      <w:r>
        <w:rPr>
          <w:rFonts w:hint="eastAsia" w:ascii="仿宋" w:hAnsi="仿宋" w:eastAsia="仿宋" w:cs="仿宋"/>
          <w:sz w:val="32"/>
          <w:szCs w:val="32"/>
          <w:lang w:val="zh-CN"/>
        </w:rPr>
        <w:t>年初预算科学准确，实际完成情况与预期绩效目标基本一致，部门公务经费支出与年初预算基本一致。单位预算内支出进度达标</w:t>
      </w:r>
      <w:r>
        <w:rPr>
          <w:rFonts w:hint="eastAsia" w:ascii="仿宋" w:hAnsi="仿宋" w:eastAsia="仿宋" w:cs="仿宋"/>
          <w:sz w:val="32"/>
          <w:szCs w:val="32"/>
        </w:rPr>
        <w:t>，年底预算情况全部完成。部门决算、绩效目标、及年末结余结转严格按照县财政局的要求严格完成，无违规记录。</w:t>
      </w:r>
    </w:p>
    <w:p>
      <w:pPr>
        <w:tabs>
          <w:tab w:val="left" w:pos="0"/>
        </w:tabs>
        <w:rPr>
          <w:rFonts w:ascii="楷体_GB2312" w:eastAsia="楷体_GB2312"/>
          <w:b/>
          <w:sz w:val="32"/>
          <w:szCs w:val="32"/>
          <w:lang w:val="zh-CN"/>
        </w:rPr>
      </w:pPr>
      <w:r>
        <w:rPr>
          <w:rFonts w:hint="eastAsia" w:ascii="楷体_GB2312" w:eastAsia="楷体_GB2312"/>
          <w:b/>
          <w:sz w:val="32"/>
          <w:szCs w:val="32"/>
          <w:lang w:val="zh-CN"/>
        </w:rPr>
        <w:t>（二）结果应用情况。</w:t>
      </w:r>
    </w:p>
    <w:p>
      <w:pPr>
        <w:numPr>
          <w:ilvl w:val="0"/>
          <w:numId w:val="0"/>
        </w:numPr>
        <w:pBdr>
          <w:bottom w:val="single" w:color="FFFFFF" w:sz="4" w:space="29"/>
        </w:pBdr>
        <w:tabs>
          <w:tab w:val="left" w:pos="0"/>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lang w:val="en-US" w:eastAsia="zh-CN"/>
        </w:rPr>
        <w:t>1、</w:t>
      </w:r>
      <w:r>
        <w:rPr>
          <w:rFonts w:hint="eastAsia" w:ascii="仿宋" w:eastAsia="仿宋" w:cs="仿宋_GB2312"/>
          <w:b w:val="0"/>
          <w:bCs/>
          <w:sz w:val="32"/>
          <w:szCs w:val="32"/>
        </w:rPr>
        <w:t>内控制度管理：202</w:t>
      </w:r>
      <w:r>
        <w:rPr>
          <w:rFonts w:hint="eastAsia" w:ascii="仿宋" w:eastAsia="仿宋" w:cs="仿宋_GB2312"/>
          <w:b w:val="0"/>
          <w:bCs/>
          <w:sz w:val="32"/>
          <w:szCs w:val="32"/>
          <w:lang w:val="en-US" w:eastAsia="zh-CN"/>
        </w:rPr>
        <w:t>1</w:t>
      </w:r>
      <w:r>
        <w:rPr>
          <w:rFonts w:hint="eastAsia" w:ascii="仿宋" w:eastAsia="仿宋" w:cs="仿宋_GB2312"/>
          <w:b w:val="0"/>
          <w:bCs/>
          <w:sz w:val="32"/>
          <w:szCs w:val="32"/>
        </w:rPr>
        <w:t>年我</w:t>
      </w:r>
      <w:r>
        <w:rPr>
          <w:rFonts w:hint="eastAsia" w:ascii="仿宋" w:eastAsia="仿宋" w:cs="仿宋_GB2312"/>
          <w:b w:val="0"/>
          <w:bCs/>
          <w:sz w:val="32"/>
          <w:szCs w:val="32"/>
          <w:lang w:val="en-US" w:eastAsia="zh-CN"/>
        </w:rPr>
        <w:t>单位完善</w:t>
      </w:r>
      <w:r>
        <w:rPr>
          <w:rFonts w:hint="eastAsia" w:ascii="仿宋" w:eastAsia="仿宋" w:cs="仿宋_GB2312"/>
          <w:b w:val="0"/>
          <w:bCs/>
          <w:sz w:val="32"/>
          <w:szCs w:val="32"/>
        </w:rPr>
        <w:t>了收支管理制度、会计档案管理制度、资产管理制度、合同管理制度、决策管理制度及相关制度流程图。</w:t>
      </w:r>
    </w:p>
    <w:p>
      <w:pPr>
        <w:numPr>
          <w:ilvl w:val="0"/>
          <w:numId w:val="4"/>
        </w:num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rPr>
        <w:t>根据相关要求，</w:t>
      </w:r>
      <w:r>
        <w:rPr>
          <w:rFonts w:hint="eastAsia" w:ascii="仿宋" w:eastAsia="仿宋" w:cs="仿宋_GB2312"/>
          <w:b w:val="0"/>
          <w:bCs/>
          <w:sz w:val="32"/>
          <w:szCs w:val="32"/>
          <w:lang w:val="en-US" w:eastAsia="zh-CN"/>
        </w:rPr>
        <w:t>我</w:t>
      </w:r>
      <w:r>
        <w:rPr>
          <w:rFonts w:hint="eastAsia" w:ascii="仿宋" w:eastAsia="仿宋" w:cs="仿宋_GB2312"/>
          <w:b w:val="0"/>
          <w:bCs/>
          <w:sz w:val="32"/>
          <w:szCs w:val="32"/>
        </w:rPr>
        <w:t>单位使用预算资金基本符合相关的预算财务管理制度，</w:t>
      </w:r>
      <w:r>
        <w:rPr>
          <w:rFonts w:hint="eastAsia" w:ascii="仿宋" w:eastAsia="仿宋" w:cs="仿宋_GB2312"/>
          <w:b w:val="0"/>
          <w:bCs/>
          <w:sz w:val="32"/>
          <w:szCs w:val="32"/>
          <w:lang w:eastAsia="zh-CN"/>
        </w:rPr>
        <w:t>我单位</w:t>
      </w:r>
      <w:r>
        <w:rPr>
          <w:rFonts w:hint="eastAsia" w:ascii="仿宋" w:eastAsia="仿宋" w:cs="仿宋_GB2312"/>
          <w:b w:val="0"/>
          <w:bCs/>
          <w:sz w:val="32"/>
          <w:szCs w:val="32"/>
        </w:rPr>
        <w:t>在财政局下达预决算批复后20日内在指定网站公开预决算信息。</w:t>
      </w:r>
    </w:p>
    <w:p>
      <w:pPr>
        <w:pBdr>
          <w:bottom w:val="single" w:color="FFFFFF" w:sz="4" w:space="29"/>
        </w:pBdr>
        <w:tabs>
          <w:tab w:val="left" w:pos="1440"/>
        </w:tabs>
        <w:autoSpaceDE w:val="0"/>
        <w:autoSpaceDN w:val="0"/>
        <w:spacing w:line="560" w:lineRule="exact"/>
        <w:ind w:firstLine="640" w:firstLineChars="200"/>
        <w:jc w:val="left"/>
        <w:rPr>
          <w:rFonts w:hint="eastAsia" w:ascii="仿宋" w:eastAsia="仿宋" w:cs="仿宋_GB2312"/>
          <w:b w:val="0"/>
          <w:bCs/>
          <w:sz w:val="32"/>
          <w:szCs w:val="32"/>
        </w:rPr>
      </w:pPr>
      <w:r>
        <w:rPr>
          <w:rFonts w:hint="eastAsia" w:ascii="仿宋" w:eastAsia="仿宋" w:cs="仿宋_GB2312"/>
          <w:b w:val="0"/>
          <w:bCs/>
          <w:sz w:val="32"/>
          <w:szCs w:val="32"/>
          <w:lang w:val="en-US" w:eastAsia="zh-CN"/>
        </w:rPr>
        <w:t>3</w:t>
      </w:r>
      <w:r>
        <w:rPr>
          <w:rFonts w:hint="eastAsia" w:ascii="仿宋" w:eastAsia="仿宋" w:cs="仿宋_GB2312"/>
          <w:b w:val="0"/>
          <w:bCs/>
          <w:sz w:val="32"/>
          <w:szCs w:val="32"/>
        </w:rPr>
        <w:t>、绩效评价：202</w:t>
      </w:r>
      <w:r>
        <w:rPr>
          <w:rFonts w:hint="eastAsia" w:ascii="仿宋" w:eastAsia="仿宋" w:cs="仿宋_GB2312"/>
          <w:b w:val="0"/>
          <w:bCs/>
          <w:sz w:val="32"/>
          <w:szCs w:val="32"/>
          <w:lang w:val="en-US" w:eastAsia="zh-CN"/>
        </w:rPr>
        <w:t>1</w:t>
      </w:r>
      <w:r>
        <w:rPr>
          <w:rFonts w:hint="eastAsia" w:ascii="仿宋" w:eastAsia="仿宋" w:cs="仿宋_GB2312"/>
          <w:b w:val="0"/>
          <w:bCs/>
          <w:sz w:val="32"/>
          <w:szCs w:val="32"/>
        </w:rPr>
        <w:t>年根据相关文件要求，</w:t>
      </w:r>
      <w:r>
        <w:rPr>
          <w:rFonts w:hint="eastAsia" w:ascii="仿宋" w:eastAsia="仿宋" w:cs="仿宋_GB2312"/>
          <w:b w:val="0"/>
          <w:bCs/>
          <w:sz w:val="32"/>
          <w:szCs w:val="32"/>
          <w:lang w:val="en-US" w:eastAsia="zh-CN"/>
        </w:rPr>
        <w:t>我</w:t>
      </w:r>
      <w:r>
        <w:rPr>
          <w:rFonts w:hint="eastAsia" w:ascii="仿宋" w:eastAsia="仿宋" w:cs="仿宋_GB2312"/>
          <w:b w:val="0"/>
          <w:bCs/>
          <w:sz w:val="32"/>
          <w:szCs w:val="32"/>
        </w:rPr>
        <w:t>单位编制了202</w:t>
      </w:r>
      <w:r>
        <w:rPr>
          <w:rFonts w:hint="eastAsia" w:ascii="仿宋" w:eastAsia="仿宋" w:cs="仿宋_GB2312"/>
          <w:b w:val="0"/>
          <w:bCs/>
          <w:sz w:val="32"/>
          <w:szCs w:val="32"/>
          <w:lang w:val="en-US" w:eastAsia="zh-CN"/>
        </w:rPr>
        <w:t>1</w:t>
      </w:r>
      <w:r>
        <w:rPr>
          <w:rFonts w:hint="eastAsia" w:ascii="仿宋" w:eastAsia="仿宋" w:cs="仿宋_GB2312"/>
          <w:b w:val="0"/>
          <w:bCs/>
          <w:sz w:val="32"/>
          <w:szCs w:val="32"/>
        </w:rPr>
        <w:t>年部门整体支出绩效目标并认真组织开展部门整体绩效文件工作并且按照相关要求进行绩效自我评价，按要求及时上报，绩效评价及依法接受财政监督情况等。</w:t>
      </w:r>
    </w:p>
    <w:p>
      <w:pPr>
        <w:widowControl/>
        <w:adjustRightInd w:val="0"/>
        <w:snapToGrid w:val="0"/>
        <w:spacing w:line="580" w:lineRule="exact"/>
        <w:contextualSpacing/>
        <w:jc w:val="left"/>
        <w:rPr>
          <w:rFonts w:hint="eastAsia" w:ascii="仿宋" w:hAnsi="仿宋" w:eastAsia="仿宋" w:cs="仿宋"/>
          <w:sz w:val="32"/>
          <w:szCs w:val="32"/>
          <w:lang w:val="zh-CN"/>
        </w:rPr>
      </w:pPr>
    </w:p>
    <w:p>
      <w:pPr>
        <w:widowControl/>
        <w:adjustRightInd w:val="0"/>
        <w:snapToGrid w:val="0"/>
        <w:spacing w:line="580" w:lineRule="exact"/>
        <w:contextualSpacing/>
        <w:jc w:val="left"/>
        <w:rPr>
          <w:rFonts w:ascii="仿宋" w:hAnsi="仿宋" w:eastAsia="仿宋" w:cs="仿宋"/>
          <w:sz w:val="32"/>
          <w:szCs w:val="32"/>
          <w:lang w:val="zh-CN"/>
        </w:rPr>
      </w:pPr>
      <w:r>
        <w:rPr>
          <w:rFonts w:hint="eastAsia" w:ascii="仿宋" w:eastAsia="仿宋" w:cs="仿宋_GB2312"/>
          <w:b w:val="0"/>
          <w:bCs/>
          <w:sz w:val="32"/>
          <w:szCs w:val="32"/>
          <w:lang w:val="en-US" w:eastAsia="zh-CN"/>
        </w:rPr>
        <w:t>4</w:t>
      </w:r>
      <w:r>
        <w:rPr>
          <w:rFonts w:hint="eastAsia" w:ascii="仿宋" w:eastAsia="仿宋" w:cs="仿宋_GB2312"/>
          <w:b w:val="0"/>
          <w:bCs/>
          <w:sz w:val="32"/>
          <w:szCs w:val="32"/>
        </w:rPr>
        <w:t>、整体绩效：</w:t>
      </w:r>
      <w:r>
        <w:rPr>
          <w:rFonts w:hint="eastAsia" w:ascii="仿宋" w:hAnsi="仿宋" w:eastAsia="仿宋" w:cs="仿宋"/>
          <w:sz w:val="32"/>
          <w:szCs w:val="32"/>
          <w:lang w:val="zh-CN"/>
        </w:rPr>
        <w:t>我</w:t>
      </w:r>
      <w:r>
        <w:rPr>
          <w:rFonts w:hint="eastAsia" w:ascii="仿宋" w:hAnsi="仿宋" w:eastAsia="仿宋" w:cs="仿宋"/>
          <w:sz w:val="32"/>
          <w:szCs w:val="32"/>
        </w:rPr>
        <w:t>单位</w:t>
      </w:r>
      <w:r>
        <w:rPr>
          <w:rFonts w:hint="eastAsia" w:ascii="仿宋" w:hAnsi="仿宋" w:eastAsia="仿宋" w:cs="仿宋"/>
          <w:sz w:val="32"/>
          <w:szCs w:val="32"/>
          <w:lang w:val="zh-CN"/>
        </w:rPr>
        <w:t>按要求将相关绩效信息随同决算公开</w:t>
      </w:r>
      <w:r>
        <w:rPr>
          <w:rFonts w:hint="eastAsia" w:ascii="仿宋" w:hAnsi="仿宋" w:eastAsia="仿宋" w:cs="仿宋"/>
          <w:sz w:val="32"/>
          <w:szCs w:val="32"/>
        </w:rPr>
        <w:t xml:space="preserve"> </w:t>
      </w:r>
      <w:r>
        <w:rPr>
          <w:rFonts w:hint="eastAsia" w:ascii="仿宋" w:hAnsi="仿宋" w:eastAsia="仿宋" w:cs="仿宋"/>
          <w:sz w:val="32"/>
          <w:szCs w:val="32"/>
          <w:lang w:eastAsia="zh-CN"/>
        </w:rPr>
        <w:t>，</w:t>
      </w:r>
      <w:r>
        <w:rPr>
          <w:rFonts w:hint="eastAsia" w:ascii="仿宋" w:eastAsia="仿宋" w:cs="仿宋_GB2312"/>
          <w:b w:val="0"/>
          <w:bCs/>
          <w:sz w:val="32"/>
          <w:szCs w:val="32"/>
        </w:rPr>
        <w:t>整体评价良好</w:t>
      </w:r>
      <w:r>
        <w:rPr>
          <w:rFonts w:hint="eastAsia" w:ascii="仿宋" w:eastAsia="仿宋" w:cs="仿宋_GB2312"/>
          <w:b w:val="0"/>
          <w:bCs/>
          <w:sz w:val="32"/>
          <w:szCs w:val="32"/>
          <w:lang w:eastAsia="zh-CN"/>
        </w:rPr>
        <w:t>。</w:t>
      </w:r>
      <w:r>
        <w:rPr>
          <w:rFonts w:hint="eastAsia" w:ascii="仿宋" w:hAnsi="仿宋" w:eastAsia="仿宋" w:cs="仿宋"/>
          <w:sz w:val="32"/>
          <w:szCs w:val="32"/>
        </w:rPr>
        <w:t>针对绩效管理过程中（包括绩效目标核查、绩效监控核查和重点绩效评价）提出的问题及时进行整改，将绩效管理结果与预算安排进行；在规定时间内向财政部门反馈应用绩效结果报告。</w:t>
      </w:r>
    </w:p>
    <w:p>
      <w:pPr>
        <w:ind w:firstLine="640" w:firstLineChars="200"/>
        <w:rPr>
          <w:rFonts w:ascii="黑体" w:eastAsia="黑体"/>
          <w:sz w:val="32"/>
          <w:szCs w:val="32"/>
        </w:rPr>
      </w:pPr>
      <w:r>
        <w:rPr>
          <w:rFonts w:hint="eastAsia" w:ascii="黑体" w:eastAsia="黑体"/>
          <w:sz w:val="32"/>
          <w:szCs w:val="32"/>
        </w:rPr>
        <w:t>四、评价结论及建议</w:t>
      </w:r>
    </w:p>
    <w:p>
      <w:pPr>
        <w:tabs>
          <w:tab w:val="left" w:pos="0"/>
        </w:tabs>
        <w:rPr>
          <w:rFonts w:ascii="楷体_GB2312" w:eastAsia="楷体_GB2312"/>
          <w:b/>
          <w:sz w:val="32"/>
          <w:szCs w:val="32"/>
          <w:lang w:val="zh-CN"/>
        </w:rPr>
      </w:pPr>
      <w:r>
        <w:rPr>
          <w:rFonts w:hint="eastAsia" w:ascii="楷体_GB2312" w:eastAsia="楷体_GB2312"/>
          <w:b/>
          <w:sz w:val="32"/>
          <w:szCs w:val="32"/>
          <w:lang w:val="zh-CN"/>
        </w:rPr>
        <w:t>（一）评价结论</w:t>
      </w:r>
    </w:p>
    <w:p>
      <w:pPr>
        <w:widowControl/>
        <w:adjustRightInd w:val="0"/>
        <w:snapToGrid w:val="0"/>
        <w:spacing w:line="580" w:lineRule="exact"/>
        <w:contextualSpacing/>
        <w:jc w:val="left"/>
        <w:rPr>
          <w:rFonts w:ascii="仿宋" w:hAnsi="仿宋" w:eastAsia="仿宋" w:cs="仿宋"/>
          <w:sz w:val="32"/>
          <w:szCs w:val="32"/>
        </w:rPr>
      </w:pPr>
      <w:r>
        <w:rPr>
          <w:rFonts w:hint="eastAsia" w:ascii="仿宋" w:hAnsi="仿宋" w:eastAsia="仿宋" w:cs="仿宋"/>
          <w:sz w:val="32"/>
          <w:szCs w:val="32"/>
        </w:rPr>
        <w:t>我单位</w:t>
      </w:r>
      <w:r>
        <w:rPr>
          <w:rFonts w:hint="eastAsia" w:ascii="仿宋" w:hAnsi="仿宋" w:eastAsia="仿宋" w:cs="仿宋"/>
          <w:sz w:val="32"/>
          <w:szCs w:val="32"/>
          <w:lang w:val="zh-CN"/>
        </w:rPr>
        <w:t>预算执行情况良好，预算支出和决算支出基本情况相符，</w:t>
      </w:r>
      <w:r>
        <w:rPr>
          <w:rFonts w:hint="eastAsia" w:ascii="仿宋" w:hAnsi="仿宋" w:eastAsia="仿宋" w:cs="仿宋"/>
          <w:sz w:val="32"/>
          <w:szCs w:val="32"/>
        </w:rPr>
        <w:t>收支平衡，略有结余</w:t>
      </w:r>
      <w:r>
        <w:rPr>
          <w:rFonts w:hint="eastAsia" w:ascii="仿宋" w:hAnsi="仿宋" w:eastAsia="仿宋" w:cs="仿宋"/>
          <w:sz w:val="32"/>
          <w:szCs w:val="32"/>
          <w:lang w:val="zh-CN"/>
        </w:rPr>
        <w:t>。</w:t>
      </w:r>
      <w:r>
        <w:rPr>
          <w:rFonts w:hint="eastAsia" w:ascii="仿宋" w:hAnsi="仿宋" w:eastAsia="仿宋" w:cs="仿宋"/>
          <w:sz w:val="32"/>
          <w:szCs w:val="32"/>
        </w:rPr>
        <w:t>从预算到执行的各方面，都严格按照相关制度以及财政局的相关要求执行，</w:t>
      </w:r>
      <w:r>
        <w:rPr>
          <w:rFonts w:hint="eastAsia" w:ascii="仿宋" w:hAnsi="仿宋" w:eastAsia="仿宋" w:cs="仿宋"/>
          <w:sz w:val="32"/>
          <w:szCs w:val="32"/>
          <w:lang w:val="zh-CN"/>
        </w:rPr>
        <w:t>无不良记录及违规违纪行为。</w:t>
      </w:r>
    </w:p>
    <w:p>
      <w:pPr>
        <w:tabs>
          <w:tab w:val="left" w:pos="0"/>
        </w:tabs>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二</w:t>
      </w:r>
      <w:r>
        <w:rPr>
          <w:rFonts w:hint="eastAsia" w:ascii="楷体_GB2312" w:eastAsia="楷体_GB2312"/>
          <w:b/>
          <w:sz w:val="32"/>
          <w:szCs w:val="32"/>
          <w:lang w:val="zh-CN"/>
        </w:rPr>
        <w:t>）存在问题</w:t>
      </w:r>
    </w:p>
    <w:p>
      <w:pPr>
        <w:widowControl/>
        <w:adjustRightInd w:val="0"/>
        <w:snapToGrid w:val="0"/>
        <w:spacing w:line="580" w:lineRule="exact"/>
        <w:contextualSpacing/>
        <w:jc w:val="left"/>
        <w:rPr>
          <w:rFonts w:ascii="仿宋" w:hAnsi="仿宋" w:eastAsia="仿宋" w:cs="仿宋"/>
          <w:sz w:val="32"/>
          <w:szCs w:val="32"/>
        </w:rPr>
      </w:pPr>
      <w:r>
        <w:rPr>
          <w:rFonts w:hint="eastAsia" w:ascii="仿宋" w:hAnsi="仿宋" w:eastAsia="仿宋" w:cs="仿宋"/>
          <w:sz w:val="32"/>
          <w:szCs w:val="32"/>
          <w:lang w:val="zh-CN"/>
        </w:rPr>
        <w:t>预算编制前根据年度内单位可预见的工作任务，确定了单位年度预算目标，细化了预算指标，通过对我</w:t>
      </w:r>
      <w:r>
        <w:rPr>
          <w:rFonts w:hint="eastAsia" w:ascii="仿宋" w:hAnsi="仿宋" w:eastAsia="仿宋" w:cs="仿宋"/>
          <w:sz w:val="32"/>
          <w:szCs w:val="32"/>
        </w:rPr>
        <w:t>单位</w:t>
      </w:r>
      <w:r>
        <w:rPr>
          <w:rFonts w:hint="eastAsia" w:ascii="仿宋" w:hAnsi="仿宋" w:eastAsia="仿宋" w:cs="仿宋"/>
          <w:sz w:val="32"/>
          <w:szCs w:val="32"/>
          <w:lang w:val="zh-CN"/>
        </w:rPr>
        <w:t>整体支出情况的分析，反映出目前整体支出的预算编制、执行和管理过程中，</w:t>
      </w:r>
      <w:r>
        <w:rPr>
          <w:rFonts w:hint="eastAsia" w:ascii="仿宋" w:hAnsi="仿宋" w:eastAsia="仿宋" w:cs="仿宋"/>
          <w:sz w:val="32"/>
          <w:szCs w:val="32"/>
        </w:rPr>
        <w:t>主要存在两点不足。一是预算经费支出进度较缓；二是部门决算上报处理效率还需继续提升。</w:t>
      </w:r>
    </w:p>
    <w:p>
      <w:pPr>
        <w:tabs>
          <w:tab w:val="left" w:pos="0"/>
        </w:tabs>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三</w:t>
      </w:r>
      <w:r>
        <w:rPr>
          <w:rFonts w:hint="eastAsia" w:ascii="楷体_GB2312" w:eastAsia="楷体_GB2312"/>
          <w:b/>
          <w:sz w:val="32"/>
          <w:szCs w:val="32"/>
          <w:lang w:val="zh-CN"/>
        </w:rPr>
        <w:t>）改进建议</w:t>
      </w:r>
    </w:p>
    <w:p>
      <w:pPr>
        <w:widowControl/>
        <w:adjustRightInd w:val="0"/>
        <w:snapToGrid w:val="0"/>
        <w:spacing w:line="580" w:lineRule="exact"/>
        <w:contextualSpacing/>
        <w:jc w:val="left"/>
        <w:rPr>
          <w:rFonts w:ascii="仿宋" w:hAnsi="仿宋" w:eastAsia="仿宋" w:cs="仿宋"/>
          <w:sz w:val="32"/>
          <w:szCs w:val="32"/>
          <w:lang w:val="zh-CN"/>
        </w:rPr>
      </w:pPr>
      <w:r>
        <w:rPr>
          <w:rFonts w:hint="eastAsia" w:ascii="仿宋" w:hAnsi="仿宋" w:eastAsia="仿宋" w:cs="仿宋"/>
          <w:sz w:val="32"/>
          <w:szCs w:val="32"/>
          <w:lang w:val="zh-CN"/>
        </w:rPr>
        <w:t>加快完成机关财务管理规章制度建设、加强会计核算和财务管理能力，及时与财政局相关科室对接工作，提升工作效率。</w:t>
      </w:r>
    </w:p>
    <w:p>
      <w:pPr>
        <w:spacing w:line="600" w:lineRule="exact"/>
        <w:ind w:firstLine="0" w:firstLineChars="0"/>
        <w:jc w:val="both"/>
        <w:outlineLvl w:val="0"/>
        <w:rPr>
          <w:rFonts w:hint="eastAsia" w:ascii="黑体" w:hAnsi="Times New Roman" w:eastAsia="黑体" w:cs="Times New Roman"/>
          <w:color w:val="000000"/>
          <w:sz w:val="44"/>
          <w:szCs w:val="44"/>
        </w:rPr>
      </w:pPr>
      <w:bookmarkStart w:id="125" w:name="_Toc15396618"/>
      <w:bookmarkStart w:id="126" w:name="_Toc15396619"/>
    </w:p>
    <w:p>
      <w:pPr>
        <w:spacing w:line="600" w:lineRule="exact"/>
        <w:ind w:firstLine="0" w:firstLineChars="0"/>
        <w:jc w:val="center"/>
        <w:outlineLvl w:val="0"/>
        <w:rPr>
          <w:rFonts w:hint="eastAsia" w:ascii="黑体" w:hAnsi="Times New Roman" w:eastAsia="黑体" w:cs="Times New Roman"/>
          <w:color w:val="000000"/>
          <w:sz w:val="44"/>
          <w:szCs w:val="44"/>
        </w:rPr>
      </w:pPr>
    </w:p>
    <w:p>
      <w:pPr>
        <w:spacing w:line="600" w:lineRule="exact"/>
        <w:ind w:firstLine="0" w:firstLineChars="0"/>
        <w:jc w:val="center"/>
        <w:outlineLvl w:val="0"/>
        <w:rPr>
          <w:rFonts w:hint="eastAsia" w:ascii="黑体" w:hAnsi="Times New Roman" w:eastAsia="黑体" w:cs="Times New Roman"/>
          <w:color w:val="000000"/>
          <w:sz w:val="44"/>
          <w:szCs w:val="44"/>
        </w:rPr>
      </w:pPr>
    </w:p>
    <w:p>
      <w:pPr>
        <w:spacing w:line="600" w:lineRule="exact"/>
        <w:ind w:firstLine="0" w:firstLineChars="0"/>
        <w:jc w:val="center"/>
        <w:outlineLvl w:val="0"/>
        <w:rPr>
          <w:rFonts w:hint="eastAsia" w:ascii="黑体" w:hAnsi="Times New Roman" w:eastAsia="黑体" w:cs="Times New Roman"/>
          <w:color w:val="000000"/>
          <w:sz w:val="44"/>
          <w:szCs w:val="44"/>
        </w:rPr>
      </w:pPr>
      <w:bookmarkStart w:id="127" w:name="_Toc10779"/>
      <w:bookmarkStart w:id="128" w:name="_Toc3394"/>
      <w:r>
        <w:rPr>
          <w:rFonts w:hint="eastAsia" w:ascii="黑体" w:hAnsi="Times New Roman" w:eastAsia="黑体" w:cs="Times New Roman"/>
          <w:color w:val="000000"/>
          <w:sz w:val="44"/>
          <w:szCs w:val="44"/>
        </w:rPr>
        <w:t>第五部分 附表</w:t>
      </w:r>
      <w:bookmarkEnd w:id="125"/>
      <w:bookmarkEnd w:id="127"/>
      <w:bookmarkEnd w:id="128"/>
    </w:p>
    <w:p>
      <w:pPr>
        <w:pStyle w:val="4"/>
        <w:rPr>
          <w:rFonts w:ascii="仿宋" w:eastAsia="仿宋"/>
          <w:color w:val="000000"/>
        </w:rPr>
      </w:pPr>
      <w:bookmarkStart w:id="129" w:name="_Toc18485"/>
      <w:bookmarkStart w:id="130" w:name="_Toc1644"/>
      <w:r>
        <w:rPr>
          <w:rFonts w:hint="eastAsia" w:ascii="仿宋" w:eastAsia="仿宋"/>
          <w:b w:val="0"/>
          <w:color w:val="000000"/>
        </w:rPr>
        <w:t>一、收</w:t>
      </w:r>
      <w:r>
        <w:rPr>
          <w:rStyle w:val="19"/>
          <w:rFonts w:hint="eastAsia" w:ascii="仿宋" w:eastAsia="仿宋"/>
          <w:b w:val="0"/>
          <w:bCs w:val="0"/>
        </w:rPr>
        <w:t>入支出决算总表</w:t>
      </w:r>
      <w:bookmarkEnd w:id="126"/>
      <w:bookmarkEnd w:id="129"/>
      <w:bookmarkEnd w:id="130"/>
    </w:p>
    <w:p>
      <w:pPr>
        <w:pStyle w:val="4"/>
        <w:rPr>
          <w:rFonts w:ascii="仿宋" w:eastAsia="仿宋"/>
          <w:color w:val="000000"/>
        </w:rPr>
      </w:pPr>
      <w:bookmarkStart w:id="131" w:name="_Toc15396620"/>
      <w:bookmarkStart w:id="132" w:name="_Toc25400"/>
      <w:bookmarkStart w:id="133" w:name="_Toc18623"/>
      <w:r>
        <w:rPr>
          <w:rFonts w:hint="eastAsia" w:ascii="仿宋" w:eastAsia="仿宋"/>
          <w:b w:val="0"/>
          <w:color w:val="000000"/>
        </w:rPr>
        <w:t>二、收</w:t>
      </w:r>
      <w:r>
        <w:rPr>
          <w:rStyle w:val="19"/>
          <w:rFonts w:hint="eastAsia" w:ascii="仿宋" w:eastAsia="仿宋"/>
          <w:b w:val="0"/>
          <w:bCs w:val="0"/>
        </w:rPr>
        <w:t>入总表</w:t>
      </w:r>
      <w:bookmarkEnd w:id="131"/>
      <w:bookmarkEnd w:id="132"/>
      <w:bookmarkEnd w:id="133"/>
    </w:p>
    <w:p>
      <w:pPr>
        <w:pStyle w:val="4"/>
        <w:rPr>
          <w:rFonts w:ascii="仿宋" w:eastAsia="仿宋"/>
          <w:color w:val="000000"/>
        </w:rPr>
      </w:pPr>
      <w:bookmarkStart w:id="134" w:name="_Toc15396621"/>
      <w:bookmarkStart w:id="135" w:name="_Toc23272"/>
      <w:bookmarkStart w:id="136" w:name="_Toc1088"/>
      <w:r>
        <w:rPr>
          <w:rStyle w:val="19"/>
          <w:rFonts w:hint="eastAsia" w:ascii="仿宋" w:eastAsia="仿宋"/>
          <w:b w:val="0"/>
          <w:bCs w:val="0"/>
        </w:rPr>
        <w:t>三、</w:t>
      </w:r>
      <w:r>
        <w:rPr>
          <w:rFonts w:hint="eastAsia" w:ascii="仿宋" w:eastAsia="仿宋"/>
          <w:b w:val="0"/>
          <w:color w:val="000000"/>
        </w:rPr>
        <w:t>支</w:t>
      </w:r>
      <w:r>
        <w:rPr>
          <w:rStyle w:val="19"/>
          <w:rFonts w:hint="eastAsia" w:ascii="仿宋" w:eastAsia="仿宋"/>
          <w:b w:val="0"/>
          <w:bCs w:val="0"/>
        </w:rPr>
        <w:t>出总表</w:t>
      </w:r>
      <w:bookmarkEnd w:id="134"/>
      <w:bookmarkEnd w:id="135"/>
      <w:bookmarkEnd w:id="136"/>
    </w:p>
    <w:p>
      <w:pPr>
        <w:pStyle w:val="4"/>
        <w:rPr>
          <w:rFonts w:ascii="仿宋" w:eastAsia="仿宋"/>
          <w:b w:val="0"/>
          <w:color w:val="000000"/>
        </w:rPr>
      </w:pPr>
      <w:bookmarkStart w:id="137" w:name="_Toc15396622"/>
      <w:bookmarkStart w:id="138" w:name="_Toc24478"/>
      <w:bookmarkStart w:id="139" w:name="_Toc26242"/>
      <w:r>
        <w:rPr>
          <w:rStyle w:val="19"/>
          <w:rFonts w:hint="eastAsia" w:ascii="仿宋" w:eastAsia="仿宋"/>
          <w:b w:val="0"/>
          <w:bCs w:val="0"/>
        </w:rPr>
        <w:t>四、</w:t>
      </w:r>
      <w:r>
        <w:rPr>
          <w:rFonts w:hint="eastAsia" w:ascii="仿宋" w:eastAsia="仿宋"/>
          <w:b w:val="0"/>
          <w:color w:val="000000"/>
        </w:rPr>
        <w:t>财</w:t>
      </w:r>
      <w:r>
        <w:rPr>
          <w:rStyle w:val="19"/>
          <w:rFonts w:hint="eastAsia" w:ascii="仿宋" w:eastAsia="仿宋"/>
          <w:b w:val="0"/>
          <w:bCs w:val="0"/>
        </w:rPr>
        <w:t>政拨款收入支出决算总表</w:t>
      </w:r>
      <w:bookmarkEnd w:id="137"/>
      <w:bookmarkEnd w:id="138"/>
      <w:bookmarkEnd w:id="139"/>
    </w:p>
    <w:p>
      <w:pPr>
        <w:pStyle w:val="4"/>
        <w:rPr>
          <w:rFonts w:ascii="仿宋" w:eastAsia="仿宋"/>
          <w:color w:val="000000"/>
        </w:rPr>
      </w:pPr>
      <w:bookmarkStart w:id="140" w:name="_Toc15396623"/>
      <w:bookmarkStart w:id="141" w:name="_Toc31833"/>
      <w:bookmarkStart w:id="142" w:name="_Toc27872"/>
      <w:r>
        <w:rPr>
          <w:rStyle w:val="19"/>
          <w:rFonts w:hint="eastAsia" w:ascii="仿宋" w:eastAsia="仿宋"/>
          <w:b w:val="0"/>
          <w:bCs w:val="0"/>
        </w:rPr>
        <w:t>五、</w:t>
      </w:r>
      <w:r>
        <w:rPr>
          <w:rFonts w:hint="eastAsia" w:ascii="仿宋" w:eastAsia="仿宋"/>
          <w:b w:val="0"/>
          <w:color w:val="000000"/>
        </w:rPr>
        <w:t>财</w:t>
      </w:r>
      <w:r>
        <w:rPr>
          <w:rStyle w:val="19"/>
          <w:rFonts w:hint="eastAsia" w:ascii="仿宋" w:eastAsia="仿宋"/>
          <w:b w:val="0"/>
          <w:bCs w:val="0"/>
        </w:rPr>
        <w:t>政拨款支出决算明细表（政府经济分类科目）</w:t>
      </w:r>
      <w:bookmarkEnd w:id="140"/>
      <w:bookmarkEnd w:id="141"/>
      <w:bookmarkEnd w:id="142"/>
    </w:p>
    <w:p>
      <w:pPr>
        <w:pStyle w:val="4"/>
        <w:rPr>
          <w:rFonts w:ascii="仿宋" w:eastAsia="仿宋"/>
          <w:color w:val="000000"/>
        </w:rPr>
      </w:pPr>
      <w:bookmarkStart w:id="143" w:name="_Toc15396624"/>
      <w:bookmarkStart w:id="144" w:name="_Toc6909"/>
      <w:bookmarkStart w:id="145" w:name="_Toc20490"/>
      <w:r>
        <w:rPr>
          <w:rStyle w:val="19"/>
          <w:rFonts w:hint="eastAsia" w:ascii="仿宋" w:eastAsia="仿宋"/>
          <w:b w:val="0"/>
          <w:bCs w:val="0"/>
        </w:rPr>
        <w:t>六、</w:t>
      </w:r>
      <w:r>
        <w:rPr>
          <w:rFonts w:hint="eastAsia" w:ascii="仿宋" w:eastAsia="仿宋"/>
          <w:b w:val="0"/>
          <w:color w:val="000000"/>
        </w:rPr>
        <w:t>一</w:t>
      </w:r>
      <w:r>
        <w:rPr>
          <w:rStyle w:val="19"/>
          <w:rFonts w:hint="eastAsia" w:ascii="仿宋" w:eastAsia="仿宋"/>
          <w:b w:val="0"/>
          <w:bCs w:val="0"/>
        </w:rPr>
        <w:t>般公共预算财政拨款支出决算表</w:t>
      </w:r>
      <w:bookmarkEnd w:id="143"/>
      <w:bookmarkEnd w:id="144"/>
      <w:bookmarkEnd w:id="145"/>
    </w:p>
    <w:p>
      <w:pPr>
        <w:pStyle w:val="4"/>
        <w:rPr>
          <w:rFonts w:ascii="仿宋" w:eastAsia="仿宋"/>
          <w:color w:val="000000"/>
        </w:rPr>
      </w:pPr>
      <w:bookmarkStart w:id="146" w:name="_Toc15396625"/>
      <w:bookmarkStart w:id="147" w:name="_Toc16454"/>
      <w:bookmarkStart w:id="148" w:name="_Toc2734"/>
      <w:r>
        <w:rPr>
          <w:rStyle w:val="19"/>
          <w:rFonts w:hint="eastAsia" w:ascii="仿宋" w:eastAsia="仿宋"/>
          <w:b w:val="0"/>
          <w:bCs w:val="0"/>
        </w:rPr>
        <w:t>七、</w:t>
      </w:r>
      <w:r>
        <w:rPr>
          <w:rFonts w:hint="eastAsia" w:ascii="仿宋" w:eastAsia="仿宋"/>
          <w:b w:val="0"/>
          <w:color w:val="000000"/>
        </w:rPr>
        <w:t>一</w:t>
      </w:r>
      <w:r>
        <w:rPr>
          <w:rStyle w:val="19"/>
          <w:rFonts w:hint="eastAsia" w:ascii="仿宋" w:eastAsia="仿宋"/>
          <w:b w:val="0"/>
          <w:bCs w:val="0"/>
        </w:rPr>
        <w:t>般公共预算财政拨款支出决算明细表</w:t>
      </w:r>
      <w:bookmarkEnd w:id="146"/>
      <w:bookmarkEnd w:id="147"/>
      <w:bookmarkEnd w:id="148"/>
    </w:p>
    <w:p>
      <w:pPr>
        <w:pStyle w:val="4"/>
        <w:rPr>
          <w:rFonts w:ascii="仿宋" w:eastAsia="仿宋"/>
          <w:color w:val="000000"/>
        </w:rPr>
      </w:pPr>
      <w:bookmarkStart w:id="149" w:name="_Toc15396626"/>
      <w:bookmarkStart w:id="150" w:name="_Toc28096"/>
      <w:bookmarkStart w:id="151" w:name="_Toc6542"/>
      <w:r>
        <w:rPr>
          <w:rStyle w:val="19"/>
          <w:rFonts w:hint="eastAsia" w:ascii="仿宋" w:eastAsia="仿宋"/>
          <w:b w:val="0"/>
          <w:bCs w:val="0"/>
        </w:rPr>
        <w:t>八、</w:t>
      </w:r>
      <w:r>
        <w:rPr>
          <w:rFonts w:hint="eastAsia" w:ascii="仿宋" w:eastAsia="仿宋"/>
          <w:b w:val="0"/>
          <w:color w:val="000000"/>
        </w:rPr>
        <w:t>一</w:t>
      </w:r>
      <w:r>
        <w:rPr>
          <w:rStyle w:val="19"/>
          <w:rFonts w:hint="eastAsia" w:ascii="仿宋" w:eastAsia="仿宋"/>
          <w:b w:val="0"/>
          <w:bCs w:val="0"/>
        </w:rPr>
        <w:t>般公共预算财政拨款基本支出决算表</w:t>
      </w:r>
      <w:bookmarkEnd w:id="149"/>
      <w:bookmarkEnd w:id="150"/>
      <w:bookmarkEnd w:id="151"/>
    </w:p>
    <w:p>
      <w:pPr>
        <w:pStyle w:val="4"/>
        <w:rPr>
          <w:rFonts w:ascii="仿宋" w:eastAsia="仿宋"/>
          <w:color w:val="000000"/>
        </w:rPr>
      </w:pPr>
      <w:bookmarkStart w:id="152" w:name="_Toc15396627"/>
      <w:bookmarkStart w:id="153" w:name="_Toc27267"/>
      <w:bookmarkStart w:id="154" w:name="_Toc12023"/>
      <w:r>
        <w:rPr>
          <w:rStyle w:val="19"/>
          <w:rFonts w:hint="eastAsia" w:ascii="仿宋" w:eastAsia="仿宋"/>
          <w:b w:val="0"/>
          <w:bCs w:val="0"/>
        </w:rPr>
        <w:t>九、</w:t>
      </w:r>
      <w:r>
        <w:rPr>
          <w:rFonts w:hint="eastAsia" w:ascii="仿宋" w:eastAsia="仿宋"/>
          <w:b w:val="0"/>
          <w:color w:val="000000"/>
        </w:rPr>
        <w:t>一</w:t>
      </w:r>
      <w:r>
        <w:rPr>
          <w:rStyle w:val="19"/>
          <w:rFonts w:hint="eastAsia" w:ascii="仿宋" w:eastAsia="仿宋"/>
          <w:b w:val="0"/>
          <w:bCs w:val="0"/>
        </w:rPr>
        <w:t>般公共预算财政拨款项目支出决算表</w:t>
      </w:r>
      <w:bookmarkEnd w:id="152"/>
      <w:bookmarkEnd w:id="153"/>
      <w:bookmarkEnd w:id="154"/>
    </w:p>
    <w:p>
      <w:pPr>
        <w:pStyle w:val="4"/>
        <w:rPr>
          <w:rFonts w:ascii="仿宋" w:eastAsia="仿宋"/>
          <w:color w:val="000000"/>
        </w:rPr>
      </w:pPr>
      <w:bookmarkStart w:id="155" w:name="_Toc15396628"/>
      <w:bookmarkStart w:id="156" w:name="_Toc3355"/>
      <w:bookmarkStart w:id="157" w:name="_Toc27984"/>
      <w:r>
        <w:rPr>
          <w:rStyle w:val="19"/>
          <w:rFonts w:hint="eastAsia" w:ascii="仿宋" w:eastAsia="仿宋"/>
          <w:b w:val="0"/>
          <w:bCs w:val="0"/>
        </w:rPr>
        <w:t>十、</w:t>
      </w:r>
      <w:r>
        <w:rPr>
          <w:rFonts w:hint="eastAsia" w:ascii="仿宋" w:eastAsia="仿宋"/>
          <w:b w:val="0"/>
          <w:color w:val="000000"/>
        </w:rPr>
        <w:t>一</w:t>
      </w:r>
      <w:r>
        <w:rPr>
          <w:rStyle w:val="19"/>
          <w:rFonts w:hint="eastAsia" w:ascii="仿宋" w:eastAsia="仿宋"/>
          <w:b w:val="0"/>
          <w:bCs w:val="0"/>
        </w:rPr>
        <w:t>般公共预算财政拨款“三公”经费支出决算表</w:t>
      </w:r>
      <w:bookmarkEnd w:id="155"/>
      <w:bookmarkEnd w:id="156"/>
      <w:bookmarkEnd w:id="157"/>
    </w:p>
    <w:p>
      <w:pPr>
        <w:pStyle w:val="4"/>
        <w:rPr>
          <w:rFonts w:ascii="仿宋" w:eastAsia="仿宋"/>
          <w:color w:val="000000"/>
        </w:rPr>
      </w:pPr>
      <w:bookmarkStart w:id="158" w:name="_Toc15396629"/>
      <w:bookmarkStart w:id="159" w:name="_Toc8540"/>
      <w:bookmarkStart w:id="160" w:name="_Toc10360"/>
      <w:r>
        <w:rPr>
          <w:rStyle w:val="19"/>
          <w:rFonts w:hint="eastAsia" w:ascii="仿宋" w:eastAsia="仿宋"/>
          <w:b w:val="0"/>
          <w:bCs w:val="0"/>
        </w:rPr>
        <w:t>十一、</w:t>
      </w:r>
      <w:r>
        <w:rPr>
          <w:rFonts w:hint="eastAsia" w:ascii="仿宋" w:eastAsia="仿宋"/>
          <w:b w:val="0"/>
          <w:color w:val="000000"/>
        </w:rPr>
        <w:t>政</w:t>
      </w:r>
      <w:r>
        <w:rPr>
          <w:rStyle w:val="19"/>
          <w:rFonts w:hint="eastAsia" w:ascii="仿宋" w:eastAsia="仿宋"/>
          <w:b w:val="0"/>
          <w:bCs w:val="0"/>
        </w:rPr>
        <w:t>府性基金预算财政拨款收入支出决算表</w:t>
      </w:r>
      <w:bookmarkEnd w:id="158"/>
      <w:bookmarkEnd w:id="159"/>
      <w:bookmarkEnd w:id="160"/>
    </w:p>
    <w:p>
      <w:pPr>
        <w:pStyle w:val="4"/>
        <w:rPr>
          <w:rFonts w:ascii="仿宋" w:eastAsia="仿宋"/>
          <w:color w:val="000000"/>
        </w:rPr>
      </w:pPr>
      <w:bookmarkStart w:id="161" w:name="_Toc15396630"/>
      <w:bookmarkStart w:id="162" w:name="_Toc23660"/>
      <w:bookmarkStart w:id="163" w:name="_Toc32402"/>
      <w:r>
        <w:rPr>
          <w:rStyle w:val="19"/>
          <w:rFonts w:hint="eastAsia" w:ascii="仿宋" w:eastAsia="仿宋"/>
          <w:b w:val="0"/>
          <w:bCs w:val="0"/>
        </w:rPr>
        <w:t>十二、</w:t>
      </w:r>
      <w:r>
        <w:rPr>
          <w:rFonts w:hint="eastAsia" w:ascii="仿宋" w:eastAsia="仿宋"/>
          <w:b w:val="0"/>
          <w:color w:val="000000"/>
        </w:rPr>
        <w:t>政</w:t>
      </w:r>
      <w:r>
        <w:rPr>
          <w:rStyle w:val="19"/>
          <w:rFonts w:hint="eastAsia" w:ascii="仿宋" w:eastAsia="仿宋"/>
          <w:b w:val="0"/>
          <w:bCs w:val="0"/>
        </w:rPr>
        <w:t>府性基金预算财政拨款“三公”经费支出决算表</w:t>
      </w:r>
      <w:bookmarkEnd w:id="161"/>
      <w:bookmarkEnd w:id="162"/>
      <w:bookmarkEnd w:id="163"/>
    </w:p>
    <w:p>
      <w:pPr>
        <w:pStyle w:val="4"/>
        <w:rPr>
          <w:rFonts w:ascii="仿宋" w:eastAsia="仿宋"/>
          <w:color w:val="000000"/>
        </w:rPr>
      </w:pPr>
      <w:bookmarkStart w:id="164" w:name="_Toc15396631"/>
      <w:bookmarkStart w:id="165" w:name="_Toc16375"/>
      <w:bookmarkStart w:id="166" w:name="_Toc26369"/>
      <w:r>
        <w:rPr>
          <w:rStyle w:val="19"/>
          <w:rFonts w:hint="eastAsia" w:ascii="仿宋" w:eastAsia="仿宋"/>
          <w:b w:val="0"/>
          <w:bCs w:val="0"/>
        </w:rPr>
        <w:t>十三、</w:t>
      </w:r>
      <w:r>
        <w:rPr>
          <w:rFonts w:hint="eastAsia" w:ascii="仿宋" w:eastAsia="仿宋"/>
          <w:b w:val="0"/>
          <w:color w:val="000000"/>
        </w:rPr>
        <w:t>国</w:t>
      </w:r>
      <w:r>
        <w:rPr>
          <w:rStyle w:val="19"/>
          <w:rFonts w:hint="eastAsia" w:ascii="仿宋" w:eastAsia="仿宋"/>
          <w:b w:val="0"/>
          <w:bCs w:val="0"/>
        </w:rPr>
        <w:t>有资本经营预算支出决算表</w:t>
      </w:r>
      <w:bookmarkEnd w:id="164"/>
      <w:bookmarkEnd w:id="165"/>
      <w:bookmarkEnd w:id="166"/>
    </w:p>
    <w:p>
      <w:pPr>
        <w:pageBreakBefore w:val="0"/>
        <w:kinsoku/>
        <w:wordWrap/>
        <w:overflowPunct/>
        <w:topLinePunct w:val="0"/>
        <w:bidi w:val="0"/>
        <w:spacing w:line="560" w:lineRule="exact"/>
        <w:ind w:left="0" w:firstLine="640" w:firstLineChars="200"/>
        <w:textAlignment w:val="auto"/>
        <w:rPr>
          <w:rFonts w:hint="default" w:ascii="Times New Roman" w:hAnsi="Times New Roman" w:cs="Times New Roman"/>
          <w:color w:val="0000FF"/>
          <w:sz w:val="32"/>
          <w:szCs w:val="32"/>
        </w:rPr>
      </w:pPr>
    </w:p>
    <w:sectPr>
      <w:footerReference r:id="rId12"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DejaVu Sans">
    <w:altName w:val="Segoe Print"/>
    <w:panose1 w:val="00000000000000000000"/>
    <w:charset w:val="00"/>
    <w:family w:val="roman"/>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60F902"/>
    <w:multiLevelType w:val="singleLevel"/>
    <w:tmpl w:val="B660F902"/>
    <w:lvl w:ilvl="0" w:tentative="0">
      <w:start w:val="2"/>
      <w:numFmt w:val="decimal"/>
      <w:suff w:val="nothing"/>
      <w:lvlText w:val="%1、"/>
      <w:lvlJc w:val="left"/>
      <w:pPr>
        <w:tabs>
          <w:tab w:val="left" w:pos="0"/>
        </w:tabs>
        <w:ind w:left="0" w:firstLine="0"/>
      </w:pPr>
    </w:lvl>
  </w:abstractNum>
  <w:abstractNum w:abstractNumId="1">
    <w:nsid w:val="ED1C4811"/>
    <w:multiLevelType w:val="singleLevel"/>
    <w:tmpl w:val="ED1C4811"/>
    <w:lvl w:ilvl="0" w:tentative="0">
      <w:start w:val="1"/>
      <w:numFmt w:val="chineseCounting"/>
      <w:suff w:val="nothing"/>
      <w:lvlText w:val="（%1）"/>
      <w:lvlJc w:val="left"/>
      <w:pPr>
        <w:ind w:left="802" w:firstLine="0"/>
      </w:pPr>
      <w:rPr>
        <w:rFonts w:hint="eastAsia"/>
      </w:rPr>
    </w:lvl>
  </w:abstractNum>
  <w:abstractNum w:abstractNumId="2">
    <w:nsid w:val="5683897A"/>
    <w:multiLevelType w:val="singleLevel"/>
    <w:tmpl w:val="5683897A"/>
    <w:lvl w:ilvl="0" w:tentative="0">
      <w:start w:val="1"/>
      <w:numFmt w:val="chineseCounting"/>
      <w:suff w:val="nothing"/>
      <w:lvlText w:val="%1、"/>
      <w:lvlJc w:val="left"/>
    </w:lvl>
  </w:abstractNum>
  <w:abstractNum w:abstractNumId="3">
    <w:nsid w:val="63E78AEE"/>
    <w:multiLevelType w:val="singleLevel"/>
    <w:tmpl w:val="63E78AEE"/>
    <w:lvl w:ilvl="0" w:tentative="0">
      <w:start w:val="1"/>
      <w:numFmt w:val="chineseCounting"/>
      <w:suff w:val="nothing"/>
      <w:lvlText w:val="（%1）"/>
      <w:lvlJc w:val="left"/>
      <w:pPr>
        <w:tabs>
          <w:tab w:val="left" w:pos="0"/>
        </w:tabs>
        <w:ind w:left="0" w:firstLine="0"/>
      </w:pPr>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wN2MwYjQ4YjE0MzViNmU5MTkzZGYxOGRlZDAzZWMifQ=="/>
  </w:docVars>
  <w:rsids>
    <w:rsidRoot w:val="4F8351D0"/>
    <w:rsid w:val="02471A55"/>
    <w:rsid w:val="05361B69"/>
    <w:rsid w:val="06386F92"/>
    <w:rsid w:val="08747D25"/>
    <w:rsid w:val="0A7F4DB2"/>
    <w:rsid w:val="0CFA5D7A"/>
    <w:rsid w:val="126428FA"/>
    <w:rsid w:val="12971A5F"/>
    <w:rsid w:val="153C7967"/>
    <w:rsid w:val="159873F6"/>
    <w:rsid w:val="1CFC11B5"/>
    <w:rsid w:val="1D043119"/>
    <w:rsid w:val="1F5B3D90"/>
    <w:rsid w:val="22422982"/>
    <w:rsid w:val="2F863522"/>
    <w:rsid w:val="3083096E"/>
    <w:rsid w:val="30F10937"/>
    <w:rsid w:val="30FE12B9"/>
    <w:rsid w:val="31876ED9"/>
    <w:rsid w:val="32416D22"/>
    <w:rsid w:val="32EB6030"/>
    <w:rsid w:val="338D6C3F"/>
    <w:rsid w:val="341A7A00"/>
    <w:rsid w:val="379C3687"/>
    <w:rsid w:val="37BD387A"/>
    <w:rsid w:val="3D2D6B2F"/>
    <w:rsid w:val="3D430101"/>
    <w:rsid w:val="3E614EDE"/>
    <w:rsid w:val="3F0F71E1"/>
    <w:rsid w:val="40AD420F"/>
    <w:rsid w:val="4440539A"/>
    <w:rsid w:val="45DE4E6B"/>
    <w:rsid w:val="4712301E"/>
    <w:rsid w:val="49933127"/>
    <w:rsid w:val="4CA87F80"/>
    <w:rsid w:val="4DA132D9"/>
    <w:rsid w:val="4F8351D0"/>
    <w:rsid w:val="528E02C4"/>
    <w:rsid w:val="550D19E1"/>
    <w:rsid w:val="56DE3D94"/>
    <w:rsid w:val="58094C63"/>
    <w:rsid w:val="5A8E6501"/>
    <w:rsid w:val="5D825DED"/>
    <w:rsid w:val="62D809D6"/>
    <w:rsid w:val="65436640"/>
    <w:rsid w:val="698744D2"/>
    <w:rsid w:val="69F06CA1"/>
    <w:rsid w:val="6CA112F5"/>
    <w:rsid w:val="6D225B80"/>
    <w:rsid w:val="761C2BE2"/>
    <w:rsid w:val="7A7B723C"/>
    <w:rsid w:val="7CF73522"/>
    <w:rsid w:val="7D806949"/>
    <w:rsid w:val="7ECB0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640" w:firstLineChars="20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18"/>
    <w:qFormat/>
    <w:uiPriority w:val="0"/>
    <w:pPr>
      <w:keepNext/>
      <w:keepLines/>
      <w:spacing w:line="576" w:lineRule="exact"/>
      <w:ind w:firstLine="200"/>
      <w:outlineLvl w:val="0"/>
    </w:pPr>
    <w:rPr>
      <w:rFonts w:eastAsia="黑体"/>
      <w:b/>
      <w:kern w:val="44"/>
    </w:rPr>
  </w:style>
  <w:style w:type="paragraph" w:styleId="4">
    <w:name w:val="heading 2"/>
    <w:basedOn w:val="1"/>
    <w:next w:val="1"/>
    <w:link w:val="19"/>
    <w:qFormat/>
    <w:uiPriority w:val="0"/>
    <w:pPr>
      <w:keepNext/>
      <w:keepLines/>
      <w:spacing w:line="576" w:lineRule="exact"/>
      <w:ind w:firstLine="200"/>
      <w:outlineLvl w:val="1"/>
    </w:pPr>
    <w:rPr>
      <w:rFonts w:ascii="Arial" w:hAnsi="Arial" w:eastAsia="楷体"/>
      <w:b/>
    </w:rPr>
  </w:style>
  <w:style w:type="character" w:default="1" w:styleId="15">
    <w:name w:val="Default Paragraph Font"/>
    <w:semiHidden/>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Subtitle"/>
    <w:basedOn w:val="1"/>
    <w:qFormat/>
    <w:uiPriority w:val="11"/>
    <w:pPr>
      <w:spacing w:before="240" w:after="60" w:line="312" w:lineRule="auto"/>
      <w:jc w:val="center"/>
      <w:outlineLvl w:val="1"/>
    </w:pPr>
    <w:rPr>
      <w:rFonts w:ascii="DejaVu Sans" w:hAnsi="DejaVu Sans"/>
      <w:b/>
      <w:kern w:val="28"/>
    </w:rPr>
  </w:style>
  <w:style w:type="paragraph" w:styleId="5">
    <w:name w:val="Body Text"/>
    <w:basedOn w:val="1"/>
    <w:unhideWhenUsed/>
    <w:qFormat/>
    <w:uiPriority w:val="99"/>
    <w:pPr>
      <w:spacing w:after="120"/>
    </w:pPr>
  </w:style>
  <w:style w:type="paragraph" w:styleId="6">
    <w:name w:val="toc 3"/>
    <w:basedOn w:val="1"/>
    <w:next w:val="1"/>
    <w:uiPriority w:val="0"/>
    <w:pPr>
      <w:ind w:left="840" w:leftChars="400"/>
    </w:pPr>
  </w:style>
  <w:style w:type="paragraph" w:styleId="7">
    <w:name w:val="footer"/>
    <w:basedOn w:val="1"/>
    <w:qFormat/>
    <w:uiPriority w:val="0"/>
    <w:pPr>
      <w:tabs>
        <w:tab w:val="center" w:pos="4153"/>
        <w:tab w:val="right" w:pos="8306"/>
      </w:tabs>
      <w:snapToGrid w:val="0"/>
      <w:jc w:val="left"/>
    </w:pPr>
    <w:rPr>
      <w:rFonts w:eastAsia="宋体"/>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9">
    <w:name w:val="toc 1"/>
    <w:basedOn w:val="1"/>
    <w:next w:val="1"/>
    <w:qFormat/>
    <w:uiPriority w:val="39"/>
  </w:style>
  <w:style w:type="paragraph" w:styleId="10">
    <w:name w:val="table of figures"/>
    <w:basedOn w:val="1"/>
    <w:next w:val="1"/>
    <w:qFormat/>
    <w:uiPriority w:val="0"/>
    <w:pPr>
      <w:ind w:leftChars="200" w:hanging="200" w:hangingChars="200"/>
    </w:pPr>
  </w:style>
  <w:style w:type="paragraph" w:styleId="11">
    <w:name w:val="toc 2"/>
    <w:basedOn w:val="1"/>
    <w:next w:val="1"/>
    <w:qFormat/>
    <w:uiPriority w:val="39"/>
    <w:pPr>
      <w:ind w:left="420" w:leftChars="200"/>
    </w:p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w:basedOn w:val="5"/>
    <w:qFormat/>
    <w:uiPriority w:val="0"/>
    <w:pPr>
      <w:ind w:firstLine="420" w:firstLineChars="100"/>
    </w:pPr>
    <w:rPr>
      <w:rFonts w:ascii="Calibri" w:hAnsi="Calibri" w:eastAsia="宋体"/>
      <w:sz w:val="21"/>
    </w:rPr>
  </w:style>
  <w:style w:type="paragraph" w:customStyle="1" w:styleId="16">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17">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18">
    <w:name w:val="标题 1 Char"/>
    <w:basedOn w:val="15"/>
    <w:link w:val="3"/>
    <w:qFormat/>
    <w:uiPriority w:val="0"/>
    <w:rPr>
      <w:rFonts w:eastAsia="黑体"/>
      <w:b/>
      <w:kern w:val="44"/>
    </w:rPr>
  </w:style>
  <w:style w:type="character" w:customStyle="1" w:styleId="19">
    <w:name w:val="标题 2 Char"/>
    <w:basedOn w:val="15"/>
    <w:link w:val="4"/>
    <w:qFormat/>
    <w:uiPriority w:val="0"/>
    <w:rPr>
      <w:rFonts w:ascii="Arial" w:hAnsi="Arial" w:eastAsia="楷体"/>
      <w:b/>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166.18</c:v>
                </c:pt>
                <c:pt idx="1">
                  <c:v>147.18</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177.29</c:v>
                </c:pt>
                <c:pt idx="1">
                  <c:v>196.29</c:v>
                </c:pt>
              </c:numCache>
            </c:numRef>
          </c:val>
        </c:ser>
        <c:dLbls>
          <c:showLegendKey val="0"/>
          <c:showVal val="1"/>
          <c:showCatName val="0"/>
          <c:showSerName val="0"/>
          <c:showPercent val="0"/>
          <c:showBubbleSize val="0"/>
        </c:dLbls>
        <c:gapWidth val="219"/>
        <c:overlap val="-27"/>
        <c:axId val="125604992"/>
        <c:axId val="125606528"/>
      </c:barChart>
      <c:catAx>
        <c:axId val="125604992"/>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5606528"/>
        <c:crosses val="autoZero"/>
        <c:auto val="1"/>
        <c:lblAlgn val="ctr"/>
        <c:lblOffset val="100"/>
        <c:noMultiLvlLbl val="0"/>
      </c:catAx>
      <c:valAx>
        <c:axId val="125606528"/>
        <c:scaling>
          <c:orientation val="minMax"/>
          <c:max val="4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5604992"/>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Lbls>
            <c:dLbl>
              <c:idx val="1"/>
              <c:layout>
                <c:manualLayout>
                  <c:x val="-0.020973645"/>
                  <c:y val="0.044190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(6)'!$A$2:$A$6</c:f>
              <c:strCache>
                <c:ptCount val="5"/>
                <c:pt idx="0">
                  <c:v>社会保障和就业</c:v>
                </c:pt>
                <c:pt idx="1">
                  <c:v>卫生健康支出</c:v>
                </c:pt>
                <c:pt idx="2">
                  <c:v>农林水支出</c:v>
                </c:pt>
                <c:pt idx="3">
                  <c:v>商业服务业等支出</c:v>
                </c:pt>
                <c:pt idx="4">
                  <c:v>住房保障支出</c:v>
                </c:pt>
              </c:strCache>
            </c:strRef>
          </c:cat>
          <c:val>
            <c:numRef>
              <c:f>'Sheet1 (6)'!$B$2:$B$6</c:f>
              <c:numCache>
                <c:formatCode>General</c:formatCode>
                <c:ptCount val="5"/>
                <c:pt idx="0">
                  <c:v>11.69</c:v>
                </c:pt>
                <c:pt idx="1">
                  <c:v>6.92</c:v>
                </c:pt>
                <c:pt idx="2">
                  <c:v>38</c:v>
                </c:pt>
                <c:pt idx="3">
                  <c:v>132</c:v>
                </c:pt>
                <c:pt idx="4">
                  <c:v>7.69</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人员经费</a:t>
            </a:r>
          </a:p>
        </c:rich>
      </c:tx>
      <c:layout/>
      <c:overlay val="0"/>
      <c:spPr>
        <a:noFill/>
        <a:ln>
          <a:noFill/>
        </a:ln>
        <a:effectLst/>
      </c:spPr>
    </c:title>
    <c:autoTitleDeleted val="0"/>
    <c:plotArea>
      <c:layout/>
      <c:barChart>
        <c:barDir val="bar"/>
        <c:grouping val="clustered"/>
        <c:varyColors val="0"/>
        <c:ser>
          <c:idx val="0"/>
          <c:order val="0"/>
          <c:tx>
            <c:strRef>
              <c:f>Sheet1!$B$1</c:f>
              <c:strCache>
                <c:ptCount val="1"/>
                <c:pt idx="0">
                  <c:v>万元 </c:v>
                </c:pt>
              </c:strCache>
            </c:strRef>
          </c:tx>
          <c:spPr>
            <a:solidFill>
              <a:schemeClr val="accent1"/>
            </a:solidFill>
            <a:ln>
              <a:noFill/>
            </a:ln>
            <a:effectLst/>
          </c:spPr>
          <c:invertIfNegative val="0"/>
          <c:dLbls>
            <c:delete val="1"/>
          </c:dLbls>
          <c:cat>
            <c:strRef>
              <c:f>Sheet1!$A$2:$A$13</c:f>
              <c:strCache>
                <c:ptCount val="12"/>
                <c:pt idx="0">
                  <c:v>基本工资</c:v>
                </c:pt>
                <c:pt idx="1">
                  <c:v>津贴补贴</c:v>
                </c:pt>
                <c:pt idx="2">
                  <c:v>奖金</c:v>
                </c:pt>
                <c:pt idx="3">
                  <c:v>基本养老保险</c:v>
                </c:pt>
                <c:pt idx="4">
                  <c:v>职业年金缴费</c:v>
                </c:pt>
                <c:pt idx="5">
                  <c:v>基本医疗保险</c:v>
                </c:pt>
                <c:pt idx="6">
                  <c:v>公务员医疗补助</c:v>
                </c:pt>
                <c:pt idx="7">
                  <c:v>其他社会保障缴费</c:v>
                </c:pt>
                <c:pt idx="8">
                  <c:v>住房公积金</c:v>
                </c:pt>
                <c:pt idx="9">
                  <c:v>生活补助</c:v>
                </c:pt>
                <c:pt idx="10">
                  <c:v>抚恤金</c:v>
                </c:pt>
                <c:pt idx="11">
                  <c:v>奖励金</c:v>
                </c:pt>
              </c:strCache>
            </c:strRef>
          </c:cat>
          <c:val>
            <c:numRef>
              <c:f>Sheet1!$B$2:$B$13</c:f>
              <c:numCache>
                <c:formatCode>General</c:formatCode>
                <c:ptCount val="12"/>
                <c:pt idx="0">
                  <c:v>21.91</c:v>
                </c:pt>
                <c:pt idx="1">
                  <c:v>25.62</c:v>
                </c:pt>
                <c:pt idx="2">
                  <c:v>2.12</c:v>
                </c:pt>
                <c:pt idx="3">
                  <c:v>7.79</c:v>
                </c:pt>
                <c:pt idx="4">
                  <c:v>3.9</c:v>
                </c:pt>
                <c:pt idx="5">
                  <c:v>3.63</c:v>
                </c:pt>
                <c:pt idx="6">
                  <c:v>3.29</c:v>
                </c:pt>
                <c:pt idx="7">
                  <c:v>0.52</c:v>
                </c:pt>
                <c:pt idx="8">
                  <c:v>7.69</c:v>
                </c:pt>
                <c:pt idx="9">
                  <c:v>16.31</c:v>
                </c:pt>
                <c:pt idx="10">
                  <c:v>6.05</c:v>
                </c:pt>
                <c:pt idx="11">
                  <c:v>36.51</c:v>
                </c:pt>
              </c:numCache>
            </c:numRef>
          </c:val>
        </c:ser>
        <c:dLbls>
          <c:showLegendKey val="0"/>
          <c:showVal val="0"/>
          <c:showCatName val="0"/>
          <c:showSerName val="0"/>
          <c:showPercent val="0"/>
          <c:showBubbleSize val="0"/>
        </c:dLbls>
        <c:gapWidth val="182"/>
        <c:overlap val="0"/>
        <c:axId val="691345426"/>
        <c:axId val="953100189"/>
      </c:barChart>
      <c:catAx>
        <c:axId val="691345426"/>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3100189"/>
        <c:crosses val="autoZero"/>
        <c:auto val="1"/>
        <c:lblAlgn val="ctr"/>
        <c:lblOffset val="100"/>
        <c:noMultiLvlLbl val="0"/>
      </c:catAx>
      <c:valAx>
        <c:axId val="95310018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13454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公用经费</a:t>
            </a:r>
          </a:p>
        </c:rich>
      </c:tx>
      <c:layout/>
      <c:overlay val="0"/>
      <c:spPr>
        <a:noFill/>
        <a:ln>
          <a:noFill/>
        </a:ln>
        <a:effectLst/>
      </c:spPr>
    </c:title>
    <c:autoTitleDeleted val="0"/>
    <c:plotArea>
      <c:layout/>
      <c:barChart>
        <c:barDir val="bar"/>
        <c:grouping val="clustered"/>
        <c:varyColors val="0"/>
        <c:ser>
          <c:idx val="0"/>
          <c:order val="0"/>
          <c:tx>
            <c:strRef>
              <c:f>Sheet1!$B$1</c:f>
              <c:strCache>
                <c:ptCount val="1"/>
                <c:pt idx="0">
                  <c:v>万元</c:v>
                </c:pt>
              </c:strCache>
            </c:strRef>
          </c:tx>
          <c:spPr>
            <a:solidFill>
              <a:schemeClr val="accent1"/>
            </a:solidFill>
            <a:ln>
              <a:noFill/>
            </a:ln>
            <a:effectLst/>
          </c:spPr>
          <c:invertIfNegative val="0"/>
          <c:dLbls>
            <c:delete val="1"/>
          </c:dLbls>
          <c:cat>
            <c:strRef>
              <c:f>Sheet1!$A$2:$A$8</c:f>
              <c:strCache>
                <c:ptCount val="7"/>
                <c:pt idx="0">
                  <c:v>办公费</c:v>
                </c:pt>
                <c:pt idx="1">
                  <c:v>水费</c:v>
                </c:pt>
                <c:pt idx="2">
                  <c:v>电费</c:v>
                </c:pt>
                <c:pt idx="3">
                  <c:v>邮电费</c:v>
                </c:pt>
                <c:pt idx="4">
                  <c:v>差旅费</c:v>
                </c:pt>
                <c:pt idx="5">
                  <c:v>劳务费</c:v>
                </c:pt>
                <c:pt idx="6">
                  <c:v>其他交通费用</c:v>
                </c:pt>
              </c:strCache>
            </c:strRef>
          </c:cat>
          <c:val>
            <c:numRef>
              <c:f>Sheet1!$B$2:$B$8</c:f>
              <c:numCache>
                <c:formatCode>General</c:formatCode>
                <c:ptCount val="7"/>
                <c:pt idx="0">
                  <c:v>6.03</c:v>
                </c:pt>
                <c:pt idx="1">
                  <c:v>0.1</c:v>
                </c:pt>
                <c:pt idx="2">
                  <c:v>0.2</c:v>
                </c:pt>
                <c:pt idx="3">
                  <c:v>0.65</c:v>
                </c:pt>
                <c:pt idx="4">
                  <c:v>2.99</c:v>
                </c:pt>
                <c:pt idx="5">
                  <c:v>0.2</c:v>
                </c:pt>
                <c:pt idx="6">
                  <c:v>2.79</c:v>
                </c:pt>
              </c:numCache>
            </c:numRef>
          </c:val>
        </c:ser>
        <c:dLbls>
          <c:showLegendKey val="0"/>
          <c:showVal val="0"/>
          <c:showCatName val="0"/>
          <c:showSerName val="0"/>
          <c:showPercent val="0"/>
          <c:showBubbleSize val="0"/>
        </c:dLbls>
        <c:gapWidth val="182"/>
        <c:overlap val="0"/>
        <c:axId val="691345426"/>
        <c:axId val="953100189"/>
      </c:barChart>
      <c:catAx>
        <c:axId val="691345426"/>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3100189"/>
        <c:crosses val="autoZero"/>
        <c:auto val="1"/>
        <c:lblAlgn val="ctr"/>
        <c:lblOffset val="100"/>
        <c:noMultiLvlLbl val="0"/>
      </c:catAx>
      <c:valAx>
        <c:axId val="95310018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13454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6883</Words>
  <Characters>7943</Characters>
  <Lines>0</Lines>
  <Paragraphs>0</Paragraphs>
  <TotalTime>7</TotalTime>
  <ScaleCrop>false</ScaleCrop>
  <LinksUpToDate>false</LinksUpToDate>
  <CharactersWithSpaces>13088</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2022-08-25T01:11:00Z</dcterms:created>
  <dc:creator>皮不死克斯</dc:creator>
  <cp:lastModifiedBy>Administrator</cp:lastModifiedBy>
  <cp:lastPrinted>2022-08-29T08:51:16Z</cp:lastPrinted>
  <dcterms:modified xsi:type="dcterms:W3CDTF">2022-08-29T08:54:47Z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15ACF5900BC240C486F6947865CE3D9C</vt:lpwstr>
  </property>
</Properties>
</file>