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8441"/>
      <w:bookmarkStart w:id="2" w:name="_Toc15396597"/>
      <w:bookmarkStart w:id="3" w:name="_Toc15377425"/>
      <w:bookmarkStart w:id="4" w:name="_Toc15396475"/>
      <w:bookmarkStart w:id="5" w:name="_Toc15377193"/>
      <w:r>
        <w:rPr>
          <w:rFonts w:hint="eastAsia" w:ascii="黑体" w:eastAsia="黑体"/>
          <w:color w:val="000000"/>
          <w:sz w:val="72"/>
          <w:szCs w:val="72"/>
        </w:rPr>
        <w:t>2020</w:t>
      </w:r>
      <w:r>
        <w:rPr>
          <w:rFonts w:hint="eastAsia" w:ascii="方正小标宋简体" w:eastAsia="方正小标宋简体"/>
          <w:color w:val="000000"/>
          <w:sz w:val="72"/>
          <w:szCs w:val="72"/>
        </w:rPr>
        <w:t>年度</w:t>
      </w:r>
      <w:bookmarkEnd w:id="1"/>
      <w:bookmarkEnd w:id="2"/>
      <w:bookmarkEnd w:id="3"/>
      <w:bookmarkEnd w:id="4"/>
      <w:bookmarkEnd w:id="5"/>
    </w:p>
    <w:bookmarkEnd w:id="0"/>
    <w:p>
      <w:pPr>
        <w:adjustRightInd w:val="0"/>
        <w:snapToGrid w:val="0"/>
        <w:spacing w:line="360" w:lineRule="auto"/>
        <w:jc w:val="center"/>
        <w:outlineLvl w:val="0"/>
        <w:rPr>
          <w:rFonts w:ascii="方正小标宋简体" w:eastAsia="方正小标宋简体"/>
          <w:color w:val="000000"/>
          <w:sz w:val="72"/>
          <w:szCs w:val="72"/>
        </w:rPr>
      </w:pPr>
      <w:bookmarkStart w:id="6" w:name="_Toc15396598"/>
      <w:bookmarkStart w:id="7" w:name="_Toc15377194"/>
      <w:bookmarkStart w:id="8" w:name="_Toc15378442"/>
      <w:bookmarkStart w:id="9" w:name="_Toc15396476"/>
      <w:bookmarkStart w:id="10" w:name="_Toc15377426"/>
      <w:bookmarkStart w:id="11" w:name="_Toc15306268"/>
      <w:r>
        <w:rPr>
          <w:rFonts w:hint="eastAsia" w:ascii="方正小标宋简体" w:eastAsia="方正小标宋简体"/>
          <w:color w:val="000000"/>
          <w:sz w:val="72"/>
          <w:szCs w:val="72"/>
        </w:rPr>
        <w:t>金川县供销合作社联合社决算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1"/>
      </w:pPr>
      <w:r>
        <w:rPr>
          <w:rFonts w:hint="eastAsia"/>
        </w:rPr>
        <w:t>公开时间：2020年8月3日</w:t>
      </w:r>
    </w:p>
    <w:p/>
    <w:p/>
    <w:p/>
    <w:p/>
    <w:p>
      <w:pPr>
        <w:pStyle w:val="11"/>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12"/>
        <w:ind w:left="420"/>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rPr>
        <w:t>5</w:t>
      </w:r>
      <w:r>
        <w:rPr>
          <w:rFonts w:hint="eastAsia" w:ascii="仿宋" w:eastAsia="仿宋"/>
          <w:sz w:val="28"/>
          <w:szCs w:val="28"/>
        </w:rPr>
        <w:fldChar w:fldCharType="end"/>
      </w:r>
    </w:p>
    <w:p>
      <w:pPr>
        <w:pStyle w:val="11"/>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5</w:t>
      </w:r>
      <w:r>
        <w:rPr>
          <w:rFonts w:hint="eastAsia"/>
        </w:rPr>
        <w:fldChar w:fldCharType="end"/>
      </w:r>
    </w:p>
    <w:p>
      <w:pPr>
        <w:pStyle w:val="12"/>
        <w:ind w:left="420"/>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rPr>
        <w:t>5</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rPr>
        <w:t>8</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0</w:t>
      </w:r>
    </w:p>
    <w:p>
      <w:pPr>
        <w:pStyle w:val="12"/>
        <w:ind w:left="420"/>
        <w:rPr>
          <w:rFonts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1</w:t>
      </w:r>
    </w:p>
    <w:p>
      <w:pPr>
        <w:pStyle w:val="12"/>
        <w:ind w:left="420"/>
        <w:rPr>
          <w:rFonts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1</w:t>
      </w:r>
    </w:p>
    <w:p>
      <w:pPr>
        <w:pStyle w:val="12"/>
        <w:ind w:left="420"/>
        <w:rPr>
          <w:rFonts w:ascii="仿宋" w:eastAsia="仿宋"/>
          <w:sz w:val="28"/>
          <w:szCs w:val="28"/>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1</w:t>
      </w:r>
    </w:p>
    <w:p>
      <w:pPr>
        <w:pStyle w:val="12"/>
        <w:ind w:left="420"/>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、预算绩效情况说明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1</w:t>
      </w:r>
    </w:p>
    <w:p>
      <w:pPr>
        <w:pStyle w:val="12"/>
        <w:ind w:left="420"/>
        <w:rPr>
          <w:rFonts w:ascii="仿宋" w:eastAsia="仿宋" w:cs="Arial"/>
          <w:sz w:val="28"/>
          <w:szCs w:val="28"/>
        </w:rPr>
      </w:pPr>
      <w:r>
        <w:fldChar w:fldCharType="begin"/>
      </w:r>
      <w:r>
        <w:instrText xml:space="preserve"> HYPERLINK \l "_Toc15396612" </w:instrText>
      </w:r>
      <w:r>
        <w:fldChar w:fldCharType="separate"/>
      </w:r>
      <w:r>
        <w:rPr>
          <w:rFonts w:hint="eastAsia" w:ascii="仿宋" w:eastAsia="仿宋"/>
          <w:sz w:val="28"/>
          <w:szCs w:val="28"/>
        </w:rPr>
        <w:t>十一</w:t>
      </w:r>
      <w:r>
        <w:rPr>
          <w:rFonts w:hint="eastAsia" w:ascii="仿宋" w:eastAsia="仿宋"/>
          <w:bCs/>
          <w:sz w:val="28"/>
          <w:szCs w:val="28"/>
        </w:rPr>
        <w:t>、其他重要事项的情况说明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1</w:t>
      </w:r>
    </w:p>
    <w:p>
      <w:pPr>
        <w:pStyle w:val="11"/>
        <w:rPr>
          <w:rFonts w:cs="Arial"/>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fldChar w:fldCharType="end"/>
      </w:r>
      <w:r>
        <w:rPr>
          <w:rFonts w:hint="eastAsia"/>
        </w:rPr>
        <w:t>11</w:t>
      </w:r>
    </w:p>
    <w:p>
      <w:pPr>
        <w:pStyle w:val="11"/>
        <w:rPr>
          <w:rFonts w:cs="Arial"/>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rPr>
        <w:t>1</w:t>
      </w:r>
      <w:r>
        <w:rPr>
          <w:rFonts w:hint="eastAsia"/>
        </w:rPr>
        <w:fldChar w:fldCharType="end"/>
      </w:r>
      <w:r>
        <w:rPr>
          <w:rFonts w:hint="eastAsia"/>
        </w:rPr>
        <w:t>4</w:t>
      </w:r>
    </w:p>
    <w:p>
      <w:pPr>
        <w:pStyle w:val="12"/>
        <w:ind w:left="420"/>
        <w:rPr>
          <w:rFonts w:ascii="仿宋" w:eastAsia="仿宋" w:cs="Arial"/>
          <w:sz w:val="28"/>
          <w:szCs w:val="28"/>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ascii="仿宋" w:eastAsia="仿宋"/>
          <w:sz w:val="28"/>
          <w:szCs w:val="28"/>
        </w:rPr>
        <w:fldChar w:fldCharType="end"/>
      </w:r>
      <w:r>
        <w:rPr>
          <w:rFonts w:hint="eastAsia" w:ascii="仿宋" w:eastAsia="仿宋"/>
          <w:sz w:val="28"/>
          <w:szCs w:val="28"/>
        </w:rPr>
        <w:t>14</w:t>
      </w:r>
    </w:p>
    <w:p>
      <w:pPr>
        <w:pStyle w:val="11"/>
        <w:rPr>
          <w:rFonts w:cs="Arial"/>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rPr>
        <w:t>1</w:t>
      </w:r>
      <w:r>
        <w:rPr>
          <w:rFonts w:hint="eastAsia"/>
        </w:rPr>
        <w:fldChar w:fldCharType="end"/>
      </w:r>
      <w:r>
        <w:rPr>
          <w:rFonts w:hint="eastAsia"/>
        </w:rPr>
        <w:t>9</w:t>
      </w:r>
    </w:p>
    <w:p>
      <w:pPr>
        <w:pStyle w:val="12"/>
        <w:ind w:left="420"/>
        <w:rPr>
          <w:rFonts w:ascii="仿宋" w:eastAsia="仿宋" w:cs="Arial"/>
          <w:sz w:val="28"/>
          <w:szCs w:val="28"/>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ascii="仿宋" w:eastAsia="仿宋"/>
          <w:sz w:val="28"/>
          <w:szCs w:val="28"/>
        </w:rPr>
        <w:fldChar w:fldCharType="end"/>
      </w:r>
      <w:r>
        <w:rPr>
          <w:rFonts w:hint="eastAsia" w:ascii="仿宋" w:eastAsia="仿宋"/>
          <w:sz w:val="28"/>
          <w:szCs w:val="28"/>
        </w:rPr>
        <w:t>19</w:t>
      </w:r>
    </w:p>
    <w:p>
      <w:pPr>
        <w:pStyle w:val="12"/>
        <w:ind w:left="420"/>
        <w:rPr>
          <w:rFonts w:ascii="仿宋" w:eastAsia="仿宋" w:cs="Arial"/>
          <w:sz w:val="28"/>
          <w:szCs w:val="28"/>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收入总表</w:t>
      </w:r>
      <w:r>
        <w:rPr>
          <w:rFonts w:ascii="仿宋" w:eastAsia="仿宋"/>
          <w:sz w:val="28"/>
          <w:szCs w:val="28"/>
        </w:rPr>
        <w:tab/>
      </w:r>
      <w:r>
        <w:rPr>
          <w:rFonts w:ascii="仿宋" w:eastAsia="仿宋"/>
          <w:sz w:val="28"/>
          <w:szCs w:val="28"/>
        </w:rPr>
        <w:fldChar w:fldCharType="end"/>
      </w:r>
      <w:r>
        <w:rPr>
          <w:rFonts w:hint="eastAsia" w:ascii="仿宋" w:eastAsia="仿宋"/>
          <w:sz w:val="28"/>
          <w:szCs w:val="28"/>
        </w:rPr>
        <w:t>19</w:t>
      </w:r>
    </w:p>
    <w:p>
      <w:pPr>
        <w:pStyle w:val="12"/>
        <w:ind w:left="420"/>
        <w:rPr>
          <w:rFonts w:ascii="仿宋" w:eastAsia="仿宋" w:cs="Arial"/>
          <w:sz w:val="28"/>
          <w:szCs w:val="28"/>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支出总表</w:t>
      </w:r>
      <w:r>
        <w:rPr>
          <w:rFonts w:ascii="仿宋" w:eastAsia="仿宋"/>
          <w:sz w:val="28"/>
          <w:szCs w:val="28"/>
        </w:rPr>
        <w:tab/>
      </w:r>
      <w:r>
        <w:rPr>
          <w:rFonts w:ascii="仿宋" w:eastAsia="仿宋"/>
          <w:sz w:val="28"/>
          <w:szCs w:val="28"/>
        </w:rPr>
        <w:fldChar w:fldCharType="end"/>
      </w:r>
      <w:r>
        <w:rPr>
          <w:rFonts w:hint="eastAsia" w:ascii="仿宋" w:eastAsia="仿宋"/>
          <w:sz w:val="28"/>
          <w:szCs w:val="28"/>
        </w:rPr>
        <w:t>19</w:t>
      </w:r>
    </w:p>
    <w:p>
      <w:pPr>
        <w:pStyle w:val="12"/>
        <w:ind w:left="420"/>
        <w:rPr>
          <w:rFonts w:ascii="仿宋" w:eastAsia="仿宋" w:cs="Arial"/>
          <w:sz w:val="28"/>
          <w:szCs w:val="28"/>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ascii="仿宋" w:eastAsia="仿宋"/>
          <w:sz w:val="28"/>
          <w:szCs w:val="28"/>
        </w:rPr>
        <w:fldChar w:fldCharType="end"/>
      </w:r>
      <w:r>
        <w:rPr>
          <w:rFonts w:hint="eastAsia" w:ascii="仿宋" w:eastAsia="仿宋"/>
          <w:sz w:val="28"/>
          <w:szCs w:val="28"/>
        </w:rPr>
        <w:t>19</w:t>
      </w:r>
    </w:p>
    <w:p>
      <w:pPr>
        <w:pStyle w:val="12"/>
        <w:ind w:left="420"/>
        <w:rPr>
          <w:rFonts w:ascii="仿宋" w:eastAsia="仿宋"/>
          <w:sz w:val="28"/>
          <w:szCs w:val="28"/>
        </w:rPr>
      </w:pPr>
      <w:r>
        <w:rPr>
          <w:rFonts w:hint="eastAsia" w:ascii="仿宋" w:eastAsia="仿宋"/>
          <w:sz w:val="28"/>
          <w:szCs w:val="28"/>
        </w:rPr>
        <w:t>五、</w:t>
      </w:r>
      <w:r>
        <w:fldChar w:fldCharType="begin"/>
      </w:r>
      <w:r>
        <w:instrText xml:space="preserve"> HYPERLINK \l "_Toc15396623" </w:instrText>
      </w:r>
      <w: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ascii="仿宋" w:eastAsia="仿宋"/>
          <w:sz w:val="28"/>
          <w:szCs w:val="28"/>
        </w:rPr>
        <w:fldChar w:fldCharType="end"/>
      </w:r>
      <w:r>
        <w:rPr>
          <w:rFonts w:hint="eastAsia" w:ascii="仿宋" w:eastAsia="仿宋"/>
          <w:sz w:val="28"/>
          <w:szCs w:val="28"/>
        </w:rPr>
        <w:t>19</w:t>
      </w:r>
    </w:p>
    <w:p>
      <w:pPr>
        <w:pStyle w:val="12"/>
        <w:ind w:left="420"/>
        <w:rPr>
          <w:rFonts w:ascii="仿宋" w:eastAsia="仿宋" w:cs="Arial"/>
          <w:sz w:val="28"/>
          <w:szCs w:val="28"/>
        </w:rPr>
      </w:pPr>
      <w:r>
        <w:rPr>
          <w:rFonts w:hint="eastAsia" w:ascii="仿宋" w:eastAsia="仿宋"/>
          <w:sz w:val="28"/>
          <w:szCs w:val="28"/>
        </w:rPr>
        <w:t>六、</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ascii="仿宋" w:eastAsia="仿宋"/>
          <w:sz w:val="28"/>
          <w:szCs w:val="28"/>
        </w:rPr>
        <w:fldChar w:fldCharType="end"/>
      </w:r>
      <w:r>
        <w:rPr>
          <w:rFonts w:hint="eastAsia" w:ascii="仿宋" w:eastAsia="仿宋"/>
          <w:sz w:val="28"/>
          <w:szCs w:val="28"/>
        </w:rPr>
        <w:t>19</w:t>
      </w:r>
    </w:p>
    <w:p>
      <w:pPr>
        <w:pStyle w:val="12"/>
        <w:ind w:left="420"/>
        <w:rPr>
          <w:rFonts w:ascii="仿宋" w:eastAsia="仿宋" w:cs="Arial"/>
          <w:sz w:val="28"/>
          <w:szCs w:val="28"/>
        </w:rPr>
      </w:pPr>
      <w:r>
        <w:rPr>
          <w:rFonts w:hint="eastAsia" w:ascii="仿宋" w:eastAsia="仿宋"/>
          <w:sz w:val="28"/>
          <w:szCs w:val="28"/>
        </w:rPr>
        <w:t>七、</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ascii="仿宋" w:eastAsia="仿宋"/>
          <w:sz w:val="28"/>
          <w:szCs w:val="28"/>
        </w:rPr>
        <w:fldChar w:fldCharType="end"/>
      </w:r>
      <w:r>
        <w:rPr>
          <w:rFonts w:hint="eastAsia" w:ascii="仿宋" w:eastAsia="仿宋"/>
          <w:sz w:val="28"/>
          <w:szCs w:val="28"/>
        </w:rPr>
        <w:t>19</w:t>
      </w:r>
    </w:p>
    <w:p>
      <w:pPr>
        <w:pStyle w:val="12"/>
        <w:ind w:left="420"/>
        <w:rPr>
          <w:rFonts w:ascii="仿宋" w:eastAsia="仿宋" w:cs="Arial"/>
          <w:sz w:val="28"/>
          <w:szCs w:val="28"/>
        </w:rPr>
      </w:pPr>
      <w:r>
        <w:rPr>
          <w:rFonts w:hint="eastAsia" w:ascii="仿宋" w:eastAsia="仿宋"/>
          <w:sz w:val="28"/>
          <w:szCs w:val="28"/>
        </w:rPr>
        <w:t>八、</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ascii="仿宋" w:eastAsia="仿宋"/>
          <w:sz w:val="28"/>
          <w:szCs w:val="28"/>
        </w:rPr>
        <w:fldChar w:fldCharType="end"/>
      </w:r>
      <w:r>
        <w:rPr>
          <w:rFonts w:hint="eastAsia" w:ascii="仿宋" w:eastAsia="仿宋"/>
          <w:sz w:val="28"/>
          <w:szCs w:val="28"/>
        </w:rPr>
        <w:t>19</w:t>
      </w:r>
    </w:p>
    <w:p>
      <w:pPr>
        <w:pStyle w:val="12"/>
        <w:ind w:left="420"/>
        <w:rPr>
          <w:rFonts w:ascii="仿宋" w:eastAsia="仿宋" w:cs="Arial"/>
          <w:sz w:val="28"/>
          <w:szCs w:val="28"/>
        </w:rPr>
      </w:pPr>
      <w:r>
        <w:rPr>
          <w:rFonts w:hint="eastAsia" w:ascii="仿宋" w:eastAsia="仿宋"/>
          <w:sz w:val="28"/>
          <w:szCs w:val="28"/>
        </w:rPr>
        <w:t>九、</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ascii="仿宋" w:eastAsia="仿宋"/>
          <w:sz w:val="28"/>
          <w:szCs w:val="28"/>
        </w:rPr>
        <w:fldChar w:fldCharType="end"/>
      </w:r>
      <w:r>
        <w:rPr>
          <w:rFonts w:hint="eastAsia" w:ascii="仿宋" w:eastAsia="仿宋"/>
          <w:sz w:val="28"/>
          <w:szCs w:val="28"/>
        </w:rPr>
        <w:t>19</w:t>
      </w:r>
    </w:p>
    <w:p>
      <w:pPr>
        <w:pStyle w:val="12"/>
        <w:ind w:left="420"/>
        <w:rPr>
          <w:rFonts w:ascii="仿宋" w:eastAsia="仿宋" w:cs="Arial"/>
          <w:sz w:val="28"/>
          <w:szCs w:val="28"/>
        </w:rPr>
      </w:pPr>
      <w:r>
        <w:rPr>
          <w:rFonts w:hint="eastAsia" w:ascii="仿宋" w:eastAsia="仿宋"/>
          <w:sz w:val="28"/>
          <w:szCs w:val="28"/>
        </w:rPr>
        <w:t>十、</w:t>
      </w:r>
      <w:r>
        <w:fldChar w:fldCharType="begin"/>
      </w:r>
      <w:r>
        <w:instrText xml:space="preserve"> HYPERLINK \l "_Toc15396628" </w:instrText>
      </w:r>
      <w: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ascii="仿宋" w:eastAsia="仿宋"/>
          <w:sz w:val="28"/>
          <w:szCs w:val="28"/>
        </w:rPr>
        <w:fldChar w:fldCharType="end"/>
      </w:r>
      <w:r>
        <w:rPr>
          <w:rFonts w:hint="eastAsia" w:ascii="仿宋" w:eastAsia="仿宋"/>
          <w:sz w:val="28"/>
          <w:szCs w:val="28"/>
        </w:rPr>
        <w:t>19</w:t>
      </w:r>
    </w:p>
    <w:p>
      <w:pPr>
        <w:pStyle w:val="12"/>
        <w:ind w:left="420"/>
        <w:rPr>
          <w:rFonts w:ascii="仿宋" w:eastAsia="仿宋" w:cs="Arial"/>
          <w:sz w:val="28"/>
          <w:szCs w:val="28"/>
        </w:rPr>
      </w:pPr>
      <w:r>
        <w:rPr>
          <w:rFonts w:hint="eastAsia" w:ascii="仿宋" w:eastAsia="仿宋"/>
          <w:sz w:val="28"/>
          <w:szCs w:val="28"/>
        </w:rPr>
        <w:t>十一、</w:t>
      </w:r>
      <w:r>
        <w:fldChar w:fldCharType="begin"/>
      </w:r>
      <w:r>
        <w:instrText xml:space="preserve"> HYPERLINK \l "_Toc15396629" </w:instrText>
      </w:r>
      <w:r>
        <w:fldChar w:fldCharType="separate"/>
      </w:r>
      <w:r>
        <w:rPr>
          <w:rFonts w:hint="eastAsia" w:ascii="仿宋" w:eastAsia="仿宋"/>
          <w:sz w:val="28"/>
          <w:szCs w:val="28"/>
        </w:rPr>
        <w:t>封面代码</w:t>
      </w:r>
      <w:r>
        <w:rPr>
          <w:rFonts w:ascii="仿宋" w:eastAsia="仿宋"/>
          <w:sz w:val="28"/>
          <w:szCs w:val="28"/>
        </w:rPr>
        <w:tab/>
      </w:r>
      <w:r>
        <w:rPr>
          <w:rFonts w:ascii="仿宋" w:eastAsia="仿宋"/>
          <w:sz w:val="28"/>
          <w:szCs w:val="28"/>
        </w:rPr>
        <w:fldChar w:fldCharType="end"/>
      </w:r>
      <w:r>
        <w:rPr>
          <w:rFonts w:hint="eastAsia" w:ascii="仿宋" w:eastAsia="仿宋"/>
          <w:sz w:val="28"/>
          <w:szCs w:val="28"/>
        </w:rPr>
        <w:t>19</w:t>
      </w:r>
    </w:p>
    <w:p>
      <w:pPr>
        <w:widowControl/>
        <w:jc w:val="left"/>
        <w:rPr>
          <w:rFonts w:ascii="仿宋" w:eastAsia="仿宋"/>
          <w:color w:val="000000"/>
          <w:sz w:val="24"/>
        </w:rPr>
      </w:pPr>
      <w:r>
        <w:rPr>
          <w:rFonts w:ascii="仿宋" w:eastAsia="仿宋"/>
          <w:color w:val="000000"/>
          <w:sz w:val="24"/>
        </w:rPr>
        <w:fldChar w:fldCharType="end"/>
      </w:r>
    </w:p>
    <w:p>
      <w:pPr>
        <w:widowControl/>
        <w:jc w:val="left"/>
        <w:rPr>
          <w:rFonts w:ascii="黑体" w:eastAsia="黑体"/>
          <w:b/>
        </w:rPr>
      </w:pPr>
      <w:bookmarkStart w:id="12" w:name="_Toc15396599"/>
      <w:bookmarkStart w:id="13" w:name="_Toc15377196"/>
      <w:r>
        <w:rPr>
          <w:rFonts w:ascii="黑体" w:eastAsia="黑体"/>
          <w:b/>
        </w:rPr>
        <w:br w:type="page"/>
      </w:r>
    </w:p>
    <w:p>
      <w:pPr>
        <w:pStyle w:val="2"/>
      </w:pPr>
    </w:p>
    <w:p>
      <w:pPr>
        <w:pStyle w:val="3"/>
        <w:jc w:val="center"/>
        <w:rPr>
          <w:rFonts w:ascii="黑体" w:eastAsia="黑体"/>
          <w:color w:val="000000"/>
          <w:sz w:val="32"/>
          <w:szCs w:val="32"/>
        </w:rPr>
      </w:pPr>
      <w:r>
        <w:rPr>
          <w:rFonts w:hint="eastAsia" w:ascii="黑体" w:eastAsia="黑体"/>
          <w:b w:val="0"/>
        </w:rPr>
        <w:t xml:space="preserve">第一部分 </w:t>
      </w:r>
      <w:r>
        <w:rPr>
          <w:rStyle w:val="17"/>
          <w:rFonts w:hint="eastAsia" w:ascii="黑体" w:eastAsia="黑体"/>
          <w:b w:val="0"/>
          <w:bCs w:val="0"/>
        </w:rPr>
        <w:t>部门概况</w:t>
      </w:r>
      <w:bookmarkEnd w:id="12"/>
      <w:bookmarkEnd w:id="13"/>
    </w:p>
    <w:p>
      <w:pPr>
        <w:pStyle w:val="4"/>
        <w:spacing w:before="0" w:after="0" w:line="240" w:lineRule="auto"/>
        <w:ind w:left="640" w:hanging="640" w:hangingChars="200"/>
        <w:rPr>
          <w:rStyle w:val="18"/>
          <w:rFonts w:ascii="黑体" w:eastAsia="黑体"/>
          <w:b w:val="0"/>
          <w:bCs w:val="0"/>
        </w:rPr>
      </w:pPr>
      <w:bookmarkStart w:id="14" w:name="_Toc15396600"/>
      <w:bookmarkStart w:id="15" w:name="_Toc15377197"/>
      <w:r>
        <w:rPr>
          <w:rFonts w:hint="eastAsia" w:ascii="黑体" w:eastAsia="黑体"/>
          <w:b w:val="0"/>
          <w:color w:val="000000"/>
        </w:rPr>
        <w:t>一、基</w:t>
      </w:r>
      <w:r>
        <w:rPr>
          <w:rStyle w:val="18"/>
          <w:rFonts w:hint="eastAsia" w:ascii="黑体" w:eastAsia="黑体"/>
          <w:b w:val="0"/>
          <w:bCs w:val="0"/>
        </w:rPr>
        <w:t>本职能及主要工作</w:t>
      </w:r>
      <w:bookmarkEnd w:id="14"/>
      <w:bookmarkEnd w:id="15"/>
      <w:bookmarkStart w:id="16" w:name="_Toc15377198"/>
      <w:bookmarkStart w:id="17" w:name="_Toc15378445"/>
    </w:p>
    <w:p>
      <w:pPr>
        <w:pStyle w:val="4"/>
        <w:spacing w:before="0" w:after="0" w:line="240" w:lineRule="auto"/>
        <w:ind w:left="642" w:leftChars="153" w:hanging="321" w:hangingChars="100"/>
        <w:rPr>
          <w:rFonts w:ascii="楷体" w:eastAsia="楷体" w:cs="楷体"/>
          <w:color w:val="000000"/>
        </w:rPr>
      </w:pPr>
      <w:r>
        <w:rPr>
          <w:rFonts w:hint="eastAsia" w:ascii="楷体" w:eastAsia="楷体" w:cs="楷体"/>
          <w:color w:val="000000"/>
        </w:rPr>
        <w:t>（一）主要职能</w:t>
      </w:r>
      <w:bookmarkEnd w:id="16"/>
      <w:bookmarkEnd w:id="17"/>
      <w:bookmarkStart w:id="18" w:name="_Toc15377199"/>
      <w:bookmarkStart w:id="19" w:name="_Toc15378446"/>
    </w:p>
    <w:p>
      <w:pPr>
        <w:spacing w:line="600" w:lineRule="exact"/>
        <w:ind w:firstLine="643" w:firstLineChars="200"/>
        <w:rPr>
          <w:rFonts w:ascii="仿宋_GB2312" w:eastAsia="仿宋_GB2312"/>
          <w:sz w:val="32"/>
          <w:szCs w:val="32"/>
        </w:rPr>
      </w:pPr>
      <w:r>
        <w:rPr>
          <w:rFonts w:hint="eastAsia" w:ascii="仿宋_GB2312" w:eastAsia="仿宋_GB2312"/>
          <w:b/>
          <w:bCs/>
          <w:sz w:val="32"/>
          <w:szCs w:val="32"/>
        </w:rPr>
        <w:t>一是</w:t>
      </w:r>
      <w:r>
        <w:rPr>
          <w:rFonts w:hint="eastAsia" w:ascii="仿宋_GB2312" w:eastAsia="仿宋_GB2312"/>
          <w:sz w:val="32"/>
          <w:szCs w:val="32"/>
        </w:rPr>
        <w:t>负责宣传贯彻党和国家有关农村经济工作和社会发展的方针政策，发挥党和政府密切联系农民群众桥梁纽带作用，巩固党在农村的执政基础；执行全国供销合作总社制定的行业管理制度和重大决策部署，执行上级联合社有关决议；</w:t>
      </w:r>
      <w:r>
        <w:rPr>
          <w:rFonts w:hint="eastAsia" w:ascii="仿宋_GB2312" w:eastAsia="仿宋_GB2312"/>
          <w:b/>
          <w:bCs/>
          <w:sz w:val="32"/>
          <w:szCs w:val="32"/>
        </w:rPr>
        <w:t>二是</w:t>
      </w:r>
      <w:r>
        <w:rPr>
          <w:rFonts w:hint="eastAsia" w:ascii="仿宋_GB2312" w:eastAsia="仿宋_GB2312"/>
          <w:sz w:val="32"/>
          <w:szCs w:val="32"/>
        </w:rPr>
        <w:t>组织农民入社，提高农民组织化程度，密切与农民在组织上和经济上的联结；向当地党委政府和上级联合社反映农民的诉求，争取扶持政策；</w:t>
      </w:r>
      <w:r>
        <w:rPr>
          <w:rFonts w:hint="eastAsia" w:ascii="仿宋_GB2312" w:eastAsia="仿宋_GB2312"/>
          <w:b/>
          <w:bCs/>
          <w:sz w:val="32"/>
          <w:szCs w:val="32"/>
        </w:rPr>
        <w:t>三是</w:t>
      </w:r>
      <w:r>
        <w:rPr>
          <w:rFonts w:hint="eastAsia" w:ascii="仿宋_GB2312" w:eastAsia="仿宋_GB2312"/>
          <w:sz w:val="32"/>
          <w:szCs w:val="32"/>
        </w:rPr>
        <w:t>领办创办农民专业合作社及其联合社，探索开展生产、供销、信用“三位一体”综合合作；组织开展对社员和职工的教育培训；</w:t>
      </w:r>
    </w:p>
    <w:p>
      <w:pPr>
        <w:pStyle w:val="4"/>
        <w:spacing w:before="0" w:after="0" w:line="240" w:lineRule="auto"/>
        <w:ind w:firstLine="321" w:firstLineChars="100"/>
        <w:rPr>
          <w:rFonts w:ascii="楷体" w:eastAsia="楷体" w:cs="楷体"/>
          <w:color w:val="000000"/>
        </w:rPr>
      </w:pPr>
      <w:r>
        <w:rPr>
          <w:rFonts w:hint="eastAsia" w:ascii="楷体" w:eastAsia="楷体" w:cs="楷体"/>
          <w:color w:val="000000"/>
        </w:rPr>
        <w:t>（二）2020年重点工作完成情况</w:t>
      </w:r>
      <w:bookmarkEnd w:id="18"/>
      <w:bookmarkEnd w:id="19"/>
    </w:p>
    <w:p>
      <w:pPr>
        <w:spacing w:line="600" w:lineRule="exact"/>
        <w:ind w:firstLine="640" w:firstLineChars="200"/>
        <w:outlineLvl w:val="1"/>
        <w:rPr>
          <w:rFonts w:ascii="仿宋" w:eastAsia="仿宋"/>
          <w:color w:val="000000"/>
          <w:sz w:val="32"/>
          <w:szCs w:val="32"/>
        </w:rPr>
      </w:pPr>
      <w:bookmarkStart w:id="20" w:name="_Toc15377200"/>
      <w:bookmarkStart w:id="21" w:name="_Toc15396601"/>
      <w:r>
        <w:rPr>
          <w:rFonts w:hint="eastAsia" w:ascii="仿宋" w:eastAsia="仿宋"/>
          <w:color w:val="000000"/>
          <w:sz w:val="32"/>
          <w:szCs w:val="32"/>
        </w:rPr>
        <w:t>1.全面提升农资经营服务“三农”的质量和效率，为我县农业增产，农民增收服好务。</w:t>
      </w:r>
    </w:p>
    <w:p>
      <w:pPr>
        <w:spacing w:line="600" w:lineRule="exact"/>
        <w:ind w:firstLine="640" w:firstLineChars="200"/>
        <w:outlineLvl w:val="1"/>
        <w:rPr>
          <w:rFonts w:ascii="仿宋" w:eastAsia="仿宋"/>
          <w:color w:val="000000"/>
          <w:sz w:val="32"/>
          <w:szCs w:val="32"/>
        </w:rPr>
      </w:pPr>
      <w:r>
        <w:rPr>
          <w:rFonts w:hint="eastAsia" w:ascii="仿宋" w:eastAsia="仿宋"/>
          <w:color w:val="000000"/>
          <w:sz w:val="32"/>
          <w:szCs w:val="32"/>
        </w:rPr>
        <w:t>2.监督并抓好全社安全生产工作，重点抓好烟花爆竹经营各环节的安全监管，落实安全责任。</w:t>
      </w:r>
    </w:p>
    <w:p>
      <w:pPr>
        <w:spacing w:line="600" w:lineRule="exact"/>
        <w:ind w:firstLine="640" w:firstLineChars="200"/>
        <w:outlineLvl w:val="1"/>
        <w:rPr>
          <w:rFonts w:ascii="仿宋" w:eastAsia="仿宋"/>
          <w:color w:val="000000"/>
          <w:sz w:val="32"/>
          <w:szCs w:val="32"/>
        </w:rPr>
      </w:pPr>
      <w:r>
        <w:rPr>
          <w:rFonts w:hint="eastAsia" w:ascii="仿宋" w:eastAsia="仿宋"/>
          <w:color w:val="000000"/>
          <w:sz w:val="32"/>
          <w:szCs w:val="32"/>
        </w:rPr>
        <w:t>3.努力促使社有企业正常运转，分渠道引进人才，解决企业管理和经营人员，使其步入正常经营轨道，为我县三农工作服好务。</w:t>
      </w:r>
    </w:p>
    <w:p>
      <w:pPr>
        <w:spacing w:line="600" w:lineRule="exact"/>
        <w:ind w:firstLine="640" w:firstLineChars="200"/>
        <w:outlineLvl w:val="1"/>
        <w:rPr>
          <w:rFonts w:ascii="仿宋" w:eastAsia="仿宋"/>
          <w:color w:val="000000"/>
          <w:sz w:val="32"/>
          <w:szCs w:val="32"/>
        </w:rPr>
      </w:pPr>
      <w:r>
        <w:rPr>
          <w:rFonts w:hint="eastAsia" w:ascii="仿宋" w:eastAsia="仿宋"/>
          <w:color w:val="000000"/>
          <w:sz w:val="32"/>
          <w:szCs w:val="32"/>
        </w:rPr>
        <w:t>4.努力促使社有企业拓展经营服务路径，提升其适应市场，不断壮大其</w:t>
      </w:r>
      <w:r>
        <w:rPr>
          <w:rFonts w:hint="eastAsia" w:ascii="仿宋" w:eastAsia="仿宋"/>
          <w:color w:val="000000"/>
          <w:sz w:val="32"/>
          <w:szCs w:val="32"/>
          <w:lang w:eastAsia="zh-CN"/>
        </w:rPr>
        <w:t>盈利</w:t>
      </w:r>
      <w:r>
        <w:rPr>
          <w:rFonts w:hint="eastAsia" w:ascii="仿宋" w:eastAsia="仿宋"/>
          <w:color w:val="000000"/>
          <w:sz w:val="32"/>
          <w:szCs w:val="32"/>
        </w:rPr>
        <w:t>能力，重点在再生资源回收利用、会计服务、电子商务等领域开拓经营。</w:t>
      </w:r>
    </w:p>
    <w:p>
      <w:pPr>
        <w:spacing w:line="600" w:lineRule="exact"/>
        <w:ind w:firstLine="640" w:firstLineChars="200"/>
        <w:outlineLvl w:val="1"/>
        <w:rPr>
          <w:rFonts w:ascii="仿宋" w:eastAsia="仿宋"/>
          <w:color w:val="000000"/>
          <w:sz w:val="32"/>
          <w:szCs w:val="32"/>
        </w:rPr>
      </w:pPr>
      <w:r>
        <w:rPr>
          <w:rFonts w:hint="eastAsia" w:ascii="仿宋" w:eastAsia="仿宋"/>
          <w:color w:val="000000"/>
          <w:sz w:val="32"/>
          <w:szCs w:val="32"/>
        </w:rPr>
        <w:t>5.做好十四五期间全社党建及党风廉政工作，确保全社清廉高效的开展各项工作。</w:t>
      </w:r>
    </w:p>
    <w:p>
      <w:pPr>
        <w:spacing w:line="600" w:lineRule="exact"/>
        <w:ind w:firstLine="640" w:firstLineChars="200"/>
        <w:outlineLvl w:val="1"/>
        <w:rPr>
          <w:rFonts w:ascii="仿宋" w:eastAsia="仿宋"/>
          <w:color w:val="000000"/>
          <w:sz w:val="32"/>
          <w:szCs w:val="32"/>
        </w:rPr>
      </w:pPr>
      <w:r>
        <w:rPr>
          <w:rFonts w:hint="eastAsia" w:ascii="仿宋" w:eastAsia="仿宋"/>
          <w:color w:val="000000"/>
          <w:sz w:val="32"/>
          <w:szCs w:val="32"/>
        </w:rPr>
        <w:t>6.服从县委县政府整体安排，积极投身我县十四五农业农村工作之中，为我县乡村振兴工作服好务，不断开拓创新。</w:t>
      </w:r>
    </w:p>
    <w:p>
      <w:pPr>
        <w:spacing w:line="578" w:lineRule="exact"/>
        <w:rPr>
          <w:rStyle w:val="18"/>
          <w:b w:val="0"/>
          <w:bCs w:val="0"/>
        </w:rPr>
      </w:pPr>
      <w:r>
        <w:rPr>
          <w:rStyle w:val="18"/>
          <w:rFonts w:hint="eastAsia" w:ascii="黑体" w:eastAsia="黑体"/>
          <w:b w:val="0"/>
          <w:bCs w:val="0"/>
        </w:rPr>
        <w:t>二、机构设置</w:t>
      </w:r>
      <w:bookmarkEnd w:id="20"/>
      <w:bookmarkEnd w:id="21"/>
    </w:p>
    <w:p>
      <w:pPr>
        <w:pStyle w:val="3"/>
        <w:spacing w:line="579" w:lineRule="auto"/>
        <w:ind w:right="442" w:firstLine="640" w:firstLineChars="200"/>
        <w:jc w:val="left"/>
        <w:rPr>
          <w:rFonts w:ascii="仿宋" w:eastAsia="仿宋"/>
          <w:b w:val="0"/>
          <w:bCs w:val="0"/>
          <w:color w:val="000000"/>
          <w:kern w:val="2"/>
          <w:sz w:val="32"/>
          <w:szCs w:val="32"/>
        </w:rPr>
      </w:pPr>
      <w:bookmarkStart w:id="22" w:name="_Toc15396602"/>
      <w:bookmarkStart w:id="23" w:name="_Toc15377204"/>
      <w:r>
        <w:rPr>
          <w:rFonts w:hint="eastAsia" w:ascii="仿宋" w:eastAsia="仿宋"/>
          <w:b w:val="0"/>
          <w:bCs w:val="0"/>
          <w:color w:val="000000"/>
          <w:kern w:val="2"/>
          <w:sz w:val="32"/>
          <w:szCs w:val="32"/>
        </w:rPr>
        <w:t xml:space="preserve"> 本单位属于一级预算单位，是参公管理的事业单位。 2020年在编参公人数4人。</w:t>
      </w:r>
    </w:p>
    <w:p>
      <w:pPr>
        <w:pStyle w:val="3"/>
        <w:ind w:right="440"/>
        <w:jc w:val="right"/>
      </w:pPr>
      <w:r>
        <w:rPr>
          <w:rFonts w:hint="eastAsia" w:ascii="黑体" w:eastAsia="黑体"/>
          <w:b w:val="0"/>
          <w:color w:val="000000"/>
        </w:rPr>
        <w:t>第二部分</w:t>
      </w:r>
      <w:r>
        <w:rPr>
          <w:rFonts w:hint="eastAsia" w:ascii="黑体" w:eastAsia="黑体"/>
          <w:color w:val="000000"/>
        </w:rPr>
        <w:t xml:space="preserve"> </w:t>
      </w:r>
      <w:r>
        <w:rPr>
          <w:rStyle w:val="17"/>
          <w:rFonts w:hint="eastAsia" w:ascii="黑体" w:eastAsia="黑体"/>
          <w:b w:val="0"/>
          <w:bCs w:val="0"/>
        </w:rPr>
        <w:t>2020年度部门决算情况说明</w:t>
      </w:r>
      <w:bookmarkEnd w:id="22"/>
      <w:bookmarkEnd w:id="23"/>
    </w:p>
    <w:p>
      <w:pPr>
        <w:pStyle w:val="23"/>
        <w:numPr>
          <w:ilvl w:val="0"/>
          <w:numId w:val="1"/>
        </w:numPr>
        <w:ind w:left="0" w:firstLine="0" w:firstLineChars="0"/>
        <w:outlineLvl w:val="1"/>
        <w:rPr>
          <w:rStyle w:val="18"/>
          <w:rFonts w:ascii="黑体" w:eastAsia="黑体"/>
          <w:b w:val="0"/>
        </w:rPr>
      </w:pPr>
      <w:bookmarkStart w:id="24" w:name="_Toc15377205"/>
      <w:bookmarkStart w:id="25" w:name="_Toc15396603"/>
      <w:r>
        <w:rPr>
          <w:rFonts w:hint="eastAsia" w:ascii="黑体" w:eastAsia="黑体"/>
          <w:color w:val="000000"/>
          <w:sz w:val="32"/>
          <w:szCs w:val="32"/>
        </w:rPr>
        <w:t>收</w:t>
      </w:r>
      <w:r>
        <w:rPr>
          <w:rStyle w:val="18"/>
          <w:rFonts w:hint="eastAsia" w:ascii="黑体" w:eastAsia="黑体"/>
          <w:b w:val="0"/>
        </w:rPr>
        <w:t>入支出决算总体情况说明</w:t>
      </w:r>
      <w:bookmarkEnd w:id="24"/>
      <w:bookmarkEnd w:id="25"/>
    </w:p>
    <w:p>
      <w:pPr>
        <w:snapToGrid w:val="0"/>
        <w:spacing w:line="520" w:lineRule="exact"/>
        <w:ind w:firstLine="632" w:firstLineChars="200"/>
        <w:rPr>
          <w:rFonts w:ascii="仿宋_GB2312" w:eastAsia="仿宋_GB2312"/>
          <w:color w:val="000000"/>
          <w:spacing w:val="-2"/>
          <w:sz w:val="32"/>
          <w:szCs w:val="32"/>
        </w:rPr>
      </w:pPr>
      <w:r>
        <w:rPr>
          <w:rFonts w:hint="eastAsia" w:ascii="仿宋_GB2312" w:eastAsia="仿宋_GB2312"/>
          <w:color w:val="000000"/>
          <w:spacing w:val="-2"/>
          <w:sz w:val="32"/>
          <w:szCs w:val="32"/>
        </w:rPr>
        <w:t>2020年度总收入166.18万元，较上年收入增加53.35万元，增加47.28%。增加的主要原因是2020年增加了19.26万元的项目收入，用于农资补贴。</w:t>
      </w:r>
    </w:p>
    <w:p>
      <w:pPr>
        <w:snapToGrid w:val="0"/>
        <w:spacing w:line="520" w:lineRule="exact"/>
        <w:ind w:firstLine="632" w:firstLineChars="200"/>
        <w:rPr>
          <w:rFonts w:ascii="仿宋" w:eastAsia="仿宋"/>
          <w:sz w:val="32"/>
          <w:szCs w:val="32"/>
        </w:rPr>
      </w:pPr>
      <w:r>
        <w:rPr>
          <w:rFonts w:hint="eastAsia" w:ascii="仿宋_GB2312" w:eastAsia="仿宋_GB2312"/>
          <w:spacing w:val="-2"/>
          <w:sz w:val="32"/>
          <w:szCs w:val="32"/>
        </w:rPr>
        <w:t>2020年总支出147.18万元，较上年支出减少207.18万元，减少58.47%。主要原因一是当年部门预算安排项目经费较上年有所减少；二是2020年支出包含了上年结转项目。</w:t>
      </w:r>
    </w:p>
    <w:p>
      <w:pPr>
        <w:spacing w:line="600" w:lineRule="exact"/>
        <w:ind w:firstLine="640" w:firstLineChars="200"/>
        <w:rPr>
          <w:rStyle w:val="18"/>
          <w:rFonts w:ascii="黑体" w:eastAsia="黑体"/>
          <w:b w:val="0"/>
        </w:rPr>
      </w:pPr>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314960</wp:posOffset>
            </wp:positionH>
            <wp:positionV relativeFrom="paragraph">
              <wp:posOffset>45720</wp:posOffset>
            </wp:positionV>
            <wp:extent cx="5080000" cy="2582545"/>
            <wp:effectExtent l="0" t="0" r="0" b="0"/>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26" w:name="_Toc15377206"/>
      <w:bookmarkStart w:id="27" w:name="_Toc15396604"/>
      <w:r>
        <w:rPr>
          <w:rFonts w:hint="eastAsia" w:ascii="黑体" w:eastAsia="黑体"/>
          <w:color w:val="000000"/>
          <w:sz w:val="32"/>
          <w:szCs w:val="32"/>
        </w:rPr>
        <w:t>二、收入决</w:t>
      </w:r>
      <w:r>
        <w:rPr>
          <w:rStyle w:val="18"/>
          <w:rFonts w:hint="eastAsia" w:ascii="黑体" w:eastAsia="黑体"/>
          <w:b w:val="0"/>
        </w:rPr>
        <w:t>算情况说明</w:t>
      </w:r>
      <w:bookmarkEnd w:id="26"/>
      <w:bookmarkEnd w:id="27"/>
    </w:p>
    <w:p>
      <w:pPr>
        <w:spacing w:line="600" w:lineRule="exact"/>
        <w:ind w:firstLine="640" w:firstLineChars="200"/>
        <w:outlineLvl w:val="1"/>
        <w:rPr>
          <w:rFonts w:ascii="仿宋" w:eastAsia="仿宋"/>
          <w:color w:val="000000"/>
          <w:sz w:val="32"/>
          <w:szCs w:val="32"/>
        </w:rPr>
      </w:pPr>
      <w:r>
        <w:rPr>
          <w:rFonts w:hint="eastAsia" w:ascii="仿宋" w:eastAsia="仿宋"/>
          <w:color w:val="000000"/>
          <w:sz w:val="32"/>
          <w:szCs w:val="32"/>
        </w:rPr>
        <w:t>2020年总收入166.18万元，其中：一般公共预算财政拨款收入166.18万元，占100</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；上级补助收入0万元，占0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p>
    <w:p>
      <w:pPr>
        <w:spacing w:line="600" w:lineRule="exact"/>
        <w:ind w:firstLine="640" w:firstLineChars="200"/>
        <w:outlineLvl w:val="1"/>
        <w:rPr>
          <w:rStyle w:val="18"/>
          <w:rFonts w:ascii="黑体" w:eastAsia="黑体"/>
          <w:b w:val="0"/>
        </w:rPr>
      </w:pPr>
      <w:r>
        <w:rPr>
          <w:rFonts w:hint="eastAsia" w:ascii="黑体" w:eastAsia="黑体"/>
          <w:color w:val="000000"/>
          <w:sz w:val="32"/>
          <w:szCs w:val="32"/>
        </w:rPr>
        <w:drawing>
          <wp:anchor distT="0" distB="0" distL="114300" distR="114300" simplePos="0" relativeHeight="251660288" behindDoc="0" locked="0" layoutInCell="1" allowOverlap="1">
            <wp:simplePos x="0" y="0"/>
            <wp:positionH relativeFrom="column">
              <wp:posOffset>177165</wp:posOffset>
            </wp:positionH>
            <wp:positionV relativeFrom="paragraph">
              <wp:posOffset>134620</wp:posOffset>
            </wp:positionV>
            <wp:extent cx="5373370" cy="2648585"/>
            <wp:effectExtent l="0" t="0" r="0" b="0"/>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28" w:name="_Toc15377207"/>
      <w:bookmarkStart w:id="29" w:name="_Toc15396605"/>
      <w:r>
        <w:rPr>
          <w:rFonts w:hint="eastAsia" w:ascii="黑体" w:eastAsia="黑体"/>
          <w:color w:val="000000"/>
          <w:sz w:val="32"/>
          <w:szCs w:val="32"/>
        </w:rPr>
        <w:t>三、支出决</w:t>
      </w:r>
      <w:r>
        <w:rPr>
          <w:rStyle w:val="18"/>
          <w:rFonts w:hint="eastAsia" w:ascii="黑体" w:eastAsia="黑体"/>
          <w:b w:val="0"/>
        </w:rPr>
        <w:t>算情况说明</w:t>
      </w:r>
      <w:bookmarkEnd w:id="28"/>
      <w:bookmarkEnd w:id="29"/>
    </w:p>
    <w:p>
      <w:pPr>
        <w:spacing w:line="600" w:lineRule="exact"/>
        <w:ind w:firstLine="640"/>
        <w:rPr>
          <w:rFonts w:ascii="仿宋" w:eastAsia="仿宋"/>
          <w:color w:val="000000"/>
          <w:sz w:val="32"/>
          <w:szCs w:val="32"/>
          <w:shd w:val="pct10" w:color="auto" w:fill="FFFFFF"/>
        </w:rPr>
      </w:pPr>
      <w:r>
        <w:rPr>
          <w:rFonts w:hint="eastAsia" w:ascii="仿宋" w:eastAsia="仿宋"/>
          <w:color w:val="000000"/>
          <w:sz w:val="32"/>
          <w:szCs w:val="32"/>
        </w:rPr>
        <w:t>2020年本年总支出147.18万元，其中：基本支出146.92万元，占99.82%；项目支出0.26万元，占0.18%；上缴上级支出0万元，占0%；经营支出0万元，占0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rPr>
          <w:rFonts w:ascii="仿宋_GB2312" w:eastAsia="仿宋_GB2312"/>
          <w:color w:val="FF0000"/>
          <w:sz w:val="32"/>
          <w:szCs w:val="32"/>
        </w:rPr>
      </w:pPr>
      <w:r>
        <w:rPr>
          <w:rFonts w:hint="eastAsia" w:ascii="仿宋_GB2312" w:eastAsia="仿宋_GB2312"/>
          <w:color w:val="FF0000"/>
          <w:sz w:val="32"/>
          <w:szCs w:val="32"/>
        </w:rPr>
        <w:drawing>
          <wp:anchor distT="0" distB="0" distL="114300" distR="114300" simplePos="0" relativeHeight="251661312" behindDoc="0" locked="0" layoutInCell="1" allowOverlap="1">
            <wp:simplePos x="0" y="0"/>
            <wp:positionH relativeFrom="column">
              <wp:posOffset>64770</wp:posOffset>
            </wp:positionH>
            <wp:positionV relativeFrom="paragraph">
              <wp:posOffset>136525</wp:posOffset>
            </wp:positionV>
            <wp:extent cx="5061585" cy="1984375"/>
            <wp:effectExtent l="0" t="0" r="0" b="0"/>
            <wp:wrapTopAndBottom/>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18"/>
          <w:rFonts w:ascii="黑体" w:eastAsia="黑体"/>
          <w:b w:val="0"/>
        </w:rPr>
      </w:pPr>
      <w:bookmarkStart w:id="30" w:name="_Toc15377208"/>
      <w:bookmarkStart w:id="31" w:name="_Toc15396606"/>
      <w:r>
        <w:rPr>
          <w:rFonts w:hint="eastAsia" w:ascii="黑体" w:eastAsia="黑体"/>
          <w:color w:val="000000"/>
          <w:sz w:val="32"/>
          <w:szCs w:val="32"/>
        </w:rPr>
        <w:t>四、财</w:t>
      </w:r>
      <w:r>
        <w:rPr>
          <w:rStyle w:val="18"/>
          <w:rFonts w:hint="eastAsia" w:ascii="黑体" w:eastAsia="黑体"/>
          <w:b w:val="0"/>
        </w:rPr>
        <w:t>政拨款收入支出决算总体情况说明</w:t>
      </w:r>
      <w:bookmarkEnd w:id="30"/>
      <w:bookmarkEnd w:id="31"/>
    </w:p>
    <w:p>
      <w:pPr>
        <w:spacing w:line="600" w:lineRule="exact"/>
        <w:ind w:firstLine="640"/>
        <w:rPr>
          <w:rFonts w:ascii="仿宋" w:eastAsia="仿宋"/>
          <w:color w:val="000000"/>
          <w:sz w:val="32"/>
          <w:szCs w:val="32"/>
        </w:rPr>
      </w:pPr>
      <w:r>
        <w:rPr>
          <w:rFonts w:hint="eastAsia" w:ascii="仿宋" w:eastAsia="仿宋"/>
          <w:color w:val="000000"/>
          <w:sz w:val="32"/>
          <w:szCs w:val="32"/>
        </w:rPr>
        <w:drawing>
          <wp:anchor distT="0" distB="0" distL="114300" distR="114300" simplePos="0" relativeHeight="251662336" behindDoc="0" locked="0" layoutInCell="1" allowOverlap="1">
            <wp:simplePos x="0" y="0"/>
            <wp:positionH relativeFrom="column">
              <wp:posOffset>116840</wp:posOffset>
            </wp:positionH>
            <wp:positionV relativeFrom="paragraph">
              <wp:posOffset>1922780</wp:posOffset>
            </wp:positionV>
            <wp:extent cx="5090160" cy="2953385"/>
            <wp:effectExtent l="0" t="0" r="0" b="0"/>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 w:eastAsia="仿宋"/>
          <w:color w:val="000000"/>
          <w:sz w:val="32"/>
          <w:szCs w:val="32"/>
        </w:rPr>
        <w:t>2020年财政拨款收入166.18万元。与2019年相比，一般公共预算财政拨款收入较上年增加53.35万元，增加47.28%。增加的主要原因是2019年年初由财政结余结转资金，并且2020年新增用于农资补贴的项目收入。2020年财政拨款支出147.18万元，较上年支出减少207.18万元，减少58.47%。</w:t>
      </w:r>
    </w:p>
    <w:p>
      <w:pPr>
        <w:spacing w:line="600" w:lineRule="exact"/>
        <w:ind w:firstLine="640" w:firstLineChars="200"/>
        <w:rPr>
          <w:rStyle w:val="18"/>
          <w:rFonts w:ascii="黑体" w:eastAsia="黑体"/>
          <w:b w:val="0"/>
        </w:rPr>
      </w:pPr>
      <w:bookmarkStart w:id="32" w:name="_Toc15377209"/>
      <w:bookmarkStart w:id="33" w:name="_Toc15396607"/>
      <w:r>
        <w:rPr>
          <w:rFonts w:hint="eastAsia" w:ascii="黑体" w:eastAsia="黑体"/>
          <w:color w:val="000000"/>
          <w:sz w:val="32"/>
          <w:szCs w:val="32"/>
        </w:rPr>
        <w:t>五、</w:t>
      </w:r>
      <w:r>
        <w:rPr>
          <w:rFonts w:hint="eastAsia" w:ascii="黑体" w:eastAsia="黑体"/>
          <w:b/>
          <w:color w:val="000000"/>
          <w:sz w:val="32"/>
          <w:szCs w:val="32"/>
        </w:rPr>
        <w:t>一</w:t>
      </w:r>
      <w:r>
        <w:rPr>
          <w:rStyle w:val="18"/>
          <w:rFonts w:hint="eastAsia" w:ascii="黑体" w:eastAsia="黑体"/>
          <w:b w:val="0"/>
        </w:rPr>
        <w:t>般公共预算财政拨款支出决算情况说明</w:t>
      </w:r>
      <w:bookmarkEnd w:id="32"/>
      <w:bookmarkEnd w:id="33"/>
    </w:p>
    <w:p>
      <w:pPr>
        <w:spacing w:line="600" w:lineRule="exact"/>
        <w:ind w:firstLine="643" w:firstLineChars="200"/>
        <w:outlineLvl w:val="2"/>
        <w:rPr>
          <w:rFonts w:ascii="仿宋" w:eastAsia="仿宋"/>
          <w:b/>
          <w:color w:val="000000"/>
          <w:sz w:val="32"/>
          <w:szCs w:val="32"/>
        </w:rPr>
      </w:pPr>
      <w:bookmarkStart w:id="34" w:name="_Toc15377210"/>
      <w:r>
        <w:rPr>
          <w:rFonts w:hint="eastAsia" w:ascii="仿宋" w:eastAsia="仿宋"/>
          <w:b/>
          <w:color w:val="000000"/>
          <w:sz w:val="32"/>
          <w:szCs w:val="32"/>
        </w:rPr>
        <w:t>（一）一般公共预算财政拨款支出决算总体情况</w:t>
      </w:r>
      <w:bookmarkEnd w:id="34"/>
    </w:p>
    <w:p>
      <w:pPr>
        <w:spacing w:line="600" w:lineRule="exact"/>
        <w:ind w:firstLine="640"/>
        <w:rPr>
          <w:rFonts w:ascii="仿宋" w:eastAsia="仿宋"/>
          <w:color w:val="000000"/>
          <w:sz w:val="32"/>
          <w:szCs w:val="32"/>
        </w:rPr>
      </w:pPr>
      <w:r>
        <w:rPr>
          <w:rFonts w:hint="eastAsia" w:ascii="仿宋" w:eastAsia="仿宋"/>
          <w:color w:val="000000"/>
          <w:sz w:val="32"/>
          <w:szCs w:val="32"/>
        </w:rPr>
        <w:t>2020年一般公共预算财政拨款支出147.18万元，占本年总支出的100%。与2019年相比，一般公共预算财政拨款支出减少207.18万元，减少58.47%。主要原因是当年安排部门预算项目经费较上年有所减少。</w:t>
      </w:r>
    </w:p>
    <w:p>
      <w:pPr>
        <w:snapToGrid w:val="0"/>
        <w:spacing w:line="520" w:lineRule="exact"/>
        <w:ind w:firstLine="632" w:firstLineChars="200"/>
        <w:rPr>
          <w:rFonts w:ascii="仿宋_GB2312" w:eastAsia="仿宋_GB2312"/>
          <w:spacing w:val="-2"/>
          <w:sz w:val="32"/>
          <w:szCs w:val="32"/>
        </w:rPr>
      </w:pPr>
    </w:p>
    <w:p>
      <w:pPr>
        <w:snapToGrid w:val="0"/>
        <w:spacing w:line="520" w:lineRule="exact"/>
        <w:ind w:firstLine="640" w:firstLineChars="200"/>
        <w:rPr>
          <w:rFonts w:ascii="仿宋" w:eastAsia="仿宋"/>
          <w:b/>
          <w:color w:val="000000"/>
          <w:sz w:val="32"/>
          <w:szCs w:val="32"/>
        </w:rPr>
      </w:pPr>
      <w:r>
        <w:rPr>
          <w:rFonts w:hint="eastAsia" w:ascii="仿宋" w:eastAsia="仿宋"/>
          <w:color w:val="000000"/>
          <w:sz w:val="32"/>
          <w:szCs w:val="32"/>
        </w:rPr>
        <w:drawing>
          <wp:anchor distT="0" distB="0" distL="114300" distR="114300" simplePos="0" relativeHeight="251663360" behindDoc="0" locked="0" layoutInCell="1" allowOverlap="1">
            <wp:simplePos x="0" y="0"/>
            <wp:positionH relativeFrom="column">
              <wp:posOffset>177165</wp:posOffset>
            </wp:positionH>
            <wp:positionV relativeFrom="paragraph">
              <wp:posOffset>328295</wp:posOffset>
            </wp:positionV>
            <wp:extent cx="4836160" cy="2752090"/>
            <wp:effectExtent l="0" t="0" r="0" b="0"/>
            <wp:wrapTopAndBottom/>
            <wp:docPr id="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35" w:name="_Toc15377211"/>
      <w:r>
        <w:rPr>
          <w:rFonts w:hint="eastAsia" w:ascii="仿宋" w:eastAsia="仿宋"/>
          <w:b/>
          <w:color w:val="000000"/>
          <w:sz w:val="32"/>
          <w:szCs w:val="32"/>
        </w:rPr>
        <w:t>（二）一般公共预算财政拨款支出决算结构情况</w:t>
      </w:r>
      <w:bookmarkEnd w:id="35"/>
    </w:p>
    <w:p>
      <w:pPr>
        <w:spacing w:line="600" w:lineRule="exact"/>
        <w:ind w:firstLine="640"/>
        <w:rPr>
          <w:rFonts w:ascii="仿宋" w:eastAsia="仿宋"/>
          <w:color w:val="000000"/>
          <w:sz w:val="32"/>
          <w:szCs w:val="32"/>
        </w:rPr>
      </w:pPr>
      <w:r>
        <w:rPr>
          <w:rFonts w:hint="eastAsia" w:ascii="仿宋" w:eastAsia="仿宋"/>
          <w:color w:val="000000"/>
          <w:sz w:val="32"/>
          <w:szCs w:val="32"/>
        </w:rPr>
        <w:t>2020年一般公共预算财政拨款支出147.18万元，主要用于以下方面:社会保障和就业（类）支出11.49万元，占7.8%；卫生健康支出6.79万元，占4.61%；商业服务业等支出120.65万元，占81.97%；住房保障支出8.26万元，占5.61%。</w:t>
      </w:r>
    </w:p>
    <w:p>
      <w:pPr>
        <w:spacing w:line="600" w:lineRule="exact"/>
        <w:ind w:firstLine="8320" w:firstLineChars="2600"/>
        <w:outlineLvl w:val="2"/>
        <w:rPr>
          <w:rFonts w:ascii="仿宋" w:eastAsia="仿宋"/>
          <w:b/>
          <w:color w:val="000000"/>
          <w:sz w:val="32"/>
          <w:szCs w:val="32"/>
        </w:rPr>
      </w:pPr>
      <w:bookmarkStart w:id="36" w:name="_Toc15378460"/>
      <w:bookmarkStart w:id="37" w:name="_Toc15377444"/>
      <w:bookmarkStart w:id="38" w:name="_Toc15377213"/>
      <w:r>
        <w:rPr>
          <w:rFonts w:hint="eastAsia" w:ascii="仿宋" w:eastAsia="仿宋"/>
          <w:color w:val="000000"/>
          <w:sz w:val="32"/>
          <w:szCs w:val="32"/>
        </w:rPr>
        <w:drawing>
          <wp:anchor distT="0" distB="0" distL="114300" distR="114300" simplePos="0" relativeHeight="251664384" behindDoc="0" locked="0" layoutInCell="1" allowOverlap="1">
            <wp:simplePos x="0" y="0"/>
            <wp:positionH relativeFrom="column">
              <wp:posOffset>540385</wp:posOffset>
            </wp:positionH>
            <wp:positionV relativeFrom="paragraph">
              <wp:posOffset>309245</wp:posOffset>
            </wp:positionV>
            <wp:extent cx="4572000" cy="2341245"/>
            <wp:effectExtent l="0" t="0" r="0" b="0"/>
            <wp:wrapTopAndBottom/>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8353" w:firstLineChars="2600"/>
        <w:outlineLvl w:val="2"/>
        <w:rPr>
          <w:rFonts w:ascii="仿宋" w:eastAsia="仿宋"/>
          <w:b/>
          <w:color w:val="000000"/>
          <w:sz w:val="32"/>
          <w:szCs w:val="32"/>
        </w:rPr>
      </w:pPr>
    </w:p>
    <w:p>
      <w:pPr>
        <w:spacing w:line="600" w:lineRule="exact"/>
        <w:ind w:firstLine="643" w:firstLineChars="200"/>
        <w:outlineLvl w:val="2"/>
        <w:rPr>
          <w:rFonts w:ascii="仿宋" w:eastAsia="仿宋"/>
          <w:b/>
          <w:color w:val="000000"/>
          <w:sz w:val="32"/>
          <w:szCs w:val="32"/>
        </w:rPr>
      </w:pPr>
      <w:bookmarkStart w:id="39" w:name="_Toc15377212"/>
      <w:r>
        <w:rPr>
          <w:rFonts w:hint="eastAsia" w:ascii="仿宋" w:eastAsia="仿宋"/>
          <w:b/>
          <w:color w:val="000000"/>
          <w:sz w:val="32"/>
          <w:szCs w:val="32"/>
        </w:rPr>
        <w:t>（三）一般公共预算财政拨款支出决算具体情况</w:t>
      </w:r>
      <w:bookmarkEnd w:id="39"/>
    </w:p>
    <w:p>
      <w:pPr>
        <w:spacing w:line="600" w:lineRule="exact"/>
        <w:ind w:firstLine="640"/>
        <w:rPr>
          <w:rFonts w:ascii="仿宋" w:eastAsia="仿宋"/>
          <w:color w:val="000000"/>
          <w:sz w:val="32"/>
          <w:szCs w:val="32"/>
        </w:rPr>
      </w:pPr>
      <w:r>
        <w:rPr>
          <w:rFonts w:hint="eastAsia" w:ascii="仿宋" w:eastAsia="仿宋"/>
          <w:bCs/>
          <w:color w:val="000000"/>
          <w:sz w:val="32"/>
          <w:szCs w:val="32"/>
        </w:rPr>
        <w:t xml:space="preserve">   </w:t>
      </w:r>
      <w:r>
        <w:rPr>
          <w:rFonts w:hint="eastAsia" w:ascii="仿宋" w:eastAsia="仿宋"/>
          <w:color w:val="000000"/>
          <w:sz w:val="32"/>
          <w:szCs w:val="32"/>
        </w:rPr>
        <w:t>2020年一般公共预算数为166.18万元，支出决算数为147.18万元，完成预算88.57%。结转下年19万元。其中：</w:t>
      </w:r>
      <w:bookmarkEnd w:id="36"/>
      <w:bookmarkEnd w:id="37"/>
      <w:bookmarkEnd w:id="38"/>
    </w:p>
    <w:p>
      <w:pPr>
        <w:spacing w:line="600" w:lineRule="exact"/>
        <w:ind w:firstLine="640"/>
        <w:rPr>
          <w:rFonts w:ascii="仿宋" w:eastAsia="仿宋"/>
          <w:color w:val="000000"/>
          <w:sz w:val="32"/>
          <w:szCs w:val="32"/>
        </w:rPr>
      </w:pPr>
      <w:r>
        <w:rPr>
          <w:rFonts w:hint="eastAsia" w:ascii="仿宋" w:eastAsia="仿宋"/>
          <w:color w:val="000000"/>
          <w:sz w:val="32"/>
          <w:szCs w:val="32"/>
        </w:rPr>
        <w:t>1. 社会保障和就业（类）行政事业单位离退休（款）机关事业单位基本养老保险缴费支出（项）: 支出决算为7.68万元，完成预算100%，决算数等于预算数。</w:t>
      </w:r>
    </w:p>
    <w:p>
      <w:pPr>
        <w:spacing w:line="600" w:lineRule="exact"/>
        <w:ind w:firstLine="640"/>
        <w:rPr>
          <w:rFonts w:ascii="仿宋" w:eastAsia="仿宋"/>
          <w:color w:val="000000"/>
          <w:sz w:val="32"/>
          <w:szCs w:val="32"/>
        </w:rPr>
      </w:pPr>
      <w:r>
        <w:rPr>
          <w:rFonts w:hint="eastAsia" w:ascii="仿宋" w:eastAsia="仿宋"/>
          <w:color w:val="000000"/>
          <w:sz w:val="32"/>
          <w:szCs w:val="32"/>
        </w:rPr>
        <w:t>2.社会保障和就业（类）行政事业单位离退休（款）机关事业单位基本职业年金缴费支出（项）:支出决算为3.8万元，完成预算100%，决算数等于预算数。</w:t>
      </w:r>
    </w:p>
    <w:p>
      <w:pPr>
        <w:spacing w:line="600" w:lineRule="exact"/>
        <w:ind w:firstLine="640"/>
        <w:rPr>
          <w:rFonts w:ascii="仿宋" w:eastAsia="仿宋"/>
          <w:color w:val="000000"/>
          <w:sz w:val="32"/>
          <w:szCs w:val="32"/>
        </w:rPr>
      </w:pPr>
      <w:r>
        <w:rPr>
          <w:rFonts w:hint="eastAsia" w:ascii="仿宋" w:eastAsia="仿宋"/>
          <w:color w:val="000000"/>
          <w:sz w:val="32"/>
          <w:szCs w:val="32"/>
        </w:rPr>
        <w:t>3.卫生健康支出（类）公共卫生（款）突发公共卫生事件应急处理（项）:支出决算为0.26万元，完成预算100%，决算数等于预算数。</w:t>
      </w:r>
    </w:p>
    <w:p>
      <w:pPr>
        <w:spacing w:line="600" w:lineRule="exact"/>
        <w:ind w:firstLine="640"/>
        <w:rPr>
          <w:rFonts w:ascii="仿宋" w:eastAsia="仿宋"/>
          <w:color w:val="000000"/>
          <w:sz w:val="32"/>
          <w:szCs w:val="32"/>
        </w:rPr>
      </w:pPr>
      <w:r>
        <w:rPr>
          <w:rFonts w:hint="eastAsia" w:ascii="仿宋" w:eastAsia="仿宋"/>
          <w:color w:val="000000"/>
          <w:sz w:val="32"/>
          <w:szCs w:val="32"/>
        </w:rPr>
        <w:t>4.卫生健康支出（类）行政事业单位医疗（款）行政单位医疗（项）:支出决算为3.3万元，完成预算100%，决算数等于预算数。</w:t>
      </w:r>
    </w:p>
    <w:p>
      <w:pPr>
        <w:spacing w:line="600" w:lineRule="exact"/>
        <w:ind w:firstLine="640"/>
        <w:rPr>
          <w:rFonts w:ascii="仿宋" w:eastAsia="仿宋"/>
          <w:color w:val="000000"/>
          <w:sz w:val="32"/>
          <w:szCs w:val="32"/>
        </w:rPr>
      </w:pPr>
      <w:r>
        <w:rPr>
          <w:rFonts w:hint="eastAsia" w:ascii="仿宋" w:eastAsia="仿宋"/>
          <w:color w:val="000000"/>
          <w:sz w:val="32"/>
          <w:szCs w:val="32"/>
        </w:rPr>
        <w:t>5.卫生健康支出（类）行政事业单位医疗（款）公务员医疗补助（项）:支出决算为3.23万元，完成预算100%，决算数等于预算数。</w:t>
      </w:r>
    </w:p>
    <w:p>
      <w:pPr>
        <w:spacing w:line="600" w:lineRule="exact"/>
        <w:ind w:firstLine="640"/>
        <w:rPr>
          <w:rFonts w:ascii="仿宋" w:eastAsia="仿宋"/>
          <w:color w:val="000000"/>
          <w:sz w:val="32"/>
          <w:szCs w:val="32"/>
        </w:rPr>
      </w:pPr>
      <w:r>
        <w:rPr>
          <w:rFonts w:hint="eastAsia" w:ascii="仿宋" w:eastAsia="仿宋"/>
          <w:color w:val="000000"/>
          <w:sz w:val="32"/>
          <w:szCs w:val="32"/>
        </w:rPr>
        <w:t>6.商业服务业等支出（类）商业流通事务（款）行政运行（项）：支出决算为120.65万元，完成预算100%，决算数等于预算数。</w:t>
      </w:r>
    </w:p>
    <w:p>
      <w:pPr>
        <w:spacing w:line="600" w:lineRule="exact"/>
        <w:ind w:firstLine="640"/>
        <w:rPr>
          <w:rFonts w:ascii="仿宋" w:eastAsia="仿宋"/>
          <w:color w:val="000000"/>
          <w:sz w:val="32"/>
          <w:szCs w:val="32"/>
        </w:rPr>
      </w:pPr>
      <w:bookmarkStart w:id="40" w:name="_Toc15377214"/>
      <w:bookmarkStart w:id="41" w:name="_Toc15396608"/>
      <w:r>
        <w:rPr>
          <w:rFonts w:hint="eastAsia" w:ascii="仿宋" w:eastAsia="仿宋"/>
          <w:color w:val="000000"/>
          <w:sz w:val="32"/>
          <w:szCs w:val="32"/>
        </w:rPr>
        <w:t>7.住房保障（类）住房改革支出（款）住房公积金（项）：支出决算为7.23万元，完成预算100%，决算数等于预算数。</w:t>
      </w:r>
    </w:p>
    <w:p>
      <w:pPr>
        <w:spacing w:line="600" w:lineRule="exact"/>
        <w:ind w:firstLine="640"/>
        <w:rPr>
          <w:rFonts w:ascii="仿宋" w:eastAsia="仿宋"/>
          <w:color w:val="000000"/>
          <w:sz w:val="32"/>
          <w:szCs w:val="32"/>
        </w:rPr>
      </w:pPr>
      <w:r>
        <w:rPr>
          <w:rFonts w:hint="eastAsia" w:ascii="仿宋" w:eastAsia="仿宋"/>
          <w:color w:val="000000"/>
          <w:sz w:val="32"/>
          <w:szCs w:val="32"/>
        </w:rPr>
        <w:t>8.住房保障（类）住房改革支出（款）购房补贴（项）：支出决算为1.03万元，完成预算100%，决算数等于预算数。</w:t>
      </w:r>
    </w:p>
    <w:p>
      <w:pPr>
        <w:spacing w:line="600" w:lineRule="exact"/>
        <w:ind w:firstLine="640"/>
        <w:rPr>
          <w:rStyle w:val="18"/>
        </w:rPr>
      </w:pPr>
      <w:r>
        <w:rPr>
          <w:rFonts w:hint="eastAsia" w:ascii="黑体" w:eastAsia="黑体"/>
          <w:color w:val="000000"/>
          <w:sz w:val="32"/>
          <w:szCs w:val="32"/>
        </w:rPr>
        <w:t>六</w:t>
      </w:r>
      <w:r>
        <w:rPr>
          <w:rFonts w:hint="eastAsia" w:ascii="黑体" w:eastAsia="黑体"/>
          <w:b/>
          <w:color w:val="000000"/>
          <w:sz w:val="32"/>
          <w:szCs w:val="32"/>
        </w:rPr>
        <w:t>、一</w:t>
      </w:r>
      <w:r>
        <w:rPr>
          <w:rStyle w:val="18"/>
          <w:rFonts w:hint="eastAsia" w:ascii="黑体" w:eastAsia="黑体"/>
          <w:b w:val="0"/>
        </w:rPr>
        <w:t>般公共预算财政拨款基本支出决算情况说明</w:t>
      </w:r>
      <w:bookmarkEnd w:id="40"/>
      <w:bookmarkEnd w:id="41"/>
      <w:r>
        <w:rPr>
          <w:rStyle w:val="18"/>
          <w:rFonts w:ascii="黑体" w:eastAsia="黑体"/>
          <w:b w:val="0"/>
        </w:rPr>
        <w:tab/>
      </w:r>
    </w:p>
    <w:p>
      <w:pPr>
        <w:spacing w:line="600" w:lineRule="exact"/>
        <w:ind w:firstLine="640"/>
        <w:rPr>
          <w:rFonts w:ascii="仿宋" w:eastAsia="仿宋"/>
          <w:color w:val="000000"/>
          <w:sz w:val="32"/>
          <w:szCs w:val="32"/>
        </w:rPr>
      </w:pPr>
      <w:r>
        <w:rPr>
          <w:rFonts w:hint="eastAsia" w:ascii="仿宋" w:eastAsia="仿宋"/>
          <w:color w:val="000000"/>
          <w:sz w:val="32"/>
          <w:szCs w:val="32"/>
        </w:rPr>
        <w:t>2020年一般公共预算财政拨款基本支出146.93万元，其中：</w:t>
      </w:r>
    </w:p>
    <w:p>
      <w:pPr>
        <w:spacing w:line="600" w:lineRule="exact"/>
        <w:ind w:firstLine="640"/>
        <w:rPr>
          <w:rFonts w:ascii="仿宋" w:eastAsia="仿宋"/>
          <w:color w:val="000000"/>
          <w:sz w:val="32"/>
          <w:szCs w:val="32"/>
        </w:rPr>
      </w:pPr>
      <w:r>
        <w:rPr>
          <w:rFonts w:hint="eastAsia" w:ascii="仿宋" w:eastAsia="仿宋"/>
          <w:color w:val="000000"/>
          <w:sz w:val="32"/>
          <w:szCs w:val="32"/>
        </w:rPr>
        <w:t>人员经费137.78万元，主要包括：基本工资21.74万元、津贴补贴26.68万元、奖金2.01万元、机关事业单位基本养老保险缴费7.68万元、职业年金缴费3.8万元、职工基本医疗保险缴费3.3万元、公务员医疗补助缴费3.23万元、其他社会保障缴费0.79万元、住房公积金7.23万元、生活补助5.46万元、抚恤金34.43万元、奖励金21.43万元。</w:t>
      </w:r>
    </w:p>
    <w:p>
      <w:pPr>
        <w:spacing w:line="600" w:lineRule="exact"/>
        <w:ind w:firstLine="640"/>
        <w:rPr>
          <w:rFonts w:ascii="仿宋" w:eastAsia="仿宋"/>
          <w:color w:val="000000"/>
          <w:sz w:val="32"/>
          <w:szCs w:val="32"/>
        </w:rPr>
      </w:pPr>
      <w:r>
        <w:rPr>
          <w:rFonts w:hint="eastAsia" w:ascii="仿宋" w:eastAsia="仿宋"/>
          <w:color w:val="000000"/>
          <w:sz w:val="32"/>
          <w:szCs w:val="32"/>
        </w:rPr>
        <w:t>公用经费9.15万元，主要包括：办公费3.45万元、水费0.1万元、电费0.2万元、邮电费0.65万元、差旅费2.76万元、培训费0.05万元、其他交通费用1.94万元。</w:t>
      </w:r>
    </w:p>
    <w:p>
      <w:pPr>
        <w:spacing w:line="600" w:lineRule="exact"/>
        <w:ind w:firstLine="640" w:firstLineChars="200"/>
        <w:outlineLvl w:val="1"/>
        <w:rPr>
          <w:rStyle w:val="18"/>
          <w:rFonts w:ascii="黑体" w:eastAsia="黑体"/>
          <w:b w:val="0"/>
        </w:rPr>
      </w:pPr>
      <w:bookmarkStart w:id="42" w:name="_Toc15396609"/>
      <w:bookmarkStart w:id="43" w:name="_Toc15377215"/>
      <w:r>
        <w:rPr>
          <w:rFonts w:hint="eastAsia" w:ascii="黑体" w:eastAsia="黑体"/>
          <w:sz w:val="32"/>
          <w:szCs w:val="32"/>
        </w:rPr>
        <w:t>七、</w:t>
      </w:r>
      <w:r>
        <w:rPr>
          <w:rStyle w:val="18"/>
          <w:rFonts w:hint="eastAsia" w:ascii="黑体" w:eastAsia="黑体"/>
        </w:rPr>
        <w:t>“</w:t>
      </w:r>
      <w:r>
        <w:rPr>
          <w:rStyle w:val="18"/>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pPr>
        <w:spacing w:line="600" w:lineRule="exact"/>
        <w:ind w:firstLine="640"/>
        <w:rPr>
          <w:rFonts w:ascii="仿宋" w:eastAsia="仿宋"/>
          <w:color w:val="000000"/>
          <w:sz w:val="32"/>
          <w:szCs w:val="32"/>
        </w:rPr>
      </w:pPr>
      <w:r>
        <w:rPr>
          <w:rFonts w:hint="eastAsia" w:ascii="仿宋" w:eastAsia="仿宋"/>
          <w:color w:val="000000"/>
          <w:sz w:val="32"/>
          <w:szCs w:val="32"/>
        </w:rPr>
        <w:t>2020年“三公”经费财政拨款支出决算为0万元。</w:t>
      </w:r>
    </w:p>
    <w:p>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w:t>
      </w:r>
      <w:r>
        <w:rPr>
          <w:rFonts w:hint="eastAsia" w:ascii="仿宋" w:eastAsia="仿宋"/>
          <w:sz w:val="32"/>
          <w:szCs w:val="32"/>
        </w:rPr>
        <w:t>决算0万元</w:t>
      </w:r>
    </w:p>
    <w:p>
      <w:pPr>
        <w:spacing w:line="600" w:lineRule="exact"/>
        <w:ind w:firstLine="640"/>
        <w:outlineLvl w:val="1"/>
        <w:rPr>
          <w:rStyle w:val="18"/>
          <w:rFonts w:ascii="黑体" w:eastAsia="黑体"/>
        </w:rPr>
      </w:pPr>
      <w:bookmarkStart w:id="46" w:name="_Toc15396610"/>
      <w:bookmarkStart w:id="47" w:name="_Toc15377218"/>
      <w:r>
        <w:rPr>
          <w:rFonts w:hint="eastAsia" w:ascii="黑体" w:eastAsia="黑体"/>
          <w:color w:val="000000"/>
          <w:sz w:val="32"/>
          <w:szCs w:val="32"/>
        </w:rPr>
        <w:t>八、</w:t>
      </w:r>
      <w:r>
        <w:rPr>
          <w:rStyle w:val="18"/>
          <w:rFonts w:hint="eastAsia" w:asci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0年政府性基金预算拨款支出0万元。</w:t>
      </w:r>
    </w:p>
    <w:p>
      <w:pPr>
        <w:numPr>
          <w:ilvl w:val="0"/>
          <w:numId w:val="2"/>
        </w:numPr>
        <w:spacing w:line="600" w:lineRule="exact"/>
        <w:ind w:firstLine="640"/>
        <w:outlineLvl w:val="1"/>
        <w:rPr>
          <w:rStyle w:val="18"/>
          <w:rFonts w:ascii="黑体" w:eastAsia="黑体"/>
          <w:b w:val="0"/>
        </w:rPr>
      </w:pPr>
      <w:bookmarkStart w:id="48" w:name="_Toc15396611"/>
      <w:bookmarkStart w:id="49" w:name="_Toc15377219"/>
      <w:r>
        <w:rPr>
          <w:rStyle w:val="18"/>
          <w:rFonts w:hint="eastAsia" w:asci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20年国有资本经营预算拨款支出0万元。</w:t>
      </w:r>
    </w:p>
    <w:p>
      <w:pPr>
        <w:spacing w:line="600" w:lineRule="exact"/>
        <w:ind w:firstLine="640" w:firstLineChars="200"/>
        <w:outlineLvl w:val="1"/>
        <w:rPr>
          <w:rStyle w:val="18"/>
          <w:rFonts w:ascii="黑体" w:eastAsia="黑体"/>
        </w:rPr>
      </w:pPr>
      <w:r>
        <w:rPr>
          <w:rFonts w:hint="eastAsia" w:ascii="黑体" w:eastAsia="黑体"/>
          <w:color w:val="000000"/>
          <w:sz w:val="32"/>
          <w:szCs w:val="32"/>
        </w:rPr>
        <w:t>十</w:t>
      </w:r>
      <w:r>
        <w:rPr>
          <w:rStyle w:val="18"/>
          <w:rFonts w:hint="eastAsia" w:ascii="黑体" w:eastAsia="黑体"/>
        </w:rPr>
        <w:t>、</w:t>
      </w:r>
      <w:r>
        <w:rPr>
          <w:rStyle w:val="18"/>
          <w:rFonts w:hint="eastAsia" w:ascii="黑体" w:eastAsia="黑体"/>
          <w:b w:val="0"/>
        </w:rPr>
        <w:t>预算绩效情况说明</w:t>
      </w:r>
    </w:p>
    <w:p>
      <w:pPr>
        <w:spacing w:line="600" w:lineRule="exact"/>
        <w:ind w:firstLine="640"/>
        <w:rPr>
          <w:rFonts w:ascii="仿宋_GB2312" w:eastAsia="仿宋_GB2312"/>
          <w:color w:val="000000"/>
          <w:sz w:val="32"/>
          <w:szCs w:val="32"/>
        </w:rPr>
      </w:pPr>
      <w:bookmarkStart w:id="50" w:name="_Toc15377221"/>
      <w:bookmarkStart w:id="51" w:name="_Toc15396612"/>
      <w:r>
        <w:rPr>
          <w:rFonts w:ascii="仿宋_GB2312" w:eastAsia="仿宋_GB2312"/>
          <w:color w:val="000000"/>
          <w:sz w:val="32"/>
          <w:szCs w:val="32"/>
        </w:rPr>
        <w:t>20</w:t>
      </w:r>
      <w:r>
        <w:rPr>
          <w:rFonts w:hint="eastAsia" w:ascii="仿宋_GB2312" w:eastAsia="仿宋_GB2312"/>
          <w:color w:val="000000"/>
          <w:sz w:val="32"/>
          <w:szCs w:val="32"/>
        </w:rPr>
        <w:t>20年项目支出0万元。</w:t>
      </w:r>
    </w:p>
    <w:p>
      <w:pPr>
        <w:spacing w:line="600" w:lineRule="exact"/>
        <w:ind w:firstLine="640" w:firstLineChars="200"/>
        <w:outlineLvl w:val="1"/>
        <w:rPr>
          <w:rStyle w:val="18"/>
          <w:rFonts w:ascii="黑体" w:eastAsia="黑体"/>
        </w:rPr>
      </w:pPr>
      <w:r>
        <w:rPr>
          <w:rFonts w:hint="eastAsia" w:ascii="黑体" w:eastAsia="黑体"/>
          <w:color w:val="000000"/>
          <w:sz w:val="32"/>
          <w:szCs w:val="32"/>
        </w:rPr>
        <w:t>十一</w:t>
      </w:r>
      <w:r>
        <w:rPr>
          <w:rStyle w:val="18"/>
          <w:rFonts w:hint="eastAsia" w:ascii="黑体" w:eastAsia="黑体"/>
        </w:rPr>
        <w:t>、</w:t>
      </w:r>
      <w:r>
        <w:rPr>
          <w:rStyle w:val="18"/>
          <w:rFonts w:hint="eastAsia" w:ascii="黑体" w:eastAsia="黑体"/>
          <w:b w:val="0"/>
        </w:rPr>
        <w:t>其他重要事项的情况说明</w:t>
      </w:r>
      <w:bookmarkEnd w:id="50"/>
      <w:bookmarkEnd w:id="51"/>
    </w:p>
    <w:p>
      <w:pPr>
        <w:spacing w:line="600" w:lineRule="exact"/>
        <w:ind w:firstLine="643" w:firstLineChars="200"/>
        <w:outlineLvl w:val="2"/>
        <w:rPr>
          <w:rFonts w:ascii="仿宋" w:eastAsia="仿宋"/>
          <w:sz w:val="32"/>
          <w:szCs w:val="32"/>
        </w:rPr>
      </w:pPr>
      <w:bookmarkStart w:id="52" w:name="_Toc15377222"/>
      <w:r>
        <w:rPr>
          <w:rFonts w:hint="eastAsia" w:ascii="仿宋" w:eastAsia="仿宋"/>
          <w:b/>
          <w:sz w:val="32"/>
          <w:szCs w:val="32"/>
        </w:rPr>
        <w:t>（一）机关运行经费支出情况</w:t>
      </w:r>
      <w:bookmarkEnd w:id="52"/>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20年，金川县供销合作社联合社运行经费支出9.15万元，比2019年增加2.15万元，上升30.71</w:t>
      </w:r>
      <w:r>
        <w:rPr>
          <w:rFonts w:ascii="仿宋_GB2312" w:eastAsia="仿宋_GB2312"/>
          <w:sz w:val="32"/>
          <w:szCs w:val="32"/>
        </w:rPr>
        <w:t>%</w:t>
      </w:r>
      <w:r>
        <w:rPr>
          <w:rFonts w:hint="eastAsia" w:ascii="仿宋_GB2312" w:eastAsia="仿宋_GB2312"/>
          <w:sz w:val="32"/>
          <w:szCs w:val="32"/>
        </w:rPr>
        <w:t>。主要原因为办公费、其他交通费用、培训费等有所增长。</w:t>
      </w:r>
    </w:p>
    <w:p>
      <w:pPr>
        <w:autoSpaceDE w:val="0"/>
        <w:autoSpaceDN w:val="0"/>
        <w:adjustRightInd w:val="0"/>
        <w:spacing w:line="600" w:lineRule="exact"/>
        <w:ind w:firstLine="643" w:firstLineChars="200"/>
        <w:jc w:val="left"/>
        <w:outlineLvl w:val="2"/>
        <w:rPr>
          <w:rFonts w:ascii="仿宋" w:eastAsia="仿宋"/>
          <w:b/>
          <w:sz w:val="32"/>
          <w:szCs w:val="32"/>
        </w:rPr>
      </w:pPr>
      <w:bookmarkStart w:id="53" w:name="_Toc15377223"/>
      <w:r>
        <w:rPr>
          <w:rFonts w:hint="eastAsia" w:ascii="仿宋" w:eastAsia="仿宋"/>
          <w:b/>
          <w:sz w:val="32"/>
          <w:szCs w:val="32"/>
        </w:rPr>
        <w:t>（二）政府采购支出情况</w:t>
      </w:r>
      <w:bookmarkEnd w:id="53"/>
    </w:p>
    <w:p>
      <w:pPr>
        <w:spacing w:line="600" w:lineRule="exact"/>
        <w:ind w:firstLine="640" w:firstLineChars="200"/>
        <w:rPr>
          <w:rFonts w:ascii="仿宋" w:eastAsia="仿宋_GB2312"/>
          <w:b/>
          <w:sz w:val="32"/>
          <w:szCs w:val="32"/>
        </w:rPr>
      </w:pPr>
      <w:r>
        <w:rPr>
          <w:rFonts w:ascii="仿宋_GB2312" w:eastAsia="仿宋_GB2312"/>
          <w:sz w:val="32"/>
          <w:szCs w:val="32"/>
        </w:rPr>
        <w:t>20</w:t>
      </w:r>
      <w:r>
        <w:rPr>
          <w:rFonts w:hint="eastAsia" w:ascii="仿宋_GB2312" w:eastAsia="仿宋_GB2312"/>
          <w:sz w:val="32"/>
          <w:szCs w:val="32"/>
        </w:rPr>
        <w:t>20年，政府采购支出总额0万元。</w:t>
      </w:r>
    </w:p>
    <w:p>
      <w:pPr>
        <w:autoSpaceDE w:val="0"/>
        <w:autoSpaceDN w:val="0"/>
        <w:adjustRightInd w:val="0"/>
        <w:spacing w:line="600" w:lineRule="exact"/>
        <w:ind w:firstLine="643" w:firstLineChars="200"/>
        <w:jc w:val="left"/>
        <w:outlineLvl w:val="2"/>
        <w:rPr>
          <w:rFonts w:ascii="仿宋" w:eastAsia="仿宋"/>
          <w:b/>
          <w:sz w:val="32"/>
          <w:szCs w:val="32"/>
        </w:rPr>
      </w:pPr>
      <w:bookmarkStart w:id="54" w:name="_Toc15377224"/>
      <w:r>
        <w:rPr>
          <w:rFonts w:hint="eastAsia" w:ascii="仿宋" w:eastAsia="仿宋"/>
          <w:b/>
          <w:sz w:val="32"/>
          <w:szCs w:val="32"/>
        </w:rPr>
        <w:t>（三）国有资产占有使用情况</w:t>
      </w:r>
      <w:bookmarkEnd w:id="54"/>
    </w:p>
    <w:p>
      <w:pPr>
        <w:widowControl/>
        <w:ind w:firstLine="640" w:firstLineChars="200"/>
        <w:jc w:val="left"/>
        <w:rPr>
          <w:rFonts w:ascii="仿宋_GB2312" w:eastAsia="仿宋_GB2312"/>
          <w:b/>
          <w:sz w:val="32"/>
          <w:szCs w:val="32"/>
        </w:rPr>
      </w:pPr>
      <w:r>
        <w:rPr>
          <w:rFonts w:hint="eastAsia" w:ascii="仿宋_GB2312" w:eastAsia="仿宋_GB2312"/>
          <w:sz w:val="32"/>
          <w:szCs w:val="32"/>
        </w:rPr>
        <w:t>截至2020年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日，共有车辆0辆。</w:t>
      </w:r>
      <w:r>
        <w:rPr>
          <w:rFonts w:hint="eastAsia" w:ascii="仿宋_GB2312" w:eastAsia="仿宋_GB2312"/>
          <w:b/>
          <w:sz w:val="32"/>
          <w:szCs w:val="32"/>
        </w:rPr>
        <w:t xml:space="preserve">    </w:t>
      </w:r>
    </w:p>
    <w:p>
      <w:pPr>
        <w:numPr>
          <w:ilvl w:val="0"/>
          <w:numId w:val="3"/>
        </w:numPr>
        <w:spacing w:line="600" w:lineRule="exact"/>
        <w:ind w:firstLine="663" w:firstLineChars="150"/>
        <w:jc w:val="center"/>
        <w:outlineLvl w:val="0"/>
        <w:rPr>
          <w:rStyle w:val="17"/>
          <w:rFonts w:ascii="黑体" w:eastAsia="黑体"/>
          <w:b w:val="0"/>
        </w:rPr>
      </w:pPr>
      <w:bookmarkStart w:id="55" w:name="_Toc15377225"/>
      <w:bookmarkStart w:id="56" w:name="_Toc15396613"/>
      <w:r>
        <w:rPr>
          <w:rFonts w:hint="eastAsia" w:ascii="黑体" w:eastAsia="黑体"/>
          <w:b/>
          <w:color w:val="000000"/>
          <w:sz w:val="44"/>
          <w:szCs w:val="44"/>
        </w:rPr>
        <w:t>名</w:t>
      </w:r>
      <w:r>
        <w:rPr>
          <w:rStyle w:val="17"/>
          <w:rFonts w:hint="eastAsia" w:ascii="黑体" w:eastAsia="黑体"/>
          <w:b w:val="0"/>
        </w:rPr>
        <w:t>词解释</w:t>
      </w:r>
      <w:bookmarkEnd w:id="55"/>
      <w:bookmarkEnd w:id="56"/>
    </w:p>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w:t>
      </w:r>
      <w:r>
        <w:rPr>
          <w:rFonts w:hint="eastAsia" w:ascii="仿宋_GB2312" w:eastAsia="仿宋_GB2312"/>
          <w:color w:val="000000"/>
          <w:sz w:val="32"/>
          <w:szCs w:val="32"/>
          <w:lang w:eastAsia="zh-CN"/>
        </w:rPr>
        <w:t>上述</w:t>
      </w:r>
      <w:r>
        <w:rPr>
          <w:rFonts w:hint="eastAsia" w:ascii="仿宋_GB2312" w:eastAsia="仿宋_GB2312"/>
          <w:color w:val="000000"/>
          <w:sz w:val="32"/>
          <w:szCs w:val="32"/>
        </w:rPr>
        <w:t>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bookmarkStart w:id="57" w:name="_Toc15396614"/>
      <w:bookmarkStart w:id="58" w:name="_Toc15377226"/>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pStyle w:val="4"/>
        <w:rPr>
          <w:rStyle w:val="17"/>
          <w:rFonts w:ascii="仿宋" w:eastAsia="仿宋"/>
          <w:b w:val="0"/>
          <w:bCs w:val="0"/>
          <w:sz w:val="32"/>
          <w:szCs w:val="32"/>
        </w:rPr>
      </w:pPr>
      <w:bookmarkStart w:id="59" w:name="_Toc15396615"/>
      <w:r>
        <w:rPr>
          <w:rStyle w:val="17"/>
          <w:rFonts w:hint="eastAsia" w:ascii="仿宋" w:eastAsia="仿宋"/>
          <w:b w:val="0"/>
          <w:bCs w:val="0"/>
          <w:sz w:val="32"/>
          <w:szCs w:val="32"/>
        </w:rPr>
        <w:t>附件1</w:t>
      </w:r>
      <w:bookmarkEnd w:id="59"/>
    </w:p>
    <w:p>
      <w:pPr>
        <w:numPr>
          <w:ilvl w:val="0"/>
          <w:numId w:val="3"/>
        </w:numPr>
        <w:spacing w:line="600" w:lineRule="exact"/>
        <w:ind w:firstLine="660" w:firstLineChars="150"/>
        <w:jc w:val="center"/>
        <w:outlineLvl w:val="0"/>
        <w:rPr>
          <w:rStyle w:val="17"/>
          <w:rFonts w:ascii="黑体" w:eastAsia="黑体"/>
          <w:b w:val="0"/>
        </w:rPr>
      </w:pPr>
      <w:r>
        <w:rPr>
          <w:rStyle w:val="17"/>
          <w:rFonts w:hint="eastAsia" w:ascii="黑体" w:eastAsia="黑体"/>
          <w:b w:val="0"/>
        </w:rPr>
        <w:t>附件</w:t>
      </w:r>
      <w:bookmarkEnd w:id="57"/>
    </w:p>
    <w:p>
      <w:pPr>
        <w:outlineLvl w:val="0"/>
        <w:rPr>
          <w:rStyle w:val="17"/>
          <w:rFonts w:ascii="黑体" w:eastAsia="黑体"/>
          <w:b w:val="0"/>
        </w:rPr>
      </w:pPr>
    </w:p>
    <w:bookmarkEnd w:id="58"/>
    <w:p>
      <w:pPr>
        <w:widowControl/>
        <w:spacing w:line="580" w:lineRule="exact"/>
        <w:contextualSpacing/>
        <w:jc w:val="center"/>
        <w:rPr>
          <w:rFonts w:ascii="宋体" w:hAnsi="宋体"/>
          <w:b/>
          <w:sz w:val="44"/>
          <w:szCs w:val="44"/>
          <w:shd w:val="clear" w:color="auto" w:fill="FFFFFF"/>
        </w:rPr>
      </w:pPr>
      <w:r>
        <w:rPr>
          <w:rFonts w:hint="eastAsia" w:ascii="宋体" w:hAnsi="宋体"/>
          <w:b/>
          <w:sz w:val="44"/>
          <w:szCs w:val="44"/>
          <w:shd w:val="clear" w:color="auto" w:fill="FFFFFF"/>
        </w:rPr>
        <w:t>2021年金川县供销合作社联合社</w:t>
      </w:r>
    </w:p>
    <w:p>
      <w:pPr>
        <w:widowControl/>
        <w:spacing w:line="580" w:lineRule="exact"/>
        <w:contextualSpacing/>
        <w:jc w:val="center"/>
        <w:rPr>
          <w:rFonts w:ascii="宋体" w:hAnsi="宋体"/>
          <w:b/>
          <w:sz w:val="44"/>
          <w:szCs w:val="44"/>
          <w:shd w:val="clear" w:color="auto" w:fill="FFFFFF"/>
        </w:rPr>
      </w:pPr>
      <w:r>
        <w:rPr>
          <w:rFonts w:hint="eastAsia" w:ascii="宋体" w:hAnsi="宋体"/>
          <w:b/>
          <w:sz w:val="44"/>
          <w:szCs w:val="44"/>
          <w:shd w:val="clear" w:color="auto" w:fill="FFFFFF"/>
        </w:rPr>
        <w:t>整体支出绩效评价报告</w:t>
      </w:r>
    </w:p>
    <w:p>
      <w:pPr>
        <w:ind w:firstLine="640" w:firstLineChars="200"/>
        <w:rPr>
          <w:rFonts w:ascii="仿宋_GB2312" w:eastAsia="仿宋_GB2312"/>
          <w:sz w:val="32"/>
          <w:szCs w:val="32"/>
        </w:rPr>
      </w:pPr>
    </w:p>
    <w:p>
      <w:pPr>
        <w:ind w:firstLine="640" w:firstLineChars="200"/>
        <w:rPr>
          <w:rFonts w:ascii="仿宋_GB2312" w:eastAsia="仿宋_GB2312"/>
          <w:sz w:val="32"/>
          <w:szCs w:val="32"/>
        </w:rPr>
      </w:pPr>
      <w:r>
        <w:rPr>
          <w:rFonts w:hint="eastAsia" w:ascii="仿宋_GB2312" w:eastAsia="仿宋_GB2312"/>
          <w:sz w:val="32"/>
          <w:szCs w:val="32"/>
        </w:rPr>
        <w:t>为了贯彻落实《预算法》和《中共中央、国务院全面实施绩效管理的意见》，根据《金川县财政局关于开展2021年部门、政策和项目支出绩效评价工作的通知》（金财监绩〔2021〕26号）文件要求，现就我单位2021年部门整体支出绩效情况报告如下：</w:t>
      </w:r>
    </w:p>
    <w:p>
      <w:pPr>
        <w:ind w:firstLine="640" w:firstLineChars="20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部门（单位）概况</w:t>
      </w:r>
    </w:p>
    <w:p>
      <w:pPr>
        <w:numPr>
          <w:ilvl w:val="0"/>
          <w:numId w:val="4"/>
        </w:numPr>
        <w:ind w:firstLine="643" w:firstLineChars="200"/>
        <w:rPr>
          <w:rFonts w:ascii="楷体_GB2312" w:eastAsia="楷体_GB2312"/>
          <w:b/>
          <w:sz w:val="32"/>
          <w:szCs w:val="32"/>
          <w:lang w:val="zh-CN"/>
        </w:rPr>
      </w:pPr>
      <w:r>
        <w:rPr>
          <w:rFonts w:hint="eastAsia" w:ascii="楷体_GB2312" w:eastAsia="楷体_GB2312"/>
          <w:b/>
          <w:sz w:val="32"/>
          <w:szCs w:val="32"/>
          <w:lang w:val="zh-CN"/>
        </w:rPr>
        <w:t>机构组成。</w:t>
      </w:r>
    </w:p>
    <w:p>
      <w:pPr>
        <w:widowControl/>
        <w:adjustRightInd w:val="0"/>
        <w:snapToGrid w:val="0"/>
        <w:spacing w:line="580" w:lineRule="exact"/>
        <w:ind w:firstLine="640" w:firstLineChars="200"/>
        <w:contextualSpacing/>
        <w:jc w:val="left"/>
        <w:rPr>
          <w:rFonts w:ascii="仿宋_GB2312" w:eastAsia="仿宋_GB2312" w:cs="宋体"/>
          <w:color w:val="000000"/>
          <w:kern w:val="0"/>
          <w:szCs w:val="32"/>
          <w:shd w:val="clear" w:color="auto" w:fill="FFFFFF"/>
        </w:rPr>
      </w:pPr>
      <w:r>
        <w:rPr>
          <w:rFonts w:hint="eastAsia" w:eastAsia="仿宋_GB2312"/>
          <w:sz w:val="32"/>
          <w:szCs w:val="32"/>
        </w:rPr>
        <w:t xml:space="preserve">  </w:t>
      </w:r>
      <w:r>
        <w:rPr>
          <w:rFonts w:hint="eastAsia" w:ascii="仿宋_GB2312" w:eastAsia="仿宋_GB2312"/>
          <w:spacing w:val="-2"/>
          <w:sz w:val="32"/>
          <w:szCs w:val="32"/>
        </w:rPr>
        <w:t>本单位属于一级预算单位，是参公管理的事业单位。</w:t>
      </w:r>
      <w:r>
        <w:rPr>
          <w:rFonts w:hint="eastAsia" w:eastAsia="仿宋_GB2312"/>
          <w:sz w:val="32"/>
          <w:szCs w:val="32"/>
        </w:rPr>
        <w:t xml:space="preserve"> </w:t>
      </w:r>
      <w:r>
        <w:rPr>
          <w:rFonts w:hint="eastAsia" w:ascii="仿宋_GB2312" w:cs="宋体"/>
          <w:color w:val="000000"/>
          <w:kern w:val="0"/>
          <w:szCs w:val="32"/>
          <w:shd w:val="clear" w:color="auto" w:fill="FFFFFF"/>
        </w:rPr>
        <w:t xml:space="preserve"> </w:t>
      </w:r>
    </w:p>
    <w:p>
      <w:pPr>
        <w:numPr>
          <w:ilvl w:val="0"/>
          <w:numId w:val="4"/>
        </w:numPr>
        <w:ind w:firstLine="643" w:firstLineChars="200"/>
        <w:rPr>
          <w:rFonts w:ascii="楷体_GB2312" w:eastAsia="楷体_GB2312"/>
          <w:b/>
          <w:sz w:val="32"/>
          <w:szCs w:val="32"/>
          <w:lang w:val="zh-CN"/>
        </w:rPr>
      </w:pPr>
      <w:r>
        <w:rPr>
          <w:rFonts w:hint="eastAsia" w:ascii="楷体_GB2312" w:eastAsia="楷体_GB2312"/>
          <w:b/>
          <w:sz w:val="32"/>
          <w:szCs w:val="32"/>
          <w:lang w:val="zh-CN"/>
        </w:rPr>
        <w:t>机构职能。</w:t>
      </w:r>
    </w:p>
    <w:p>
      <w:pPr>
        <w:widowControl/>
        <w:adjustRightInd w:val="0"/>
        <w:snapToGrid w:val="0"/>
        <w:spacing w:line="580" w:lineRule="exact"/>
        <w:ind w:firstLine="960" w:firstLineChars="300"/>
        <w:contextualSpacing/>
        <w:jc w:val="left"/>
        <w:rPr>
          <w:rFonts w:ascii="仿宋" w:hAnsi="仿宋" w:eastAsia="仿宋" w:cs="仿宋"/>
          <w:sz w:val="32"/>
          <w:szCs w:val="32"/>
          <w:lang w:val="zh-CN"/>
        </w:rPr>
      </w:pPr>
      <w:r>
        <w:rPr>
          <w:rFonts w:hint="eastAsia" w:ascii="仿宋" w:hAnsi="仿宋" w:eastAsia="仿宋" w:cs="仿宋"/>
          <w:sz w:val="32"/>
          <w:szCs w:val="32"/>
        </w:rPr>
        <w:t>负责研究和制定全县供销合作社的发展战略和发展规划，指导全县供销社的改革和发展，按照县政府的授权对重要农业生产资料、农副畜产品经营、烟花爆竹、再生资源和毛绒经营的组织、协调和管理，对基层社进行的业务指导，促进城乡物资交流，宣传贯彻党中央、国务院有关农村经济工作的方针政策，组织全县农村合作经济组织和农民经纪人，引导农民进入市场，发展农业产业化经营，为农业、农村和农民提供服务，牵头成立农民经纪人协会和各类农产品行业协会，成为政府与农民密切联系的桥梁和纽带。行使本级社有资产出资人代表职能，监督社有资产的保值增值。</w:t>
      </w:r>
    </w:p>
    <w:p>
      <w:pPr>
        <w:numPr>
          <w:ilvl w:val="0"/>
          <w:numId w:val="4"/>
        </w:numPr>
        <w:ind w:firstLine="643" w:firstLineChars="200"/>
        <w:rPr>
          <w:rFonts w:ascii="楷体_GB2312" w:eastAsia="楷体_GB2312"/>
          <w:b/>
          <w:sz w:val="32"/>
          <w:szCs w:val="32"/>
          <w:lang w:val="zh-CN"/>
        </w:rPr>
      </w:pPr>
      <w:r>
        <w:rPr>
          <w:rFonts w:hint="eastAsia" w:ascii="楷体_GB2312" w:eastAsia="楷体_GB2312"/>
          <w:b/>
          <w:sz w:val="32"/>
          <w:szCs w:val="32"/>
          <w:lang w:val="zh-CN"/>
        </w:rPr>
        <w:t>人员概况</w:t>
      </w:r>
    </w:p>
    <w:p>
      <w:pPr>
        <w:widowControl/>
        <w:adjustRightInd w:val="0"/>
        <w:snapToGrid w:val="0"/>
        <w:spacing w:line="580" w:lineRule="exact"/>
        <w:ind w:firstLine="630" w:firstLineChars="300"/>
        <w:contextualSpacing/>
        <w:jc w:val="left"/>
        <w:rPr>
          <w:rFonts w:ascii="仿宋" w:hAnsi="仿宋" w:eastAsia="仿宋" w:cs="仿宋"/>
          <w:sz w:val="32"/>
          <w:szCs w:val="32"/>
        </w:rPr>
      </w:pPr>
      <w:r>
        <w:rPr>
          <w:rFonts w:hint="eastAsia" w:ascii="仿宋_GB2312" w:cs="宋体"/>
          <w:color w:val="000000"/>
          <w:kern w:val="0"/>
          <w:szCs w:val="32"/>
          <w:shd w:val="clear" w:color="auto" w:fill="FFFFFF"/>
        </w:rPr>
        <w:t xml:space="preserve">    </w:t>
      </w:r>
      <w:r>
        <w:rPr>
          <w:rFonts w:hint="eastAsia" w:ascii="仿宋" w:hAnsi="仿宋" w:eastAsia="仿宋" w:cs="仿宋"/>
          <w:sz w:val="32"/>
          <w:szCs w:val="32"/>
          <w:lang w:val="zh-CN"/>
        </w:rPr>
        <w:t>1、编制情况</w:t>
      </w:r>
      <w:r>
        <w:rPr>
          <w:rFonts w:hint="eastAsia" w:ascii="仿宋" w:hAnsi="仿宋" w:eastAsia="仿宋" w:cs="仿宋"/>
          <w:sz w:val="32"/>
          <w:szCs w:val="32"/>
        </w:rPr>
        <w:tab/>
      </w:r>
    </w:p>
    <w:p>
      <w:pPr>
        <w:widowControl/>
        <w:adjustRightInd w:val="0"/>
        <w:snapToGrid w:val="0"/>
        <w:spacing w:line="580" w:lineRule="exact"/>
        <w:ind w:firstLine="960" w:firstLineChars="300"/>
        <w:contextualSpacing/>
        <w:jc w:val="left"/>
        <w:rPr>
          <w:rFonts w:ascii="仿宋" w:hAnsi="仿宋" w:eastAsia="仿宋" w:cs="仿宋"/>
          <w:sz w:val="32"/>
          <w:szCs w:val="32"/>
        </w:rPr>
      </w:pPr>
      <w:r>
        <w:rPr>
          <w:rFonts w:hint="eastAsia" w:ascii="仿宋" w:hAnsi="仿宋" w:eastAsia="仿宋" w:cs="仿宋"/>
          <w:sz w:val="32"/>
          <w:szCs w:val="32"/>
        </w:rPr>
        <w:t>2020年编制数7人，其中：参公编制6人，工勤编制1人。</w:t>
      </w:r>
    </w:p>
    <w:p>
      <w:pPr>
        <w:widowControl/>
        <w:adjustRightInd w:val="0"/>
        <w:snapToGrid w:val="0"/>
        <w:spacing w:line="580" w:lineRule="exact"/>
        <w:ind w:firstLine="960" w:firstLineChars="300"/>
        <w:contextualSpacing/>
        <w:jc w:val="left"/>
        <w:rPr>
          <w:rFonts w:ascii="仿宋" w:hAnsi="仿宋" w:eastAsia="仿宋" w:cs="仿宋"/>
          <w:sz w:val="32"/>
          <w:szCs w:val="32"/>
        </w:rPr>
      </w:pPr>
      <w:r>
        <w:rPr>
          <w:rFonts w:hint="eastAsia" w:ascii="仿宋" w:hAnsi="仿宋" w:eastAsia="仿宋" w:cs="仿宋"/>
          <w:sz w:val="32"/>
          <w:szCs w:val="32"/>
        </w:rPr>
        <w:t>2、人员情况</w:t>
      </w:r>
    </w:p>
    <w:p>
      <w:pPr>
        <w:widowControl/>
        <w:adjustRightInd w:val="0"/>
        <w:snapToGrid w:val="0"/>
        <w:spacing w:line="580" w:lineRule="exact"/>
        <w:ind w:firstLine="960" w:firstLineChars="300"/>
        <w:contextualSpacing/>
        <w:jc w:val="left"/>
        <w:rPr>
          <w:rFonts w:ascii="仿宋" w:hAnsi="仿宋" w:eastAsia="仿宋" w:cs="仿宋"/>
          <w:sz w:val="32"/>
          <w:szCs w:val="32"/>
        </w:rPr>
      </w:pPr>
      <w:r>
        <w:rPr>
          <w:rFonts w:hint="eastAsia" w:ascii="仿宋" w:hAnsi="仿宋" w:eastAsia="仿宋" w:cs="仿宋"/>
          <w:sz w:val="32"/>
          <w:szCs w:val="32"/>
        </w:rPr>
        <w:t>年末供销社在职职工4人，退休人员14人，遗嘱人员4人。</w:t>
      </w:r>
    </w:p>
    <w:p>
      <w:pPr>
        <w:ind w:firstLine="640" w:firstLineChars="200"/>
        <w:rPr>
          <w:rFonts w:ascii="黑体" w:eastAsia="黑体"/>
          <w:sz w:val="32"/>
          <w:szCs w:val="32"/>
        </w:rPr>
      </w:pPr>
      <w:r>
        <w:rPr>
          <w:rFonts w:hint="eastAsia" w:ascii="黑体" w:eastAsia="黑体"/>
          <w:sz w:val="32"/>
          <w:szCs w:val="32"/>
        </w:rPr>
        <w:t>二、部门财政资金收支情况</w:t>
      </w:r>
    </w:p>
    <w:p>
      <w:pPr>
        <w:tabs>
          <w:tab w:val="left" w:pos="0"/>
        </w:tabs>
        <w:ind w:left="420" w:leftChars="200"/>
        <w:rPr>
          <w:rFonts w:ascii="楷体_GB2312" w:eastAsia="楷体_GB2312"/>
          <w:b/>
          <w:sz w:val="32"/>
          <w:szCs w:val="32"/>
          <w:lang w:val="zh-CN"/>
        </w:rPr>
      </w:pPr>
      <w:r>
        <w:rPr>
          <w:rFonts w:hint="eastAsia" w:ascii="楷体_GB2312" w:eastAsia="楷体_GB2312"/>
          <w:b/>
          <w:sz w:val="32"/>
          <w:szCs w:val="32"/>
          <w:lang w:val="zh-CN"/>
        </w:rPr>
        <w:t>（一）部门财政资金收入情况</w:t>
      </w:r>
    </w:p>
    <w:p>
      <w:pPr>
        <w:widowControl/>
        <w:adjustRightInd w:val="0"/>
        <w:snapToGrid w:val="0"/>
        <w:spacing w:line="580" w:lineRule="exact"/>
        <w:ind w:firstLine="960" w:firstLineChars="300"/>
        <w:contextualSpacing/>
        <w:jc w:val="left"/>
        <w:rPr>
          <w:rFonts w:ascii="仿宋" w:hAnsi="仿宋" w:eastAsia="仿宋" w:cs="仿宋"/>
          <w:sz w:val="32"/>
          <w:szCs w:val="32"/>
          <w:lang w:val="zh-CN"/>
        </w:rPr>
      </w:pPr>
      <w:r>
        <w:rPr>
          <w:rFonts w:hint="eastAsia" w:ascii="仿宋" w:hAnsi="仿宋" w:eastAsia="仿宋" w:cs="仿宋"/>
          <w:sz w:val="32"/>
          <w:szCs w:val="32"/>
        </w:rPr>
        <w:t>2020年度财政拨款收入总决算166.18万元；其中：基本收入146.92万元，占总收入的88.41 %；项目收入19.26万元，占总收入的11.9%。2020年年底财返资金结转19.00万元。</w:t>
      </w:r>
    </w:p>
    <w:p>
      <w:pPr>
        <w:tabs>
          <w:tab w:val="left" w:pos="0"/>
        </w:tabs>
        <w:ind w:left="420" w:leftChars="200"/>
        <w:rPr>
          <w:rFonts w:ascii="楷体_GB2312" w:eastAsia="楷体_GB2312"/>
          <w:b/>
          <w:sz w:val="32"/>
          <w:szCs w:val="32"/>
          <w:lang w:val="zh-CN"/>
        </w:rPr>
      </w:pPr>
      <w:r>
        <w:rPr>
          <w:rFonts w:hint="eastAsia" w:ascii="楷体_GB2312" w:eastAsia="楷体_GB2312"/>
          <w:b/>
          <w:sz w:val="32"/>
          <w:szCs w:val="32"/>
          <w:lang w:val="zh-CN"/>
        </w:rPr>
        <w:t>（二）部门财政资金支出情况</w:t>
      </w:r>
    </w:p>
    <w:p>
      <w:pPr>
        <w:widowControl/>
        <w:adjustRightInd w:val="0"/>
        <w:snapToGrid w:val="0"/>
        <w:spacing w:line="580" w:lineRule="exact"/>
        <w:ind w:firstLine="960" w:firstLineChars="300"/>
        <w:contextualSpacing/>
        <w:jc w:val="left"/>
        <w:rPr>
          <w:rFonts w:ascii="仿宋" w:hAnsi="仿宋" w:eastAsia="仿宋" w:cs="仿宋"/>
          <w:sz w:val="32"/>
          <w:szCs w:val="32"/>
          <w:lang w:val="zh-CN"/>
        </w:rPr>
      </w:pPr>
      <w:r>
        <w:rPr>
          <w:rFonts w:hint="eastAsia" w:ascii="仿宋" w:hAnsi="仿宋" w:eastAsia="仿宋" w:cs="仿宋"/>
          <w:sz w:val="32"/>
          <w:szCs w:val="32"/>
        </w:rPr>
        <w:t>2020年金川供销社支出合计147.18万元，其中：基本支出146.92万元，占99.82%；项目支出0.26万元，占0.18%。</w:t>
      </w:r>
    </w:p>
    <w:p>
      <w:pPr>
        <w:ind w:firstLine="640" w:firstLineChars="200"/>
        <w:rPr>
          <w:rFonts w:ascii="黑体" w:eastAsia="黑体"/>
          <w:sz w:val="32"/>
          <w:szCs w:val="32"/>
        </w:rPr>
      </w:pPr>
      <w:r>
        <w:rPr>
          <w:rFonts w:hint="eastAsia" w:ascii="黑体" w:eastAsia="黑体"/>
          <w:sz w:val="32"/>
          <w:szCs w:val="32"/>
        </w:rPr>
        <w:t>三、部门整体预算绩效管理情况</w:t>
      </w:r>
    </w:p>
    <w:p>
      <w:pPr>
        <w:tabs>
          <w:tab w:val="left" w:pos="0"/>
        </w:tabs>
        <w:ind w:left="420" w:leftChars="200"/>
        <w:rPr>
          <w:rFonts w:ascii="楷体_GB2312" w:eastAsia="楷体_GB2312"/>
          <w:b/>
          <w:sz w:val="32"/>
          <w:szCs w:val="32"/>
          <w:lang w:val="zh-CN"/>
        </w:rPr>
      </w:pPr>
      <w:r>
        <w:rPr>
          <w:rFonts w:hint="eastAsia" w:ascii="楷体_GB2312" w:eastAsia="楷体_GB2312"/>
          <w:b/>
          <w:sz w:val="32"/>
          <w:szCs w:val="32"/>
          <w:lang w:val="zh-CN"/>
        </w:rPr>
        <w:t>（</w:t>
      </w:r>
      <w:r>
        <w:rPr>
          <w:rFonts w:hint="eastAsia" w:ascii="楷体_GB2312" w:eastAsia="楷体_GB2312"/>
          <w:b/>
          <w:sz w:val="32"/>
          <w:szCs w:val="32"/>
        </w:rPr>
        <w:t>一</w:t>
      </w:r>
      <w:r>
        <w:rPr>
          <w:rFonts w:hint="eastAsia" w:ascii="楷体_GB2312" w:eastAsia="楷体_GB2312"/>
          <w:b/>
          <w:sz w:val="32"/>
          <w:szCs w:val="32"/>
          <w:lang w:val="zh-CN"/>
        </w:rPr>
        <w:t>）部门预算管理</w:t>
      </w:r>
    </w:p>
    <w:p>
      <w:pPr>
        <w:widowControl/>
        <w:adjustRightInd w:val="0"/>
        <w:snapToGrid w:val="0"/>
        <w:spacing w:line="580" w:lineRule="exact"/>
        <w:ind w:firstLine="960" w:firstLineChars="300"/>
        <w:contextualSpacing/>
        <w:jc w:val="left"/>
        <w:rPr>
          <w:rFonts w:ascii="仿宋" w:hAnsi="仿宋" w:eastAsia="仿宋" w:cs="仿宋"/>
          <w:sz w:val="32"/>
          <w:szCs w:val="32"/>
          <w:lang w:val="zh-CN"/>
        </w:rPr>
      </w:pPr>
      <w:r>
        <w:rPr>
          <w:rFonts w:hint="eastAsia" w:ascii="仿宋" w:hAnsi="仿宋" w:eastAsia="仿宋" w:cs="仿宋"/>
          <w:sz w:val="32"/>
          <w:szCs w:val="32"/>
        </w:rPr>
        <w:t>金川县供销社严格按照县级部门对预算编制的相关要求。绩效目标制定，做到了要素的完整，以及指标细化、量化。2020年</w:t>
      </w:r>
      <w:r>
        <w:rPr>
          <w:rFonts w:hint="eastAsia" w:ascii="仿宋" w:hAnsi="仿宋" w:eastAsia="仿宋" w:cs="仿宋"/>
          <w:sz w:val="32"/>
          <w:szCs w:val="32"/>
          <w:lang w:val="zh-CN"/>
        </w:rPr>
        <w:t>年初预算科学准确，实际完成情况与预期绩效目标基本一致，部门公务经费支出与年初预算基本一致。单位预算内支出进度达标</w:t>
      </w:r>
      <w:r>
        <w:rPr>
          <w:rFonts w:hint="eastAsia" w:ascii="仿宋" w:hAnsi="仿宋" w:eastAsia="仿宋" w:cs="仿宋"/>
          <w:sz w:val="32"/>
          <w:szCs w:val="32"/>
        </w:rPr>
        <w:t>，年底预算情况全部完成。部门决算、绩效目标</w:t>
      </w:r>
      <w:r>
        <w:rPr>
          <w:rFonts w:hint="eastAsia" w:ascii="仿宋" w:hAnsi="仿宋" w:eastAsia="仿宋" w:cs="仿宋"/>
          <w:sz w:val="32"/>
          <w:szCs w:val="32"/>
          <w:lang w:eastAsia="zh-CN"/>
        </w:rPr>
        <w:t>及</w:t>
      </w:r>
      <w:r>
        <w:rPr>
          <w:rFonts w:hint="eastAsia" w:ascii="仿宋" w:hAnsi="仿宋" w:eastAsia="仿宋" w:cs="仿宋"/>
          <w:sz w:val="32"/>
          <w:szCs w:val="32"/>
        </w:rPr>
        <w:t>年末结余结转严格按照县财政局的要求严格完成，无违规记录。</w:t>
      </w:r>
    </w:p>
    <w:p>
      <w:pPr>
        <w:tabs>
          <w:tab w:val="left" w:pos="0"/>
        </w:tabs>
        <w:ind w:left="420" w:leftChars="200"/>
        <w:rPr>
          <w:rFonts w:ascii="楷体_GB2312" w:eastAsia="楷体_GB2312"/>
          <w:b/>
          <w:sz w:val="32"/>
          <w:szCs w:val="32"/>
          <w:lang w:val="zh-CN"/>
        </w:rPr>
      </w:pPr>
      <w:r>
        <w:rPr>
          <w:rFonts w:hint="eastAsia" w:ascii="楷体_GB2312" w:eastAsia="楷体_GB2312"/>
          <w:b/>
          <w:sz w:val="32"/>
          <w:szCs w:val="32"/>
          <w:lang w:val="zh-CN"/>
        </w:rPr>
        <w:t>（二）结果应用情况。</w:t>
      </w:r>
    </w:p>
    <w:p>
      <w:pPr>
        <w:widowControl/>
        <w:adjustRightInd w:val="0"/>
        <w:snapToGrid w:val="0"/>
        <w:spacing w:line="580" w:lineRule="exact"/>
        <w:ind w:firstLine="960" w:firstLineChars="300"/>
        <w:contextualSpacing/>
        <w:jc w:val="left"/>
        <w:rPr>
          <w:rFonts w:ascii="仿宋" w:hAnsi="仿宋" w:eastAsia="仿宋" w:cs="仿宋"/>
          <w:sz w:val="32"/>
          <w:szCs w:val="32"/>
          <w:lang w:val="zh-CN"/>
        </w:rPr>
      </w:pPr>
      <w:r>
        <w:rPr>
          <w:rFonts w:hint="eastAsia" w:ascii="仿宋" w:hAnsi="仿宋" w:eastAsia="仿宋" w:cs="仿宋"/>
          <w:sz w:val="32"/>
          <w:szCs w:val="32"/>
          <w:lang w:val="zh-CN"/>
        </w:rPr>
        <w:t>我</w:t>
      </w:r>
      <w:r>
        <w:rPr>
          <w:rFonts w:hint="eastAsia" w:ascii="仿宋" w:hAnsi="仿宋" w:eastAsia="仿宋" w:cs="仿宋"/>
          <w:sz w:val="32"/>
          <w:szCs w:val="32"/>
        </w:rPr>
        <w:t>单位</w:t>
      </w:r>
      <w:r>
        <w:rPr>
          <w:rFonts w:hint="eastAsia" w:ascii="仿宋" w:hAnsi="仿宋" w:eastAsia="仿宋" w:cs="仿宋"/>
          <w:sz w:val="32"/>
          <w:szCs w:val="32"/>
          <w:lang w:val="zh-CN"/>
        </w:rPr>
        <w:t>按要求将相关绩效信息随同决算公开</w:t>
      </w:r>
      <w:r>
        <w:rPr>
          <w:rFonts w:hint="eastAsia" w:ascii="仿宋" w:hAnsi="仿宋" w:eastAsia="仿宋" w:cs="仿宋"/>
          <w:sz w:val="32"/>
          <w:szCs w:val="32"/>
        </w:rPr>
        <w:t xml:space="preserve"> ；针对绩效管理过程中（包括绩效目标核查、绩效监控核查和重点绩效评价）提出的问题及时进行整改，将绩效管理结果与预算安排进行；在规定时间内向财政部门反馈应用绩效结果报告。</w:t>
      </w:r>
    </w:p>
    <w:p>
      <w:pPr>
        <w:ind w:firstLine="640" w:firstLineChars="200"/>
        <w:rPr>
          <w:rFonts w:ascii="黑体" w:eastAsia="黑体"/>
          <w:sz w:val="32"/>
          <w:szCs w:val="32"/>
        </w:rPr>
      </w:pPr>
      <w:r>
        <w:rPr>
          <w:rFonts w:hint="eastAsia" w:ascii="黑体" w:eastAsia="黑体"/>
          <w:sz w:val="32"/>
          <w:szCs w:val="32"/>
        </w:rPr>
        <w:t>四、评价结论及建议</w:t>
      </w:r>
    </w:p>
    <w:p>
      <w:pPr>
        <w:tabs>
          <w:tab w:val="left" w:pos="0"/>
        </w:tabs>
        <w:ind w:left="420" w:leftChars="200"/>
        <w:rPr>
          <w:rFonts w:ascii="楷体_GB2312" w:eastAsia="楷体_GB2312"/>
          <w:b/>
          <w:sz w:val="32"/>
          <w:szCs w:val="32"/>
          <w:lang w:val="zh-CN"/>
        </w:rPr>
      </w:pPr>
      <w:r>
        <w:rPr>
          <w:rFonts w:hint="eastAsia" w:ascii="楷体_GB2312" w:eastAsia="楷体_GB2312"/>
          <w:b/>
          <w:sz w:val="32"/>
          <w:szCs w:val="32"/>
          <w:lang w:val="zh-CN"/>
        </w:rPr>
        <w:t>（一）评价结论</w:t>
      </w:r>
      <w:bookmarkStart w:id="74" w:name="_GoBack"/>
      <w:bookmarkEnd w:id="74"/>
    </w:p>
    <w:p>
      <w:pPr>
        <w:widowControl/>
        <w:adjustRightInd w:val="0"/>
        <w:snapToGrid w:val="0"/>
        <w:spacing w:line="580" w:lineRule="exact"/>
        <w:ind w:firstLine="960" w:firstLineChars="300"/>
        <w:contextualSpacing/>
        <w:jc w:val="left"/>
        <w:rPr>
          <w:rFonts w:ascii="仿宋" w:hAnsi="仿宋" w:eastAsia="仿宋" w:cs="仿宋"/>
          <w:sz w:val="32"/>
          <w:szCs w:val="32"/>
        </w:rPr>
      </w:pPr>
      <w:r>
        <w:rPr>
          <w:rFonts w:hint="eastAsia" w:ascii="仿宋" w:hAnsi="仿宋" w:eastAsia="仿宋" w:cs="仿宋"/>
          <w:sz w:val="32"/>
          <w:szCs w:val="32"/>
        </w:rPr>
        <w:t>我单位</w:t>
      </w:r>
      <w:r>
        <w:rPr>
          <w:rFonts w:hint="eastAsia" w:ascii="仿宋" w:hAnsi="仿宋" w:eastAsia="仿宋" w:cs="仿宋"/>
          <w:sz w:val="32"/>
          <w:szCs w:val="32"/>
          <w:lang w:val="zh-CN"/>
        </w:rPr>
        <w:t>预算执行情况良好，预算支出和决算支出基本情况相符，</w:t>
      </w:r>
      <w:r>
        <w:rPr>
          <w:rFonts w:hint="eastAsia" w:ascii="仿宋" w:hAnsi="仿宋" w:eastAsia="仿宋" w:cs="仿宋"/>
          <w:sz w:val="32"/>
          <w:szCs w:val="32"/>
        </w:rPr>
        <w:t>收支平衡，略有结余</w:t>
      </w:r>
      <w:r>
        <w:rPr>
          <w:rFonts w:hint="eastAsia" w:ascii="仿宋" w:hAnsi="仿宋" w:eastAsia="仿宋" w:cs="仿宋"/>
          <w:sz w:val="32"/>
          <w:szCs w:val="32"/>
          <w:lang w:val="zh-CN"/>
        </w:rPr>
        <w:t>。</w:t>
      </w:r>
      <w:r>
        <w:rPr>
          <w:rFonts w:hint="eastAsia" w:ascii="仿宋" w:hAnsi="仿宋" w:eastAsia="仿宋" w:cs="仿宋"/>
          <w:sz w:val="32"/>
          <w:szCs w:val="32"/>
        </w:rPr>
        <w:t>从预算到执行的各方面，都严格按照相关制度以及财政局的相关要求执行，</w:t>
      </w:r>
      <w:r>
        <w:rPr>
          <w:rFonts w:hint="eastAsia" w:ascii="仿宋" w:hAnsi="仿宋" w:eastAsia="仿宋" w:cs="仿宋"/>
          <w:sz w:val="32"/>
          <w:szCs w:val="32"/>
          <w:lang w:val="zh-CN"/>
        </w:rPr>
        <w:t>无不良记录及违规违纪行为。</w:t>
      </w:r>
    </w:p>
    <w:p>
      <w:pPr>
        <w:tabs>
          <w:tab w:val="left" w:pos="0"/>
        </w:tabs>
        <w:ind w:left="420" w:leftChars="200"/>
        <w:rPr>
          <w:rFonts w:ascii="楷体_GB2312" w:eastAsia="楷体_GB2312"/>
          <w:b/>
          <w:sz w:val="32"/>
          <w:szCs w:val="32"/>
          <w:lang w:val="zh-CN"/>
        </w:rPr>
      </w:pPr>
      <w:r>
        <w:rPr>
          <w:rFonts w:hint="eastAsia" w:ascii="楷体_GB2312" w:eastAsia="楷体_GB2312"/>
          <w:b/>
          <w:sz w:val="32"/>
          <w:szCs w:val="32"/>
          <w:lang w:val="zh-CN"/>
        </w:rPr>
        <w:t>（</w:t>
      </w:r>
      <w:r>
        <w:rPr>
          <w:rFonts w:hint="eastAsia" w:ascii="楷体_GB2312" w:eastAsia="楷体_GB2312"/>
          <w:b/>
          <w:sz w:val="32"/>
          <w:szCs w:val="32"/>
        </w:rPr>
        <w:t>二</w:t>
      </w:r>
      <w:r>
        <w:rPr>
          <w:rFonts w:hint="eastAsia" w:ascii="楷体_GB2312" w:eastAsia="楷体_GB2312"/>
          <w:b/>
          <w:sz w:val="32"/>
          <w:szCs w:val="32"/>
          <w:lang w:val="zh-CN"/>
        </w:rPr>
        <w:t>）存在问题</w:t>
      </w:r>
    </w:p>
    <w:p>
      <w:pPr>
        <w:widowControl/>
        <w:adjustRightInd w:val="0"/>
        <w:snapToGrid w:val="0"/>
        <w:spacing w:line="580" w:lineRule="exact"/>
        <w:ind w:firstLine="960" w:firstLineChars="300"/>
        <w:contextualSpacing/>
        <w:jc w:val="left"/>
        <w:rPr>
          <w:rFonts w:ascii="仿宋" w:hAnsi="仿宋" w:eastAsia="仿宋" w:cs="仿宋"/>
          <w:sz w:val="32"/>
          <w:szCs w:val="32"/>
        </w:rPr>
      </w:pPr>
      <w:r>
        <w:rPr>
          <w:rFonts w:hint="eastAsia" w:ascii="仿宋" w:hAnsi="仿宋" w:eastAsia="仿宋" w:cs="仿宋"/>
          <w:sz w:val="32"/>
          <w:szCs w:val="32"/>
          <w:lang w:val="zh-CN"/>
        </w:rPr>
        <w:t>预算编制前根据年度内单位可预见的工作任务，确定了单位年度预算目标，细化了预算指标，通过对我</w:t>
      </w:r>
      <w:r>
        <w:rPr>
          <w:rFonts w:hint="eastAsia" w:ascii="仿宋" w:hAnsi="仿宋" w:eastAsia="仿宋" w:cs="仿宋"/>
          <w:sz w:val="32"/>
          <w:szCs w:val="32"/>
        </w:rPr>
        <w:t>单位</w:t>
      </w:r>
      <w:r>
        <w:rPr>
          <w:rFonts w:hint="eastAsia" w:ascii="仿宋" w:hAnsi="仿宋" w:eastAsia="仿宋" w:cs="仿宋"/>
          <w:sz w:val="32"/>
          <w:szCs w:val="32"/>
          <w:lang w:val="zh-CN"/>
        </w:rPr>
        <w:t>整体支出情况的分析，反映出目前整体支出的预算编制、执行和管理过程中，</w:t>
      </w:r>
      <w:r>
        <w:rPr>
          <w:rFonts w:hint="eastAsia" w:ascii="仿宋" w:hAnsi="仿宋" w:eastAsia="仿宋" w:cs="仿宋"/>
          <w:sz w:val="32"/>
          <w:szCs w:val="32"/>
        </w:rPr>
        <w:t>主要存在两点不足。一是预算经费支出进度较缓；二是部门决算上报处理效率还需继续提升。</w:t>
      </w:r>
    </w:p>
    <w:p>
      <w:pPr>
        <w:tabs>
          <w:tab w:val="left" w:pos="0"/>
        </w:tabs>
        <w:ind w:left="420" w:leftChars="200"/>
        <w:rPr>
          <w:rFonts w:ascii="楷体_GB2312" w:eastAsia="楷体_GB2312"/>
          <w:b/>
          <w:sz w:val="32"/>
          <w:szCs w:val="32"/>
          <w:lang w:val="zh-CN"/>
        </w:rPr>
      </w:pPr>
      <w:r>
        <w:rPr>
          <w:rFonts w:hint="eastAsia" w:ascii="楷体_GB2312" w:eastAsia="楷体_GB2312"/>
          <w:b/>
          <w:sz w:val="32"/>
          <w:szCs w:val="32"/>
          <w:lang w:val="zh-CN"/>
        </w:rPr>
        <w:t>（</w:t>
      </w:r>
      <w:r>
        <w:rPr>
          <w:rFonts w:hint="eastAsia" w:ascii="楷体_GB2312" w:eastAsia="楷体_GB2312"/>
          <w:b/>
          <w:sz w:val="32"/>
          <w:szCs w:val="32"/>
        </w:rPr>
        <w:t>三</w:t>
      </w:r>
      <w:r>
        <w:rPr>
          <w:rFonts w:hint="eastAsia" w:ascii="楷体_GB2312" w:eastAsia="楷体_GB2312"/>
          <w:b/>
          <w:sz w:val="32"/>
          <w:szCs w:val="32"/>
          <w:lang w:val="zh-CN"/>
        </w:rPr>
        <w:t>）改进建议</w:t>
      </w:r>
    </w:p>
    <w:p>
      <w:pPr>
        <w:widowControl/>
        <w:adjustRightInd w:val="0"/>
        <w:snapToGrid w:val="0"/>
        <w:spacing w:line="580" w:lineRule="exact"/>
        <w:ind w:firstLine="960" w:firstLineChars="300"/>
        <w:contextualSpacing/>
        <w:jc w:val="left"/>
        <w:rPr>
          <w:rFonts w:ascii="仿宋" w:hAnsi="仿宋" w:eastAsia="仿宋" w:cs="仿宋"/>
          <w:sz w:val="32"/>
          <w:szCs w:val="32"/>
          <w:lang w:val="zh-CN"/>
        </w:rPr>
      </w:pPr>
      <w:r>
        <w:rPr>
          <w:rFonts w:hint="eastAsia" w:ascii="仿宋" w:hAnsi="仿宋" w:eastAsia="仿宋" w:cs="仿宋"/>
          <w:sz w:val="32"/>
          <w:szCs w:val="32"/>
          <w:lang w:val="zh-CN"/>
        </w:rPr>
        <w:t>加快完成机关财务管理规章制度建设、加强会计核算和财务管理能力，及时与财政局相关科室对接工作，提升工作效率。</w:t>
      </w:r>
    </w:p>
    <w:p>
      <w:pPr>
        <w:widowControl/>
        <w:adjustRightInd w:val="0"/>
        <w:snapToGrid w:val="0"/>
        <w:spacing w:line="580" w:lineRule="exact"/>
        <w:ind w:left="420" w:leftChars="200"/>
        <w:contextualSpacing/>
        <w:jc w:val="left"/>
        <w:rPr>
          <w:rFonts w:ascii="仿宋_GB2312" w:cs="宋体"/>
          <w:color w:val="000000"/>
          <w:kern w:val="0"/>
          <w:szCs w:val="32"/>
          <w:shd w:val="clear" w:color="auto" w:fill="FFFFFF"/>
          <w:lang w:val="zh-CN"/>
        </w:rPr>
      </w:pPr>
    </w:p>
    <w:p>
      <w:pPr>
        <w:spacing w:line="600" w:lineRule="exact"/>
        <w:outlineLvl w:val="0"/>
        <w:rPr>
          <w:rFonts w:ascii="仿宋" w:eastAsia="仿宋"/>
          <w:b/>
          <w:color w:val="000000"/>
          <w:sz w:val="44"/>
          <w:szCs w:val="44"/>
        </w:rPr>
      </w:pPr>
    </w:p>
    <w:p>
      <w:pPr>
        <w:spacing w:line="600" w:lineRule="exact"/>
        <w:jc w:val="center"/>
        <w:outlineLvl w:val="0"/>
        <w:rPr>
          <w:rFonts w:ascii="黑体" w:eastAsia="黑体"/>
          <w:color w:val="000000"/>
          <w:sz w:val="44"/>
          <w:szCs w:val="44"/>
        </w:rPr>
      </w:pPr>
      <w:bookmarkStart w:id="60" w:name="_Toc15396618"/>
      <w:bookmarkStart w:id="61" w:name="_Toc15396619"/>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Style w:val="17"/>
          <w:rFonts w:ascii="黑体" w:eastAsia="黑体"/>
          <w:b w:val="0"/>
        </w:rPr>
      </w:pPr>
      <w:r>
        <w:rPr>
          <w:rFonts w:hint="eastAsia" w:ascii="黑体" w:eastAsia="黑体"/>
          <w:color w:val="000000"/>
          <w:sz w:val="44"/>
          <w:szCs w:val="44"/>
        </w:rPr>
        <w:t>第</w:t>
      </w:r>
      <w:r>
        <w:rPr>
          <w:rStyle w:val="17"/>
          <w:rFonts w:hint="eastAsia" w:ascii="黑体" w:eastAsia="黑体"/>
          <w:b w:val="0"/>
        </w:rPr>
        <w:t>五部分 附表</w:t>
      </w:r>
      <w:bookmarkEnd w:id="60"/>
    </w:p>
    <w:p>
      <w:pPr>
        <w:pStyle w:val="4"/>
        <w:rPr>
          <w:rFonts w:ascii="仿宋" w:eastAsia="仿宋"/>
          <w:color w:val="000000"/>
        </w:rPr>
      </w:pPr>
      <w:r>
        <w:rPr>
          <w:rFonts w:hint="eastAsia" w:ascii="仿宋" w:eastAsia="仿宋"/>
          <w:b w:val="0"/>
          <w:color w:val="000000"/>
        </w:rPr>
        <w:t>一、收</w:t>
      </w:r>
      <w:r>
        <w:rPr>
          <w:rStyle w:val="18"/>
          <w:rFonts w:hint="eastAsia" w:ascii="仿宋" w:eastAsia="仿宋"/>
          <w:b w:val="0"/>
          <w:bCs w:val="0"/>
        </w:rPr>
        <w:t>入支出决算总表</w:t>
      </w:r>
      <w:bookmarkEnd w:id="61"/>
    </w:p>
    <w:p>
      <w:pPr>
        <w:pStyle w:val="4"/>
        <w:rPr>
          <w:rFonts w:ascii="仿宋" w:eastAsia="仿宋"/>
          <w:color w:val="000000"/>
        </w:rPr>
      </w:pPr>
      <w:bookmarkStart w:id="62" w:name="_Toc15396620"/>
      <w:r>
        <w:rPr>
          <w:rFonts w:hint="eastAsia" w:ascii="仿宋" w:eastAsia="仿宋"/>
          <w:b w:val="0"/>
          <w:color w:val="000000"/>
        </w:rPr>
        <w:t>二、收</w:t>
      </w:r>
      <w:r>
        <w:rPr>
          <w:rStyle w:val="18"/>
          <w:rFonts w:hint="eastAsia" w:ascii="仿宋" w:eastAsia="仿宋"/>
          <w:b w:val="0"/>
          <w:bCs w:val="0"/>
        </w:rPr>
        <w:t>入总表</w:t>
      </w:r>
      <w:bookmarkEnd w:id="62"/>
    </w:p>
    <w:p>
      <w:pPr>
        <w:pStyle w:val="4"/>
        <w:rPr>
          <w:rFonts w:ascii="仿宋" w:eastAsia="仿宋"/>
          <w:color w:val="000000"/>
        </w:rPr>
      </w:pPr>
      <w:bookmarkStart w:id="63" w:name="_Toc15396621"/>
      <w:r>
        <w:rPr>
          <w:rStyle w:val="18"/>
          <w:rFonts w:hint="eastAsia" w:ascii="仿宋" w:eastAsia="仿宋"/>
          <w:b w:val="0"/>
          <w:bCs w:val="0"/>
        </w:rPr>
        <w:t>三、</w:t>
      </w:r>
      <w:r>
        <w:rPr>
          <w:rFonts w:hint="eastAsia" w:ascii="仿宋" w:eastAsia="仿宋"/>
          <w:b w:val="0"/>
          <w:color w:val="000000"/>
        </w:rPr>
        <w:t>支</w:t>
      </w:r>
      <w:r>
        <w:rPr>
          <w:rStyle w:val="18"/>
          <w:rFonts w:hint="eastAsia" w:ascii="仿宋" w:eastAsia="仿宋"/>
          <w:b w:val="0"/>
          <w:bCs w:val="0"/>
        </w:rPr>
        <w:t>出总表</w:t>
      </w:r>
      <w:bookmarkEnd w:id="63"/>
    </w:p>
    <w:p>
      <w:pPr>
        <w:pStyle w:val="4"/>
        <w:rPr>
          <w:rFonts w:ascii="仿宋" w:eastAsia="仿宋"/>
          <w:b w:val="0"/>
          <w:color w:val="000000"/>
        </w:rPr>
      </w:pPr>
      <w:bookmarkStart w:id="64" w:name="_Toc15396622"/>
      <w:r>
        <w:rPr>
          <w:rStyle w:val="18"/>
          <w:rFonts w:hint="eastAsia" w:ascii="仿宋" w:eastAsia="仿宋"/>
          <w:b w:val="0"/>
          <w:bCs w:val="0"/>
        </w:rPr>
        <w:t>四、</w:t>
      </w:r>
      <w:r>
        <w:rPr>
          <w:rFonts w:hint="eastAsia" w:ascii="仿宋" w:eastAsia="仿宋"/>
          <w:b w:val="0"/>
          <w:color w:val="000000"/>
        </w:rPr>
        <w:t>财</w:t>
      </w:r>
      <w:r>
        <w:rPr>
          <w:rStyle w:val="18"/>
          <w:rFonts w:hint="eastAsia" w:ascii="仿宋" w:eastAsia="仿宋"/>
          <w:b w:val="0"/>
          <w:bCs w:val="0"/>
        </w:rPr>
        <w:t>政拨款收入支出决算总表</w:t>
      </w:r>
      <w:bookmarkEnd w:id="64"/>
    </w:p>
    <w:p>
      <w:pPr>
        <w:pStyle w:val="4"/>
        <w:rPr>
          <w:rFonts w:ascii="仿宋" w:eastAsia="仿宋"/>
          <w:color w:val="000000"/>
        </w:rPr>
      </w:pPr>
      <w:bookmarkStart w:id="65" w:name="_Toc15396623"/>
      <w:r>
        <w:rPr>
          <w:rStyle w:val="18"/>
          <w:rFonts w:hint="eastAsia" w:ascii="仿宋" w:eastAsia="仿宋"/>
          <w:b w:val="0"/>
          <w:bCs w:val="0"/>
        </w:rPr>
        <w:t>五、</w:t>
      </w:r>
      <w:r>
        <w:rPr>
          <w:rFonts w:hint="eastAsia" w:ascii="仿宋" w:eastAsia="仿宋"/>
          <w:b w:val="0"/>
          <w:color w:val="000000"/>
        </w:rPr>
        <w:t>财</w:t>
      </w:r>
      <w:r>
        <w:rPr>
          <w:rStyle w:val="18"/>
          <w:rFonts w:hint="eastAsia" w:ascii="仿宋" w:eastAsia="仿宋"/>
          <w:b w:val="0"/>
          <w:bCs w:val="0"/>
        </w:rPr>
        <w:t>政拨款支出决算明细表（政府经济分类科目）</w:t>
      </w:r>
      <w:bookmarkEnd w:id="65"/>
    </w:p>
    <w:p>
      <w:pPr>
        <w:pStyle w:val="4"/>
        <w:rPr>
          <w:rFonts w:ascii="仿宋" w:eastAsia="仿宋"/>
          <w:color w:val="000000"/>
        </w:rPr>
      </w:pPr>
      <w:bookmarkStart w:id="66" w:name="_Toc15396624"/>
      <w:r>
        <w:rPr>
          <w:rStyle w:val="18"/>
          <w:rFonts w:hint="eastAsia" w:ascii="仿宋" w:eastAsia="仿宋"/>
          <w:b w:val="0"/>
          <w:bCs w:val="0"/>
        </w:rPr>
        <w:t>六、</w:t>
      </w:r>
      <w:r>
        <w:rPr>
          <w:rFonts w:hint="eastAsia" w:ascii="仿宋" w:eastAsia="仿宋"/>
          <w:b w:val="0"/>
          <w:color w:val="000000"/>
        </w:rPr>
        <w:t>一</w:t>
      </w:r>
      <w:r>
        <w:rPr>
          <w:rStyle w:val="18"/>
          <w:rFonts w:hint="eastAsia" w:ascii="仿宋" w:eastAsia="仿宋"/>
          <w:b w:val="0"/>
          <w:bCs w:val="0"/>
        </w:rPr>
        <w:t>般公共预算财政拨款支出决算表</w:t>
      </w:r>
      <w:bookmarkEnd w:id="66"/>
    </w:p>
    <w:p>
      <w:pPr>
        <w:pStyle w:val="4"/>
        <w:rPr>
          <w:rFonts w:ascii="仿宋" w:eastAsia="仿宋"/>
          <w:color w:val="000000"/>
        </w:rPr>
      </w:pPr>
      <w:bookmarkStart w:id="67" w:name="_Toc15396625"/>
      <w:r>
        <w:rPr>
          <w:rStyle w:val="18"/>
          <w:rFonts w:hint="eastAsia" w:ascii="仿宋" w:eastAsia="仿宋"/>
          <w:b w:val="0"/>
          <w:bCs w:val="0"/>
        </w:rPr>
        <w:t>七、</w:t>
      </w:r>
      <w:r>
        <w:rPr>
          <w:rFonts w:hint="eastAsia" w:ascii="仿宋" w:eastAsia="仿宋"/>
          <w:b w:val="0"/>
          <w:color w:val="000000"/>
        </w:rPr>
        <w:t>一</w:t>
      </w:r>
      <w:r>
        <w:rPr>
          <w:rStyle w:val="18"/>
          <w:rFonts w:hint="eastAsia" w:ascii="仿宋" w:eastAsia="仿宋"/>
          <w:b w:val="0"/>
          <w:bCs w:val="0"/>
        </w:rPr>
        <w:t>般公共预算财政拨款支出决算明细表</w:t>
      </w:r>
      <w:bookmarkEnd w:id="67"/>
    </w:p>
    <w:p>
      <w:pPr>
        <w:pStyle w:val="4"/>
        <w:rPr>
          <w:rFonts w:ascii="仿宋" w:eastAsia="仿宋"/>
          <w:color w:val="000000"/>
        </w:rPr>
      </w:pPr>
      <w:bookmarkStart w:id="68" w:name="_Toc15396626"/>
      <w:r>
        <w:rPr>
          <w:rStyle w:val="18"/>
          <w:rFonts w:hint="eastAsia" w:ascii="仿宋" w:eastAsia="仿宋"/>
          <w:b w:val="0"/>
          <w:bCs w:val="0"/>
        </w:rPr>
        <w:t>八、</w:t>
      </w:r>
      <w:r>
        <w:rPr>
          <w:rFonts w:hint="eastAsia" w:ascii="仿宋" w:eastAsia="仿宋"/>
          <w:b w:val="0"/>
          <w:color w:val="000000"/>
        </w:rPr>
        <w:t>一</w:t>
      </w:r>
      <w:r>
        <w:rPr>
          <w:rStyle w:val="18"/>
          <w:rFonts w:hint="eastAsia" w:ascii="仿宋" w:eastAsia="仿宋"/>
          <w:b w:val="0"/>
          <w:bCs w:val="0"/>
        </w:rPr>
        <w:t>般公共预算财政拨款基本支出决算表</w:t>
      </w:r>
      <w:bookmarkEnd w:id="68"/>
    </w:p>
    <w:p>
      <w:pPr>
        <w:pStyle w:val="4"/>
        <w:rPr>
          <w:rFonts w:ascii="仿宋" w:eastAsia="仿宋"/>
          <w:color w:val="000000"/>
        </w:rPr>
      </w:pPr>
      <w:bookmarkStart w:id="69" w:name="_Toc15396627"/>
      <w:r>
        <w:rPr>
          <w:rStyle w:val="18"/>
          <w:rFonts w:hint="eastAsia" w:ascii="仿宋" w:eastAsia="仿宋"/>
          <w:b w:val="0"/>
          <w:bCs w:val="0"/>
        </w:rPr>
        <w:t>九、</w:t>
      </w:r>
      <w:r>
        <w:rPr>
          <w:rFonts w:hint="eastAsia" w:ascii="仿宋" w:eastAsia="仿宋"/>
          <w:b w:val="0"/>
          <w:color w:val="000000"/>
        </w:rPr>
        <w:t>一</w:t>
      </w:r>
      <w:r>
        <w:rPr>
          <w:rStyle w:val="18"/>
          <w:rFonts w:hint="eastAsia" w:ascii="仿宋" w:eastAsia="仿宋"/>
          <w:b w:val="0"/>
          <w:bCs w:val="0"/>
        </w:rPr>
        <w:t>般公共预算财政拨款项目支出决算表</w:t>
      </w:r>
      <w:bookmarkEnd w:id="69"/>
    </w:p>
    <w:p>
      <w:pPr>
        <w:pStyle w:val="4"/>
        <w:rPr>
          <w:rFonts w:ascii="仿宋" w:eastAsia="仿宋"/>
          <w:color w:val="000000"/>
        </w:rPr>
      </w:pPr>
      <w:bookmarkStart w:id="70" w:name="_Toc15396628"/>
      <w:r>
        <w:rPr>
          <w:rStyle w:val="18"/>
          <w:rFonts w:hint="eastAsia" w:ascii="仿宋" w:eastAsia="仿宋"/>
          <w:b w:val="0"/>
          <w:bCs w:val="0"/>
        </w:rPr>
        <w:t>十、</w:t>
      </w:r>
      <w:r>
        <w:rPr>
          <w:rFonts w:hint="eastAsia" w:ascii="仿宋" w:eastAsia="仿宋"/>
          <w:b w:val="0"/>
          <w:color w:val="000000"/>
        </w:rPr>
        <w:t>一</w:t>
      </w:r>
      <w:r>
        <w:rPr>
          <w:rStyle w:val="18"/>
          <w:rFonts w:hint="eastAsia" w:ascii="仿宋" w:eastAsia="仿宋"/>
          <w:b w:val="0"/>
          <w:bCs w:val="0"/>
        </w:rPr>
        <w:t>般公共预算财政拨款“三公”经费支出决算表</w:t>
      </w:r>
      <w:bookmarkEnd w:id="70"/>
    </w:p>
    <w:p>
      <w:pPr>
        <w:pStyle w:val="4"/>
        <w:rPr>
          <w:rFonts w:ascii="仿宋" w:eastAsia="仿宋"/>
          <w:color w:val="000000"/>
        </w:rPr>
      </w:pPr>
      <w:bookmarkStart w:id="71" w:name="_Toc15396629"/>
      <w:r>
        <w:rPr>
          <w:rStyle w:val="18"/>
          <w:rFonts w:hint="eastAsia" w:ascii="仿宋" w:eastAsia="仿宋"/>
          <w:b w:val="0"/>
          <w:bCs w:val="0"/>
        </w:rPr>
        <w:t>十一、</w:t>
      </w:r>
      <w:r>
        <w:rPr>
          <w:rFonts w:hint="eastAsia" w:ascii="仿宋" w:eastAsia="仿宋"/>
          <w:b w:val="0"/>
          <w:color w:val="000000"/>
        </w:rPr>
        <w:t>政</w:t>
      </w:r>
      <w:r>
        <w:rPr>
          <w:rStyle w:val="18"/>
          <w:rFonts w:hint="eastAsia" w:ascii="仿宋" w:eastAsia="仿宋"/>
          <w:b w:val="0"/>
          <w:bCs w:val="0"/>
        </w:rPr>
        <w:t>府性基金预算财政拨款收入支出决算表</w:t>
      </w:r>
      <w:bookmarkEnd w:id="71"/>
    </w:p>
    <w:p>
      <w:pPr>
        <w:pStyle w:val="4"/>
        <w:rPr>
          <w:rFonts w:ascii="仿宋" w:eastAsia="仿宋"/>
          <w:color w:val="000000"/>
        </w:rPr>
      </w:pPr>
      <w:bookmarkStart w:id="72" w:name="_Toc15396630"/>
      <w:r>
        <w:rPr>
          <w:rStyle w:val="18"/>
          <w:rFonts w:hint="eastAsia" w:ascii="仿宋" w:eastAsia="仿宋"/>
          <w:b w:val="0"/>
          <w:bCs w:val="0"/>
        </w:rPr>
        <w:t>十二、</w:t>
      </w:r>
      <w:r>
        <w:rPr>
          <w:rFonts w:hint="eastAsia" w:ascii="仿宋" w:eastAsia="仿宋"/>
          <w:b w:val="0"/>
          <w:color w:val="000000"/>
        </w:rPr>
        <w:t>政</w:t>
      </w:r>
      <w:r>
        <w:rPr>
          <w:rStyle w:val="18"/>
          <w:rFonts w:hint="eastAsia" w:ascii="仿宋" w:eastAsia="仿宋"/>
          <w:b w:val="0"/>
          <w:bCs w:val="0"/>
        </w:rPr>
        <w:t>府性基金预算财政拨款“三公”经费支出决算表</w:t>
      </w:r>
      <w:bookmarkEnd w:id="72"/>
    </w:p>
    <w:p>
      <w:pPr>
        <w:pStyle w:val="4"/>
        <w:rPr>
          <w:rFonts w:ascii="仿宋" w:eastAsia="仿宋"/>
          <w:color w:val="000000"/>
        </w:rPr>
      </w:pPr>
      <w:bookmarkStart w:id="73" w:name="_Toc15396631"/>
      <w:r>
        <w:rPr>
          <w:rStyle w:val="18"/>
          <w:rFonts w:hint="eastAsia" w:ascii="仿宋" w:eastAsia="仿宋"/>
          <w:b w:val="0"/>
          <w:bCs w:val="0"/>
        </w:rPr>
        <w:t>十三、</w:t>
      </w:r>
      <w:r>
        <w:rPr>
          <w:rFonts w:hint="eastAsia" w:ascii="仿宋" w:eastAsia="仿宋"/>
          <w:b w:val="0"/>
          <w:color w:val="000000"/>
        </w:rPr>
        <w:t>国</w:t>
      </w:r>
      <w:r>
        <w:rPr>
          <w:rStyle w:val="18"/>
          <w:rFonts w:hint="eastAsia" w:ascii="仿宋" w:eastAsia="仿宋"/>
          <w:b w:val="0"/>
          <w:bCs w:val="0"/>
        </w:rPr>
        <w:t>有资本经营预算支出决算表</w:t>
      </w:r>
      <w:bookmarkEnd w:id="73"/>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DejaVu Sans">
    <w:altName w:val="Segoe Print"/>
    <w:panose1 w:val="00000000000000000000"/>
    <w:charset w:val="00"/>
    <w:family w:val="roman"/>
    <w:pitch w:val="default"/>
    <w:sig w:usb0="00000000" w:usb1="00000000" w:usb2="0A246029" w:usb3="0400200C" w:csb0="600001FF" w:csb1="DFFF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00" w:usb3="00000000" w:csb0="00040000" w:csb1="0000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0000000000000000000"/>
    <w:charset w:val="01"/>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Quick Parts"/>
      </w:docPartList>
    </w:sdtPr>
    <w:sdtContent>
      <w:p>
        <w:pPr>
          <w:pStyle w:val="9"/>
          <w:jc w:val="center"/>
        </w:pPr>
        <w:r>
          <w:fldChar w:fldCharType="begin"/>
        </w:r>
        <w:r>
          <w:instrText xml:space="preserve">PAGE   \* MERGEFORMAT</w:instrText>
        </w:r>
        <w:r>
          <w:fldChar w:fldCharType="separate"/>
        </w:r>
        <w:r>
          <w:rPr>
            <w:lang w:val="zh-CN"/>
          </w:rPr>
          <w:t>14</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3">
    <w:nsid w:val="63E78AEE"/>
    <w:multiLevelType w:val="singleLevel"/>
    <w:tmpl w:val="63E78AEE"/>
    <w:lvl w:ilvl="0" w:tentative="0">
      <w:start w:val="1"/>
      <w:numFmt w:val="chineseCounting"/>
      <w:suff w:val="nothing"/>
      <w:lvlText w:val="（%1）"/>
      <w:lvlJc w:val="left"/>
      <w:pPr>
        <w:tabs>
          <w:tab w:val="left" w:pos="0"/>
        </w:tabs>
        <w:ind w:left="0" w:firstLine="0"/>
      </w:pPr>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dit="readOnly" w:enforcement="0"/>
  <w:defaultTabStop w:val="420"/>
  <w:drawingGridHorizontalSpacing w:val="105"/>
  <w:drawingGridVerticalSpacing w:val="156"/>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9F6A0C"/>
    <w:rsid w:val="00377039"/>
    <w:rsid w:val="00535437"/>
    <w:rsid w:val="009F6A0C"/>
    <w:rsid w:val="02A6767B"/>
    <w:rsid w:val="02AB4B2F"/>
    <w:rsid w:val="0B3C597C"/>
    <w:rsid w:val="0EF475AF"/>
    <w:rsid w:val="0F4E58D4"/>
    <w:rsid w:val="18811BFE"/>
    <w:rsid w:val="27981F71"/>
    <w:rsid w:val="3BA93B78"/>
    <w:rsid w:val="3C662E76"/>
    <w:rsid w:val="3E023C85"/>
    <w:rsid w:val="4D111B95"/>
    <w:rsid w:val="55455330"/>
    <w:rsid w:val="5F461684"/>
    <w:rsid w:val="6FD35FB8"/>
    <w:rsid w:val="6FEC500D"/>
    <w:rsid w:val="7D912A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7"/>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8"/>
    <w:qFormat/>
    <w:uiPriority w:val="0"/>
    <w:pPr>
      <w:keepNext/>
      <w:keepLines/>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spacing w:before="260" w:after="260" w:line="415" w:lineRule="auto"/>
      <w:outlineLvl w:val="2"/>
    </w:pPr>
    <w:rPr>
      <w:b/>
      <w:bCs/>
      <w:sz w:val="32"/>
      <w:szCs w:val="32"/>
    </w:rPr>
  </w:style>
  <w:style w:type="character" w:default="1" w:styleId="14">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Subtitle"/>
    <w:basedOn w:val="1"/>
    <w:qFormat/>
    <w:uiPriority w:val="11"/>
    <w:pPr>
      <w:spacing w:before="240" w:after="60" w:line="312" w:lineRule="auto"/>
      <w:jc w:val="center"/>
      <w:outlineLvl w:val="1"/>
    </w:pPr>
    <w:rPr>
      <w:rFonts w:ascii="DejaVu Sans" w:hAnsi="DejaVu Sans"/>
      <w:b/>
      <w:kern w:val="28"/>
    </w:rPr>
  </w:style>
  <w:style w:type="paragraph" w:styleId="6">
    <w:name w:val="Body Text"/>
    <w:basedOn w:val="1"/>
    <w:qFormat/>
    <w:uiPriority w:val="0"/>
    <w:pPr>
      <w:spacing w:beforeLines="30"/>
    </w:pPr>
    <w:rPr>
      <w:rFonts w:ascii="仿宋_GB2312" w:eastAsia="仿宋_GB2312"/>
      <w:kern w:val="0"/>
      <w:sz w:val="3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oc 2"/>
    <w:basedOn w:val="1"/>
    <w:next w:val="1"/>
    <w:qFormat/>
    <w:uiPriority w:val="0"/>
    <w:pPr>
      <w:tabs>
        <w:tab w:val="right" w:leader="dot" w:pos="8296"/>
      </w:tabs>
      <w:ind w:left="200" w:leftChars="200"/>
    </w:p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customStyle="1" w:styleId="17">
    <w:name w:val="标题 1 Char"/>
    <w:basedOn w:val="14"/>
    <w:link w:val="3"/>
    <w:qFormat/>
    <w:uiPriority w:val="0"/>
    <w:rPr>
      <w:rFonts w:ascii="Times New Roman" w:hAnsi="Times New Roman" w:eastAsia="宋体" w:cs="Times New Roman"/>
      <w:b/>
      <w:bCs/>
      <w:kern w:val="44"/>
      <w:sz w:val="44"/>
      <w:szCs w:val="44"/>
      <w:lang w:val="en-US" w:eastAsia="zh-CN" w:bidi="ar-SA"/>
    </w:rPr>
  </w:style>
  <w:style w:type="character" w:customStyle="1" w:styleId="18">
    <w:name w:val="标题 2 Char"/>
    <w:basedOn w:val="14"/>
    <w:link w:val="4"/>
    <w:qFormat/>
    <w:uiPriority w:val="0"/>
    <w:rPr>
      <w:rFonts w:ascii="Cambria" w:hAnsi="Cambria" w:eastAsia="宋体" w:cs="Times New Roman"/>
      <w:b/>
      <w:bCs/>
      <w:kern w:val="2"/>
      <w:sz w:val="32"/>
      <w:szCs w:val="32"/>
      <w:lang w:val="en-US" w:eastAsia="zh-CN" w:bidi="ar-SA"/>
    </w:rPr>
  </w:style>
  <w:style w:type="character" w:customStyle="1" w:styleId="19">
    <w:name w:val="Header Char"/>
    <w:basedOn w:val="14"/>
    <w:qFormat/>
    <w:uiPriority w:val="0"/>
    <w:rPr>
      <w:rFonts w:ascii="Times New Roman" w:hAnsi="Times New Roman"/>
      <w:sz w:val="18"/>
      <w:szCs w:val="18"/>
    </w:rPr>
  </w:style>
  <w:style w:type="character" w:customStyle="1" w:styleId="20">
    <w:name w:val="Footer Char"/>
    <w:basedOn w:val="14"/>
    <w:qFormat/>
    <w:uiPriority w:val="0"/>
    <w:rPr>
      <w:rFonts w:ascii="Times New Roman" w:hAnsi="Times New Roman"/>
      <w:sz w:val="18"/>
      <w:szCs w:val="18"/>
    </w:rPr>
  </w:style>
  <w:style w:type="character" w:customStyle="1" w:styleId="21">
    <w:name w:val="Body Text Char"/>
    <w:basedOn w:val="14"/>
    <w:qFormat/>
    <w:uiPriority w:val="0"/>
    <w:rPr>
      <w:rFonts w:ascii="Times New Roman" w:hAnsi="Times New Roman"/>
      <w:szCs w:val="24"/>
    </w:rPr>
  </w:style>
  <w:style w:type="paragraph" w:customStyle="1" w:styleId="22">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3">
    <w:name w:val="List Paragraph"/>
    <w:basedOn w:val="1"/>
    <w:qFormat/>
    <w:uiPriority w:val="0"/>
    <w:pPr>
      <w:ind w:firstLine="200" w:firstLineChars="200"/>
    </w:pPr>
  </w:style>
  <w:style w:type="paragraph" w:customStyle="1" w:styleId="24">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收、支决算结构图</a:t>
            </a:r>
            <a:endParaRPr lang="zh-CN"/>
          </a:p>
        </c:rich>
      </c:tx>
      <c:layout/>
      <c:overlay val="0"/>
      <c:spPr>
        <a:noFill/>
        <a:ln>
          <a:noFill/>
        </a:ln>
      </c:spPr>
    </c:title>
    <c:autoTitleDeleted val="0"/>
    <c:plotArea>
      <c:layout>
        <c:manualLayout>
          <c:layoutTarget val="inner"/>
          <c:xMode val="edge"/>
          <c:yMode val="edge"/>
          <c:x val="0.06951553"/>
          <c:y val="0.22913043"/>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solidFill>
            <a:ln>
              <a:noFill/>
            </a:ln>
          </c:spPr>
          <c:invertIfNegative val="0"/>
          <c:dLbls>
            <c:delete val="1"/>
          </c:dLbls>
          <c:cat>
            <c:strRef>
              <c:f>Sheet1!$A$2:$A$3</c:f>
              <c:strCache>
                <c:ptCount val="2"/>
                <c:pt idx="0">
                  <c:v>2019年 </c:v>
                </c:pt>
                <c:pt idx="1">
                  <c:v>2020年</c:v>
                </c:pt>
              </c:strCache>
            </c:strRef>
          </c:cat>
          <c:val>
            <c:numRef>
              <c:f>Sheet1!$B$2:$B$3</c:f>
              <c:numCache>
                <c:formatCode>General</c:formatCode>
                <c:ptCount val="2"/>
                <c:pt idx="0">
                  <c:v>112.83</c:v>
                </c:pt>
                <c:pt idx="1">
                  <c:v>166.18</c:v>
                </c:pt>
              </c:numCache>
            </c:numRef>
          </c:val>
        </c:ser>
        <c:ser>
          <c:idx val="1"/>
          <c:order val="1"/>
          <c:tx>
            <c:strRef>
              <c:f>Sheet1!$C$1</c:f>
              <c:strCache>
                <c:ptCount val="1"/>
                <c:pt idx="0">
                  <c:v>总支出</c:v>
                </c:pt>
              </c:strCache>
            </c:strRef>
          </c:tx>
          <c:spPr>
            <a:solidFill>
              <a:srgbClr val="C0504D"/>
            </a:solidFill>
            <a:ln>
              <a:noFill/>
            </a:ln>
          </c:spPr>
          <c:invertIfNegative val="0"/>
          <c:dLbls>
            <c:delete val="1"/>
          </c:dLbls>
          <c:cat>
            <c:strRef>
              <c:f>Sheet1!$A$2:$A$3</c:f>
              <c:strCache>
                <c:ptCount val="2"/>
                <c:pt idx="0">
                  <c:v>2019年 </c:v>
                </c:pt>
                <c:pt idx="1">
                  <c:v>2020年</c:v>
                </c:pt>
              </c:strCache>
            </c:strRef>
          </c:cat>
          <c:val>
            <c:numRef>
              <c:f>Sheet1!$C$2:$C$3</c:f>
              <c:numCache>
                <c:formatCode>General</c:formatCode>
                <c:ptCount val="2"/>
                <c:pt idx="0">
                  <c:v>354.36</c:v>
                </c:pt>
                <c:pt idx="1">
                  <c:v>147.18</c:v>
                </c:pt>
              </c:numCache>
            </c:numRef>
          </c:val>
        </c:ser>
        <c:dLbls>
          <c:showLegendKey val="0"/>
          <c:showVal val="0"/>
          <c:showCatName val="0"/>
          <c:showSerName val="0"/>
          <c:showPercent val="0"/>
          <c:showBubbleSize val="0"/>
        </c:dLbls>
        <c:gapWidth val="219"/>
        <c:overlap val="-27"/>
        <c:axId val="124496512"/>
        <c:axId val="124502400"/>
      </c:barChart>
      <c:catAx>
        <c:axId val="124496512"/>
        <c:scaling>
          <c:orientation val="minMax"/>
        </c:scaling>
        <c:delete val="0"/>
        <c:axPos val="b"/>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24502400"/>
        <c:crosses val="autoZero"/>
        <c:auto val="1"/>
        <c:lblAlgn val="ctr"/>
        <c:lblOffset val="100"/>
        <c:noMultiLvlLbl val="0"/>
      </c:catAx>
      <c:valAx>
        <c:axId val="124502400"/>
        <c:scaling>
          <c:orientation val="minMax"/>
          <c:max val="4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24496512"/>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pt idx="1">
                  <c:v>其他收入</c:v>
                </c:pt>
              </c:strCache>
            </c:strRef>
          </c:cat>
          <c:val>
            <c:numRef>
              <c:f>'Sheet1 (2)'!$B$2:$B$3</c:f>
              <c:numCache>
                <c:formatCode>General</c:formatCode>
                <c:ptCount val="2"/>
                <c:pt idx="0">
                  <c:v>166.18</c:v>
                </c:pt>
                <c:pt idx="1">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manualLayout>
                  <c:x val="-0.031990968"/>
                  <c:y val="-0.1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146.92</c:v>
                </c:pt>
                <c:pt idx="1">
                  <c:v>0.26</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0"/>
          <c:order val="0"/>
          <c:tx>
            <c:strRef>
              <c:f>'Sheet1 (4)'!$A$2</c:f>
              <c:strCache>
                <c:ptCount val="1"/>
                <c:pt idx="0">
                  <c:v>2019年 </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112.83</c:v>
                </c:pt>
                <c:pt idx="1">
                  <c:v>354.36</c:v>
                </c:pt>
              </c:numCache>
            </c:numRef>
          </c:val>
        </c:ser>
        <c:ser>
          <c:idx val="1"/>
          <c:order val="1"/>
          <c:tx>
            <c:strRef>
              <c:f>'Sheet1 (4)'!$A$3</c:f>
              <c:strCache>
                <c:ptCount val="1"/>
                <c:pt idx="0">
                  <c:v>2020年</c:v>
                </c:pt>
              </c:strCache>
            </c:strRef>
          </c:tx>
          <c:spPr>
            <a:solidFill>
              <a:srgbClr val="C0504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166.18</c:v>
                </c:pt>
                <c:pt idx="1">
                  <c:v>147.18</c:v>
                </c:pt>
              </c:numCache>
            </c:numRef>
          </c:val>
        </c:ser>
        <c:dLbls>
          <c:showLegendKey val="0"/>
          <c:showVal val="1"/>
          <c:showCatName val="0"/>
          <c:showSerName val="0"/>
          <c:showPercent val="0"/>
          <c:showBubbleSize val="0"/>
        </c:dLbls>
        <c:gapWidth val="219"/>
        <c:overlap val="-27"/>
        <c:axId val="125604992"/>
        <c:axId val="125606528"/>
      </c:barChart>
      <c:catAx>
        <c:axId val="125604992"/>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25606528"/>
        <c:crosses val="autoZero"/>
        <c:auto val="1"/>
        <c:lblAlgn val="ctr"/>
        <c:lblOffset val="100"/>
        <c:noMultiLvlLbl val="0"/>
      </c:catAx>
      <c:valAx>
        <c:axId val="125606528"/>
        <c:scaling>
          <c:orientation val="minMax"/>
          <c:max val="4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25604992"/>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一般公共预算财政拨款支出决算变动情况</a:t>
            </a:r>
            <a:endParaRPr lang="zh-CN"/>
          </a:p>
        </c:rich>
      </c:tx>
      <c:layout/>
      <c:overlay val="0"/>
      <c:spPr>
        <a:noFill/>
        <a:ln>
          <a:noFill/>
        </a:ln>
      </c:spPr>
    </c:title>
    <c:autoTitleDeleted val="0"/>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2019年</c:v>
                </c:pt>
                <c:pt idx="1">
                  <c:v>2020年</c:v>
                </c:pt>
              </c:strCache>
            </c:strRef>
          </c:cat>
          <c:val>
            <c:numRef>
              <c:f>'Sheet1 (5)'!$B$2:$B$3</c:f>
              <c:numCache>
                <c:formatCode>General</c:formatCode>
                <c:ptCount val="2"/>
                <c:pt idx="0">
                  <c:v>354.36</c:v>
                </c:pt>
                <c:pt idx="1">
                  <c:v>147.18</c:v>
                </c:pt>
              </c:numCache>
            </c:numRef>
          </c:val>
        </c:ser>
        <c:dLbls>
          <c:showLegendKey val="0"/>
          <c:showVal val="1"/>
          <c:showCatName val="0"/>
          <c:showSerName val="0"/>
          <c:showPercent val="0"/>
          <c:showBubbleSize val="0"/>
        </c:dLbls>
        <c:gapWidth val="219"/>
        <c:overlap val="-27"/>
        <c:axId val="125701120"/>
        <c:axId val="125715200"/>
      </c:barChart>
      <c:catAx>
        <c:axId val="12570112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25715200"/>
        <c:crosses val="autoZero"/>
        <c:auto val="1"/>
        <c:lblAlgn val="ctr"/>
        <c:lblOffset val="100"/>
        <c:noMultiLvlLbl val="0"/>
      </c:catAx>
      <c:valAx>
        <c:axId val="125715200"/>
        <c:scaling>
          <c:orientation val="minMax"/>
          <c:max val="4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2570112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一般公共预算财政拨款支出决算结构</a:t>
            </a:r>
            <a:endParaRPr lang="zh-CN"/>
          </a:p>
        </c:rich>
      </c:tx>
      <c:layout/>
      <c:overlay val="0"/>
      <c:spPr>
        <a:noFill/>
        <a:ln>
          <a:noFill/>
        </a:ln>
      </c:spPr>
    </c:title>
    <c:autoTitleDeleted val="0"/>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dLbl>
              <c:idx val="1"/>
              <c:layout>
                <c:manualLayout>
                  <c:x val="-0.020973645"/>
                  <c:y val="0.044190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3778876"/>
                  <c:y val="0.00496570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7582776"/>
                  <c:y val="-0.0416903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(6)'!$A$2:$A$5</c:f>
              <c:strCache>
                <c:ptCount val="4"/>
                <c:pt idx="0">
                  <c:v>社会保障和就业</c:v>
                </c:pt>
                <c:pt idx="1">
                  <c:v>卫生健康支出</c:v>
                </c:pt>
                <c:pt idx="2">
                  <c:v>商业服务业等支出</c:v>
                </c:pt>
                <c:pt idx="3">
                  <c:v>住房保障支出</c:v>
                </c:pt>
              </c:strCache>
            </c:strRef>
          </c:cat>
          <c:val>
            <c:numRef>
              <c:f>'Sheet1 (6)'!$B$2:$B$5</c:f>
              <c:numCache>
                <c:formatCode>General</c:formatCode>
                <c:ptCount val="4"/>
                <c:pt idx="0">
                  <c:v>11.49</c:v>
                </c:pt>
                <c:pt idx="1">
                  <c:v>6.79</c:v>
                </c:pt>
                <c:pt idx="2">
                  <c:v>120.65</c:v>
                </c:pt>
                <c:pt idx="3">
                  <c:v>8.26</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1722D8A-6DA5-466E-8A63-7856C545888C}">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19</Pages>
  <Words>1078</Words>
  <Characters>6150</Characters>
  <Lines>51</Lines>
  <Paragraphs>14</Paragraphs>
  <TotalTime>4</TotalTime>
  <ScaleCrop>false</ScaleCrop>
  <LinksUpToDate>false</LinksUpToDate>
  <CharactersWithSpaces>7214</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平淡无奇</cp:lastModifiedBy>
  <cp:lastPrinted>2021-09-22T09:30:00Z</cp:lastPrinted>
  <dcterms:modified xsi:type="dcterms:W3CDTF">2021-09-30T03:02:05Z</dcterms:modified>
  <dc:title>四川省***</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B37D34247B55429F818335A54158FEC2</vt:lpwstr>
  </property>
</Properties>
</file>