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jc w:val="center"/>
        <w:rPr>
          <w:rStyle w:val="6"/>
          <w:rFonts w:ascii="黑体" w:hAnsi="黑体" w:eastAsia="黑体"/>
          <w:sz w:val="44"/>
          <w:szCs w:val="44"/>
        </w:rPr>
      </w:pPr>
    </w:p>
    <w:p>
      <w:pPr>
        <w:snapToGrid w:val="0"/>
        <w:jc w:val="center"/>
        <w:rPr>
          <w:rStyle w:val="6"/>
          <w:rFonts w:ascii="黑体" w:hAnsi="黑体" w:eastAsia="黑体"/>
          <w:sz w:val="44"/>
          <w:szCs w:val="44"/>
        </w:rPr>
      </w:pPr>
    </w:p>
    <w:p>
      <w:pPr>
        <w:snapToGrid w:val="0"/>
        <w:jc w:val="center"/>
        <w:rPr>
          <w:rStyle w:val="6"/>
          <w:rFonts w:ascii="黑体" w:hAnsi="黑体" w:eastAsia="黑体"/>
          <w:sz w:val="44"/>
          <w:szCs w:val="44"/>
        </w:rPr>
      </w:pPr>
    </w:p>
    <w:p>
      <w:pPr>
        <w:snapToGrid w:val="0"/>
        <w:spacing w:line="360" w:lineRule="auto"/>
        <w:jc w:val="center"/>
        <w:rPr>
          <w:rStyle w:val="6"/>
          <w:rFonts w:ascii="黑体" w:hAnsi="黑体" w:eastAsia="黑体"/>
          <w:color w:val="000000"/>
          <w:sz w:val="72"/>
          <w:szCs w:val="72"/>
        </w:rPr>
      </w:pPr>
    </w:p>
    <w:p>
      <w:pPr>
        <w:snapToGrid w:val="0"/>
        <w:spacing w:line="360" w:lineRule="auto"/>
        <w:jc w:val="center"/>
        <w:rPr>
          <w:rStyle w:val="6"/>
          <w:rFonts w:ascii="黑体" w:hAnsi="黑体" w:eastAsia="黑体"/>
          <w:color w:val="000000"/>
          <w:sz w:val="72"/>
          <w:szCs w:val="72"/>
        </w:rPr>
      </w:pPr>
    </w:p>
    <w:p>
      <w:pPr>
        <w:snapToGrid w:val="0"/>
        <w:spacing w:line="360" w:lineRule="auto"/>
        <w:jc w:val="center"/>
        <w:rPr>
          <w:rStyle w:val="6"/>
          <w:rFonts w:ascii="方正小标宋简体" w:hAnsi="宋体" w:eastAsia="方正小标宋简体"/>
          <w:color w:val="000000"/>
          <w:sz w:val="72"/>
          <w:szCs w:val="72"/>
        </w:rPr>
      </w:pPr>
      <w:r>
        <w:rPr>
          <w:rStyle w:val="6"/>
          <w:rFonts w:ascii="黑体" w:hAnsi="黑体" w:eastAsia="黑体"/>
          <w:color w:val="000000"/>
          <w:sz w:val="72"/>
          <w:szCs w:val="72"/>
        </w:rPr>
        <w:t>2018</w:t>
      </w:r>
      <w:r>
        <w:rPr>
          <w:rStyle w:val="6"/>
          <w:rFonts w:ascii="方正小标宋简体" w:hAnsi="宋体" w:eastAsia="方正小标宋简体"/>
          <w:color w:val="000000"/>
          <w:sz w:val="72"/>
          <w:szCs w:val="72"/>
        </w:rPr>
        <w:t>年度</w:t>
      </w:r>
    </w:p>
    <w:p>
      <w:pPr>
        <w:snapToGrid w:val="0"/>
        <w:spacing w:line="360" w:lineRule="auto"/>
        <w:jc w:val="center"/>
        <w:rPr>
          <w:rStyle w:val="6"/>
          <w:rFonts w:ascii="方正小标宋简体" w:hAnsi="宋体" w:eastAsia="方正小标宋简体"/>
          <w:color w:val="000000"/>
          <w:sz w:val="72"/>
          <w:szCs w:val="72"/>
        </w:rPr>
      </w:pPr>
      <w:r>
        <w:rPr>
          <w:rStyle w:val="6"/>
          <w:rFonts w:ascii="方正小标宋简体" w:hAnsi="宋体" w:eastAsia="方正小标宋简体"/>
          <w:color w:val="000000"/>
          <w:sz w:val="72"/>
          <w:szCs w:val="72"/>
        </w:rPr>
        <w:t>金川县供销社部门决算</w:t>
      </w:r>
    </w:p>
    <w:p>
      <w:pPr>
        <w:rPr>
          <w:rStyle w:val="6"/>
        </w:rPr>
      </w:pPr>
    </w:p>
    <w:p>
      <w:pPr>
        <w:pStyle w:val="14"/>
        <w:tabs>
          <w:tab w:val="right" w:leader="middleDot" w:pos="8306"/>
          <w:tab w:val="clear" w:pos="8296"/>
        </w:tabs>
        <w:jc w:val="both"/>
        <w:rPr>
          <w:rStyle w:val="6"/>
          <w:rFonts w:ascii="方正小标宋简体" w:hAnsi="宋体" w:eastAsia="方正小标宋简体"/>
          <w:color w:val="000000"/>
          <w:sz w:val="36"/>
          <w:szCs w:val="36"/>
        </w:rPr>
      </w:pPr>
    </w:p>
    <w:p>
      <w:pPr>
        <w:rPr>
          <w:rStyle w:val="6"/>
          <w:rFonts w:ascii="方正小标宋简体" w:hAnsi="宋体" w:eastAsia="方正小标宋简体"/>
          <w:color w:val="000000"/>
          <w:sz w:val="36"/>
          <w:szCs w:val="36"/>
        </w:rPr>
      </w:pPr>
    </w:p>
    <w:p>
      <w:pPr>
        <w:rPr>
          <w:rStyle w:val="6"/>
          <w:rFonts w:ascii="方正小标宋简体" w:hAnsi="宋体" w:eastAsia="方正小标宋简体"/>
          <w:color w:val="000000"/>
          <w:sz w:val="36"/>
          <w:szCs w:val="36"/>
        </w:rPr>
      </w:pPr>
    </w:p>
    <w:p>
      <w:pPr>
        <w:rPr>
          <w:rStyle w:val="6"/>
          <w:rFonts w:ascii="方正小标宋简体" w:hAnsi="宋体" w:eastAsia="方正小标宋简体"/>
          <w:color w:val="000000"/>
          <w:sz w:val="36"/>
          <w:szCs w:val="36"/>
        </w:rPr>
      </w:pPr>
    </w:p>
    <w:p>
      <w:pPr>
        <w:rPr>
          <w:rStyle w:val="6"/>
          <w:rFonts w:ascii="方正小标宋简体" w:hAnsi="宋体" w:eastAsia="方正小标宋简体"/>
          <w:color w:val="000000"/>
          <w:sz w:val="36"/>
          <w:szCs w:val="36"/>
        </w:rPr>
      </w:pPr>
    </w:p>
    <w:p>
      <w:pPr>
        <w:rPr>
          <w:rStyle w:val="6"/>
          <w:rFonts w:ascii="方正小标宋简体" w:hAnsi="宋体" w:eastAsia="方正小标宋简体"/>
          <w:color w:val="000000"/>
          <w:sz w:val="36"/>
          <w:szCs w:val="36"/>
        </w:rPr>
      </w:pPr>
    </w:p>
    <w:p>
      <w:pPr>
        <w:rPr>
          <w:rStyle w:val="6"/>
          <w:rFonts w:ascii="方正小标宋简体" w:hAnsi="宋体" w:eastAsia="方正小标宋简体"/>
          <w:color w:val="000000"/>
          <w:sz w:val="36"/>
          <w:szCs w:val="36"/>
        </w:rPr>
      </w:pPr>
    </w:p>
    <w:p>
      <w:pPr>
        <w:rPr>
          <w:rStyle w:val="6"/>
          <w:rFonts w:ascii="方正小标宋简体" w:hAnsi="宋体" w:eastAsia="方正小标宋简体"/>
          <w:color w:val="000000"/>
          <w:sz w:val="36"/>
          <w:szCs w:val="36"/>
        </w:rPr>
      </w:pPr>
    </w:p>
    <w:p>
      <w:pPr>
        <w:jc w:val="center"/>
        <w:rPr>
          <w:rStyle w:val="6"/>
          <w:rFonts w:ascii="黑体" w:hAnsi="黑体" w:eastAsia="黑体"/>
          <w:color w:val="000000"/>
          <w:sz w:val="48"/>
          <w:szCs w:val="48"/>
        </w:rPr>
      </w:pPr>
      <w:r>
        <w:rPr>
          <w:rStyle w:val="6"/>
          <w:rFonts w:ascii="黑体" w:hAnsi="黑体" w:eastAsia="黑体"/>
          <w:color w:val="000000"/>
          <w:sz w:val="48"/>
          <w:szCs w:val="48"/>
        </w:rPr>
        <w:t>目录</w:t>
      </w:r>
    </w:p>
    <w:p>
      <w:pPr>
        <w:pStyle w:val="14"/>
        <w:rPr>
          <w:rStyle w:val="6"/>
        </w:rPr>
      </w:pPr>
    </w:p>
    <w:p>
      <w:pPr>
        <w:pStyle w:val="14"/>
        <w:rPr>
          <w:rStyle w:val="6"/>
        </w:rPr>
      </w:pPr>
      <w:r>
        <w:rPr>
          <w:rStyle w:val="6"/>
        </w:rPr>
        <w:t>2018年决算公开</w:t>
      </w:r>
      <w:r>
        <w:rPr>
          <w:rStyle w:val="6"/>
        </w:rPr>
        <w:tab/>
      </w:r>
      <w:r>
        <w:rPr>
          <w:rStyle w:val="6"/>
        </w:rPr>
        <w:t>2</w:t>
      </w:r>
    </w:p>
    <w:p>
      <w:pPr>
        <w:pStyle w:val="14"/>
        <w:rPr>
          <w:rStyle w:val="6"/>
        </w:rPr>
      </w:pPr>
      <w:r>
        <w:rPr>
          <w:rStyle w:val="6"/>
        </w:rPr>
        <w:t>一、 单位基本情况</w:t>
      </w:r>
      <w:r>
        <w:rPr>
          <w:rStyle w:val="6"/>
        </w:rPr>
        <w:tab/>
      </w:r>
      <w:r>
        <w:rPr>
          <w:rStyle w:val="6"/>
        </w:rPr>
        <w:t>3</w:t>
      </w:r>
    </w:p>
    <w:p>
      <w:pPr>
        <w:pStyle w:val="14"/>
        <w:rPr>
          <w:rStyle w:val="6"/>
        </w:rPr>
      </w:pPr>
      <w:r>
        <w:rPr>
          <w:rStyle w:val="6"/>
        </w:rPr>
        <w:t>（一）主要职能</w:t>
      </w:r>
      <w:r>
        <w:rPr>
          <w:rStyle w:val="6"/>
        </w:rPr>
        <w:tab/>
      </w:r>
      <w:r>
        <w:rPr>
          <w:rStyle w:val="6"/>
        </w:rPr>
        <w:t>3</w:t>
      </w:r>
    </w:p>
    <w:p>
      <w:pPr>
        <w:pStyle w:val="14"/>
        <w:rPr>
          <w:rStyle w:val="6"/>
        </w:rPr>
      </w:pPr>
      <w:r>
        <w:rPr>
          <w:rStyle w:val="6"/>
        </w:rPr>
        <w:t>（二）机构和人员情况</w:t>
      </w:r>
      <w:r>
        <w:rPr>
          <w:rStyle w:val="6"/>
        </w:rPr>
        <w:tab/>
      </w:r>
      <w:r>
        <w:rPr>
          <w:rStyle w:val="6"/>
        </w:rPr>
        <w:t>4</w:t>
      </w:r>
    </w:p>
    <w:p>
      <w:pPr>
        <w:pStyle w:val="14"/>
        <w:rPr>
          <w:rStyle w:val="6"/>
        </w:rPr>
      </w:pPr>
      <w:r>
        <w:rPr>
          <w:rStyle w:val="6"/>
        </w:rPr>
        <w:t>（三）当年取得的主要成效：</w:t>
      </w:r>
      <w:r>
        <w:rPr>
          <w:rStyle w:val="6"/>
        </w:rPr>
        <w:tab/>
      </w:r>
      <w:r>
        <w:rPr>
          <w:rStyle w:val="6"/>
        </w:rPr>
        <w:t>4</w:t>
      </w:r>
    </w:p>
    <w:p>
      <w:pPr>
        <w:pStyle w:val="14"/>
        <w:rPr>
          <w:rStyle w:val="6"/>
        </w:rPr>
      </w:pPr>
      <w:r>
        <w:rPr>
          <w:rStyle w:val="6"/>
        </w:rPr>
        <w:t>三、一般公共预算财政拨款基本收支出决算情况</w:t>
      </w:r>
      <w:r>
        <w:rPr>
          <w:rStyle w:val="6"/>
        </w:rPr>
        <w:tab/>
      </w:r>
      <w:r>
        <w:rPr>
          <w:rStyle w:val="6"/>
        </w:rPr>
        <w:t>5</w:t>
      </w:r>
    </w:p>
    <w:p>
      <w:pPr>
        <w:pStyle w:val="14"/>
        <w:rPr>
          <w:rStyle w:val="6"/>
        </w:rPr>
      </w:pPr>
      <w:r>
        <w:rPr>
          <w:rStyle w:val="6"/>
        </w:rPr>
        <w:t>四、“三公”经费财政拨款支出决算情况</w:t>
      </w:r>
      <w:r>
        <w:rPr>
          <w:rStyle w:val="6"/>
        </w:rPr>
        <w:tab/>
      </w:r>
      <w:r>
        <w:rPr>
          <w:rStyle w:val="6"/>
        </w:rPr>
        <w:t>5</w:t>
      </w:r>
    </w:p>
    <w:p>
      <w:pPr>
        <w:pStyle w:val="14"/>
        <w:rPr>
          <w:rStyle w:val="6"/>
        </w:rPr>
      </w:pPr>
      <w:r>
        <w:rPr>
          <w:rStyle w:val="6"/>
        </w:rPr>
        <w:t>（一）“三公”经费财政拨款支出决算总体情况说明</w:t>
      </w:r>
      <w:r>
        <w:rPr>
          <w:rStyle w:val="6"/>
        </w:rPr>
        <w:tab/>
      </w:r>
      <w:r>
        <w:rPr>
          <w:rStyle w:val="6"/>
        </w:rPr>
        <w:t>5</w:t>
      </w:r>
    </w:p>
    <w:p>
      <w:pPr>
        <w:pStyle w:val="14"/>
        <w:rPr>
          <w:rStyle w:val="6"/>
        </w:rPr>
      </w:pPr>
      <w:r>
        <w:rPr>
          <w:rStyle w:val="6"/>
        </w:rPr>
        <w:t>（二）“三公”经费财政拨款支出决算具体情况说明</w:t>
      </w:r>
      <w:r>
        <w:rPr>
          <w:rStyle w:val="6"/>
        </w:rPr>
        <w:tab/>
      </w:r>
      <w:r>
        <w:rPr>
          <w:rStyle w:val="6"/>
        </w:rPr>
        <w:t>5</w:t>
      </w:r>
    </w:p>
    <w:p>
      <w:pPr>
        <w:pStyle w:val="14"/>
        <w:rPr>
          <w:rStyle w:val="6"/>
        </w:rPr>
      </w:pPr>
      <w:r>
        <w:rPr>
          <w:rStyle w:val="6"/>
        </w:rPr>
        <w:t>1.因公出国（境）经费</w:t>
      </w:r>
      <w:r>
        <w:rPr>
          <w:rStyle w:val="6"/>
        </w:rPr>
        <w:tab/>
      </w:r>
      <w:r>
        <w:rPr>
          <w:rStyle w:val="6"/>
        </w:rPr>
        <w:t>6</w:t>
      </w:r>
    </w:p>
    <w:p>
      <w:pPr>
        <w:pStyle w:val="14"/>
        <w:rPr>
          <w:rStyle w:val="6"/>
        </w:rPr>
      </w:pPr>
      <w:r>
        <w:rPr>
          <w:rStyle w:val="6"/>
        </w:rPr>
        <w:t>2.公务用车购置及运行维护费</w:t>
      </w:r>
      <w:r>
        <w:rPr>
          <w:rStyle w:val="6"/>
        </w:rPr>
        <w:tab/>
      </w:r>
      <w:r>
        <w:rPr>
          <w:rStyle w:val="6"/>
        </w:rPr>
        <w:t>6</w:t>
      </w:r>
    </w:p>
    <w:p>
      <w:pPr>
        <w:pStyle w:val="14"/>
        <w:rPr>
          <w:rStyle w:val="6"/>
        </w:rPr>
      </w:pPr>
      <w:r>
        <w:rPr>
          <w:rStyle w:val="6"/>
        </w:rPr>
        <w:t>3.公务接待费</w:t>
      </w:r>
      <w:r>
        <w:rPr>
          <w:rStyle w:val="6"/>
        </w:rPr>
        <w:tab/>
      </w:r>
      <w:r>
        <w:rPr>
          <w:rStyle w:val="6"/>
        </w:rPr>
        <w:t>6</w:t>
      </w:r>
    </w:p>
    <w:p>
      <w:pPr>
        <w:pStyle w:val="14"/>
        <w:rPr>
          <w:rStyle w:val="6"/>
        </w:rPr>
      </w:pPr>
      <w:r>
        <w:rPr>
          <w:rStyle w:val="6"/>
        </w:rPr>
        <w:t>五、资产负债情况分析</w:t>
      </w:r>
      <w:r>
        <w:rPr>
          <w:rStyle w:val="6"/>
        </w:rPr>
        <w:tab/>
      </w:r>
      <w:r>
        <w:rPr>
          <w:rStyle w:val="6"/>
        </w:rPr>
        <w:t>6</w:t>
      </w:r>
    </w:p>
    <w:p>
      <w:pPr>
        <w:pStyle w:val="14"/>
        <w:rPr>
          <w:rStyle w:val="6"/>
        </w:rPr>
      </w:pPr>
      <w:r>
        <w:rPr>
          <w:rStyle w:val="6"/>
        </w:rPr>
        <w:t>六、政府性基金预算财政拨款支出决算情况</w:t>
      </w:r>
      <w:r>
        <w:rPr>
          <w:rStyle w:val="6"/>
        </w:rPr>
        <w:tab/>
      </w:r>
      <w:r>
        <w:rPr>
          <w:rStyle w:val="6"/>
        </w:rPr>
        <w:t>6</w:t>
      </w:r>
    </w:p>
    <w:p>
      <w:pPr>
        <w:pStyle w:val="14"/>
        <w:rPr>
          <w:rStyle w:val="6"/>
        </w:rPr>
      </w:pPr>
      <w:r>
        <w:rPr>
          <w:rStyle w:val="6"/>
        </w:rPr>
        <w:t>七、其他重要事项的情况说明</w:t>
      </w:r>
      <w:r>
        <w:rPr>
          <w:rStyle w:val="6"/>
        </w:rPr>
        <w:tab/>
      </w:r>
      <w:r>
        <w:rPr>
          <w:rStyle w:val="6"/>
        </w:rPr>
        <w:t>6</w:t>
      </w:r>
    </w:p>
    <w:p>
      <w:pPr>
        <w:pStyle w:val="14"/>
        <w:rPr>
          <w:rStyle w:val="6"/>
        </w:rPr>
      </w:pPr>
      <w:r>
        <w:rPr>
          <w:rStyle w:val="6"/>
        </w:rPr>
        <w:t>（一）机关运行经费支出情况</w:t>
      </w:r>
      <w:r>
        <w:rPr>
          <w:rStyle w:val="6"/>
        </w:rPr>
        <w:tab/>
      </w:r>
      <w:r>
        <w:rPr>
          <w:rStyle w:val="6"/>
        </w:rPr>
        <w:t>7</w:t>
      </w:r>
    </w:p>
    <w:p>
      <w:pPr>
        <w:pStyle w:val="14"/>
        <w:rPr>
          <w:rStyle w:val="6"/>
        </w:rPr>
      </w:pPr>
      <w:r>
        <w:rPr>
          <w:rStyle w:val="6"/>
        </w:rPr>
        <w:t>（二）政府采购支出情况</w:t>
      </w:r>
      <w:r>
        <w:rPr>
          <w:rStyle w:val="6"/>
        </w:rPr>
        <w:tab/>
      </w:r>
      <w:r>
        <w:rPr>
          <w:rStyle w:val="6"/>
        </w:rPr>
        <w:t>7</w:t>
      </w:r>
    </w:p>
    <w:p>
      <w:pPr>
        <w:pStyle w:val="14"/>
        <w:rPr>
          <w:rStyle w:val="6"/>
        </w:rPr>
      </w:pPr>
      <w:r>
        <w:rPr>
          <w:rStyle w:val="6"/>
        </w:rPr>
        <w:t>（三）国有资产占有使用情况</w:t>
      </w:r>
      <w:r>
        <w:rPr>
          <w:rStyle w:val="6"/>
        </w:rPr>
        <w:tab/>
      </w:r>
      <w:r>
        <w:rPr>
          <w:rStyle w:val="6"/>
        </w:rPr>
        <w:t>7</w:t>
      </w:r>
    </w:p>
    <w:p>
      <w:pPr>
        <w:pStyle w:val="14"/>
        <w:rPr>
          <w:rStyle w:val="6"/>
        </w:rPr>
      </w:pPr>
      <w:r>
        <w:rPr>
          <w:rStyle w:val="6"/>
        </w:rPr>
        <w:t>（四）预算绩效情况</w:t>
      </w:r>
      <w:r>
        <w:rPr>
          <w:rStyle w:val="6"/>
        </w:rPr>
        <w:tab/>
      </w:r>
      <w:r>
        <w:rPr>
          <w:rStyle w:val="6"/>
        </w:rPr>
        <w:t>7</w:t>
      </w:r>
    </w:p>
    <w:p>
      <w:pPr>
        <w:pStyle w:val="14"/>
        <w:rPr>
          <w:rStyle w:val="6"/>
        </w:rPr>
      </w:pPr>
      <w:r>
        <w:rPr>
          <w:rStyle w:val="6"/>
        </w:rPr>
        <w:t>1、评价结论</w:t>
      </w:r>
      <w:r>
        <w:rPr>
          <w:rStyle w:val="6"/>
        </w:rPr>
        <w:tab/>
      </w:r>
      <w:r>
        <w:rPr>
          <w:rStyle w:val="6"/>
        </w:rPr>
        <w:t>7</w:t>
      </w:r>
    </w:p>
    <w:p>
      <w:pPr>
        <w:pStyle w:val="14"/>
        <w:rPr>
          <w:rStyle w:val="6"/>
        </w:rPr>
      </w:pPr>
      <w:r>
        <w:rPr>
          <w:rStyle w:val="6"/>
        </w:rPr>
        <w:t>2、存在问题</w:t>
      </w:r>
      <w:r>
        <w:rPr>
          <w:rStyle w:val="6"/>
        </w:rPr>
        <w:tab/>
      </w:r>
      <w:r>
        <w:rPr>
          <w:rStyle w:val="6"/>
        </w:rPr>
        <w:t>7</w:t>
      </w:r>
    </w:p>
    <w:p>
      <w:pPr>
        <w:pStyle w:val="14"/>
        <w:rPr>
          <w:rStyle w:val="6"/>
        </w:rPr>
      </w:pPr>
      <w:r>
        <w:rPr>
          <w:rStyle w:val="6"/>
        </w:rPr>
        <w:t>3、改进建议</w:t>
      </w:r>
      <w:r>
        <w:rPr>
          <w:rStyle w:val="6"/>
        </w:rPr>
        <w:tab/>
      </w:r>
      <w:r>
        <w:rPr>
          <w:rStyle w:val="6"/>
        </w:rPr>
        <w:t>7</w:t>
      </w:r>
    </w:p>
    <w:p>
      <w:pPr>
        <w:pStyle w:val="14"/>
        <w:rPr>
          <w:rStyle w:val="6"/>
        </w:rPr>
      </w:pPr>
      <w:r>
        <w:rPr>
          <w:rStyle w:val="6"/>
        </w:rPr>
        <w:t>八、名词解释</w:t>
      </w:r>
      <w:r>
        <w:rPr>
          <w:rStyle w:val="6"/>
        </w:rPr>
        <w:tab/>
      </w:r>
      <w:r>
        <w:rPr>
          <w:rStyle w:val="6"/>
        </w:rPr>
        <w:t>7-9</w:t>
      </w:r>
    </w:p>
    <w:p>
      <w:pPr>
        <w:pStyle w:val="14"/>
        <w:jc w:val="both"/>
        <w:rPr>
          <w:rStyle w:val="6"/>
        </w:rPr>
      </w:pPr>
    </w:p>
    <w:p>
      <w:pPr>
        <w:pStyle w:val="14"/>
        <w:rPr>
          <w:rStyle w:val="6"/>
        </w:rPr>
      </w:pPr>
    </w:p>
    <w:p>
      <w:pPr>
        <w:rPr>
          <w:rStyle w:val="6"/>
        </w:rPr>
      </w:pPr>
    </w:p>
    <w:p>
      <w:pPr>
        <w:rPr>
          <w:rStyle w:val="6"/>
        </w:rPr>
      </w:pPr>
    </w:p>
    <w:p>
      <w:pPr>
        <w:rPr>
          <w:rStyle w:val="6"/>
        </w:rPr>
      </w:pPr>
    </w:p>
    <w:p>
      <w:pPr>
        <w:rPr>
          <w:rStyle w:val="6"/>
        </w:rPr>
      </w:pPr>
    </w:p>
    <w:p>
      <w:pPr>
        <w:rPr>
          <w:rStyle w:val="6"/>
        </w:rPr>
      </w:pPr>
    </w:p>
    <w:p>
      <w:pPr>
        <w:rPr>
          <w:rStyle w:val="6"/>
        </w:rPr>
      </w:pPr>
    </w:p>
    <w:p>
      <w:pPr>
        <w:rPr>
          <w:rStyle w:val="6"/>
        </w:rPr>
      </w:pPr>
    </w:p>
    <w:p>
      <w:pPr>
        <w:rPr>
          <w:rStyle w:val="6"/>
        </w:rPr>
      </w:pPr>
    </w:p>
    <w:p>
      <w:pPr>
        <w:rPr>
          <w:rStyle w:val="6"/>
        </w:rPr>
      </w:pPr>
    </w:p>
    <w:p>
      <w:pPr>
        <w:rPr>
          <w:rStyle w:val="6"/>
        </w:rPr>
      </w:pPr>
    </w:p>
    <w:p>
      <w:pPr>
        <w:pStyle w:val="14"/>
        <w:rPr>
          <w:rStyle w:val="6"/>
        </w:rPr>
      </w:pPr>
    </w:p>
    <w:p>
      <w:pPr>
        <w:pStyle w:val="14"/>
        <w:rPr>
          <w:rStyle w:val="6"/>
        </w:rPr>
      </w:pPr>
    </w:p>
    <w:p>
      <w:pPr>
        <w:rPr>
          <w:rStyle w:val="6"/>
        </w:rPr>
      </w:pPr>
    </w:p>
    <w:p>
      <w:pPr>
        <w:rPr>
          <w:rStyle w:val="6"/>
        </w:rPr>
      </w:pPr>
    </w:p>
    <w:p>
      <w:pPr>
        <w:rPr>
          <w:rStyle w:val="6"/>
        </w:rPr>
      </w:pPr>
    </w:p>
    <w:p>
      <w:pPr>
        <w:rPr>
          <w:rStyle w:val="6"/>
        </w:rPr>
      </w:pPr>
    </w:p>
    <w:p>
      <w:pPr>
        <w:rPr>
          <w:rStyle w:val="6"/>
        </w:rPr>
      </w:pPr>
    </w:p>
    <w:p>
      <w:pPr>
        <w:rPr>
          <w:rStyle w:val="6"/>
        </w:rPr>
      </w:pPr>
    </w:p>
    <w:p>
      <w:pPr>
        <w:rPr>
          <w:rStyle w:val="6"/>
        </w:rPr>
      </w:pPr>
    </w:p>
    <w:p>
      <w:pPr>
        <w:rPr>
          <w:rStyle w:val="6"/>
        </w:rPr>
      </w:pPr>
    </w:p>
    <w:p>
      <w:pPr>
        <w:snapToGrid w:val="0"/>
        <w:rPr>
          <w:rStyle w:val="6"/>
          <w:rFonts w:ascii="黑体" w:hAnsi="黑体" w:eastAsia="黑体"/>
          <w:sz w:val="44"/>
          <w:szCs w:val="44"/>
        </w:rPr>
      </w:pPr>
    </w:p>
    <w:p>
      <w:pPr>
        <w:snapToGrid w:val="0"/>
        <w:rPr>
          <w:rStyle w:val="6"/>
          <w:rFonts w:ascii="黑体" w:hAnsi="黑体" w:eastAsia="黑体"/>
          <w:sz w:val="44"/>
          <w:szCs w:val="44"/>
        </w:rPr>
      </w:pPr>
    </w:p>
    <w:p>
      <w:pPr>
        <w:numPr>
          <w:ilvl w:val="0"/>
          <w:numId w:val="1"/>
        </w:numPr>
        <w:snapToGrid w:val="0"/>
        <w:spacing w:line="360" w:lineRule="auto"/>
        <w:ind w:firstLine="643" w:firstLineChars="200"/>
        <w:rPr>
          <w:rStyle w:val="6"/>
          <w:rFonts w:ascii="黑体" w:hAnsi="黑体" w:eastAsia="黑体" w:cs="黑体"/>
          <w:b/>
          <w:bCs/>
          <w:sz w:val="32"/>
        </w:rPr>
      </w:pPr>
      <w:r>
        <w:rPr>
          <w:rStyle w:val="6"/>
          <w:rFonts w:ascii="黑体" w:hAnsi="黑体" w:eastAsia="黑体" w:cs="黑体"/>
          <w:b/>
          <w:bCs/>
          <w:sz w:val="32"/>
        </w:rPr>
        <w:t>单位基本情况</w:t>
      </w:r>
    </w:p>
    <w:p>
      <w:pPr>
        <w:snapToGrid w:val="0"/>
        <w:spacing w:line="360" w:lineRule="auto"/>
        <w:rPr>
          <w:rStyle w:val="6"/>
          <w:rFonts w:ascii="仿宋_GB2312" w:eastAsia="仿宋_GB2312"/>
          <w:bCs/>
          <w:sz w:val="30"/>
          <w:szCs w:val="30"/>
        </w:rPr>
      </w:pPr>
      <w:r>
        <w:rPr>
          <w:rStyle w:val="6"/>
          <w:rFonts w:ascii="仿宋_GB2312" w:eastAsia="仿宋_GB2312"/>
          <w:bCs/>
          <w:sz w:val="32"/>
          <w:szCs w:val="32"/>
        </w:rPr>
        <w:t xml:space="preserve"> </w:t>
      </w:r>
      <w:r>
        <w:rPr>
          <w:rStyle w:val="6"/>
          <w:rFonts w:ascii="楷体" w:hAnsi="楷体" w:eastAsia="楷体"/>
          <w:b/>
          <w:sz w:val="32"/>
          <w:szCs w:val="32"/>
        </w:rPr>
        <w:t xml:space="preserve">    （一）主要职能</w:t>
      </w:r>
    </w:p>
    <w:p>
      <w:pPr>
        <w:spacing w:line="560" w:lineRule="exact"/>
        <w:ind w:firstLine="750" w:firstLineChars="250"/>
        <w:jc w:val="left"/>
        <w:rPr>
          <w:rStyle w:val="6"/>
          <w:rFonts w:ascii="仿宋" w:hAnsi="仿宋" w:eastAsia="仿宋"/>
          <w:kern w:val="0"/>
          <w:sz w:val="32"/>
          <w:szCs w:val="32"/>
        </w:rPr>
      </w:pPr>
      <w:r>
        <w:rPr>
          <w:rStyle w:val="6"/>
          <w:rFonts w:ascii="仿宋_GB2312" w:eastAsia="仿宋_GB2312"/>
          <w:bCs/>
          <w:sz w:val="30"/>
          <w:szCs w:val="30"/>
        </w:rPr>
        <w:t xml:space="preserve">     </w:t>
      </w:r>
      <w:r>
        <w:rPr>
          <w:rStyle w:val="6"/>
          <w:rFonts w:ascii="仿宋" w:hAnsi="仿宋" w:eastAsia="仿宋"/>
          <w:sz w:val="32"/>
          <w:szCs w:val="32"/>
        </w:rPr>
        <w:t>负责研究和制定全县供销合作社的发展战略和发展规划，指导全县供销社的改革和发展，按照县政府的授权对重要农业生产资料、农副畜产品经营、烟花爆竹、再生资源和毛绒经营的组织、协调和管理，对基层社进行的业务指导，促进城乡物资交流，宣传贯彻党中央、国务院有关农村经济工作的方针政策，组织全县农村合作经济组织和农民经纪人，引导农民进入市场，发展农业产业化经营，为农业、农村和农民提供服务，牵头成立农民经纪人协会和各类农产品行业协会，成为政府与农民密切联系的桥梁和纽带。行使本级社有资产出资人代表职能，监督社有资产的保值增值。</w:t>
      </w:r>
    </w:p>
    <w:p>
      <w:pPr>
        <w:snapToGrid w:val="0"/>
        <w:spacing w:line="360" w:lineRule="auto"/>
        <w:rPr>
          <w:rStyle w:val="6"/>
          <w:rFonts w:ascii="仿宋_GB2312" w:eastAsia="仿宋_GB2312"/>
          <w:sz w:val="30"/>
          <w:szCs w:val="30"/>
        </w:rPr>
      </w:pPr>
      <w:r>
        <w:rPr>
          <w:rStyle w:val="6"/>
          <w:rFonts w:ascii="楷体" w:hAnsi="楷体" w:eastAsia="楷体" w:cs="楷体"/>
          <w:b/>
          <w:bCs/>
          <w:sz w:val="32"/>
          <w:szCs w:val="32"/>
        </w:rPr>
        <w:t>（二）机构和人员情况</w:t>
      </w:r>
    </w:p>
    <w:p>
      <w:pPr>
        <w:spacing w:line="576" w:lineRule="exact"/>
        <w:ind w:firstLine="600" w:firstLineChars="200"/>
        <w:rPr>
          <w:rStyle w:val="6"/>
          <w:rFonts w:ascii="仿宋" w:hAnsi="仿宋" w:eastAsia="仿宋"/>
          <w:color w:val="000000"/>
          <w:sz w:val="32"/>
          <w:szCs w:val="32"/>
        </w:rPr>
      </w:pPr>
      <w:r>
        <w:rPr>
          <w:rStyle w:val="6"/>
          <w:rFonts w:ascii="仿宋_GB2312" w:eastAsia="仿宋_GB2312"/>
          <w:sz w:val="30"/>
          <w:szCs w:val="30"/>
        </w:rPr>
        <w:t xml:space="preserve">    </w:t>
      </w:r>
      <w:r>
        <w:rPr>
          <w:rStyle w:val="6"/>
          <w:rFonts w:ascii="仿宋" w:hAnsi="仿宋" w:eastAsia="仿宋"/>
          <w:sz w:val="32"/>
          <w:szCs w:val="32"/>
        </w:rPr>
        <w:t>1、机构情况：</w:t>
      </w:r>
      <w:r>
        <w:rPr>
          <w:rStyle w:val="6"/>
          <w:rFonts w:ascii="仿宋" w:hAnsi="仿宋" w:eastAsia="仿宋"/>
          <w:color w:val="000000"/>
          <w:sz w:val="32"/>
          <w:szCs w:val="32"/>
        </w:rPr>
        <w:t>金川县供销合作联合社</w:t>
      </w:r>
      <w:r>
        <w:rPr>
          <w:rStyle w:val="6"/>
          <w:rFonts w:ascii="仿宋" w:hAnsi="仿宋" w:eastAsia="仿宋"/>
          <w:sz w:val="32"/>
          <w:szCs w:val="32"/>
        </w:rPr>
        <w:t>属独立编制机构和核算的参公事业单位</w:t>
      </w:r>
    </w:p>
    <w:p>
      <w:pPr>
        <w:spacing w:line="600" w:lineRule="exact"/>
        <w:ind w:firstLine="640" w:firstLineChars="200"/>
        <w:rPr>
          <w:rStyle w:val="6"/>
          <w:rFonts w:ascii="仿宋" w:hAnsi="仿宋" w:eastAsia="仿宋"/>
          <w:sz w:val="32"/>
          <w:szCs w:val="32"/>
        </w:rPr>
      </w:pPr>
      <w:r>
        <w:rPr>
          <w:rStyle w:val="6"/>
          <w:rFonts w:ascii="仿宋" w:hAnsi="仿宋" w:eastAsia="仿宋"/>
          <w:sz w:val="32"/>
          <w:szCs w:val="32"/>
        </w:rPr>
        <w:t>2、人员情况：人员编制数7人，其中：参公7人（工勤1人），事业0人。2018年末实有在职职工6人</w:t>
      </w:r>
      <w:r>
        <w:rPr>
          <w:rStyle w:val="6"/>
          <w:rFonts w:hint="eastAsia" w:ascii="仿宋" w:hAnsi="仿宋" w:eastAsia="仿宋"/>
          <w:sz w:val="32"/>
          <w:szCs w:val="32"/>
          <w:lang w:eastAsia="zh-CN"/>
        </w:rPr>
        <w:t>，</w:t>
      </w:r>
      <w:bookmarkStart w:id="0" w:name="_GoBack"/>
      <w:bookmarkEnd w:id="0"/>
      <w:r>
        <w:rPr>
          <w:rStyle w:val="6"/>
          <w:rFonts w:ascii="仿宋" w:hAnsi="仿宋" w:eastAsia="仿宋"/>
          <w:sz w:val="32"/>
          <w:szCs w:val="32"/>
        </w:rPr>
        <w:t xml:space="preserve"> 参公6人，事业0人，退休0人。</w:t>
      </w:r>
    </w:p>
    <w:p>
      <w:pPr>
        <w:snapToGrid w:val="0"/>
        <w:spacing w:line="360" w:lineRule="auto"/>
        <w:rPr>
          <w:rStyle w:val="6"/>
          <w:rFonts w:ascii="楷体" w:hAnsi="楷体" w:eastAsia="楷体" w:cs="楷体"/>
          <w:b/>
          <w:bCs/>
          <w:sz w:val="30"/>
          <w:szCs w:val="30"/>
        </w:rPr>
      </w:pPr>
      <w:r>
        <w:rPr>
          <w:rStyle w:val="6"/>
          <w:rFonts w:ascii="楷体" w:hAnsi="楷体" w:eastAsia="楷体" w:cs="楷体"/>
          <w:b/>
          <w:bCs/>
          <w:sz w:val="30"/>
          <w:szCs w:val="30"/>
        </w:rPr>
        <w:t xml:space="preserve">   （三）当年取得的主要成效：</w:t>
      </w:r>
    </w:p>
    <w:p>
      <w:pPr>
        <w:spacing w:line="600" w:lineRule="exact"/>
        <w:ind w:firstLine="750" w:firstLineChars="250"/>
        <w:jc w:val="left"/>
        <w:rPr>
          <w:rStyle w:val="6"/>
          <w:rFonts w:ascii="仿宋_GB2312" w:eastAsia="仿宋_GB2312"/>
          <w:bCs/>
          <w:sz w:val="30"/>
          <w:szCs w:val="30"/>
        </w:rPr>
      </w:pPr>
      <w:r>
        <w:rPr>
          <w:rStyle w:val="6"/>
          <w:rFonts w:ascii="仿宋_GB2312" w:eastAsia="仿宋_GB2312"/>
          <w:sz w:val="30"/>
          <w:szCs w:val="30"/>
        </w:rPr>
        <w:t>　　</w:t>
      </w:r>
      <w:r>
        <w:rPr>
          <w:rStyle w:val="6"/>
          <w:rFonts w:ascii="仿宋" w:hAnsi="仿宋" w:eastAsia="仿宋"/>
          <w:kern w:val="0"/>
          <w:sz w:val="32"/>
          <w:szCs w:val="32"/>
        </w:rPr>
        <w:t>2018年主要工作任务是严格按照2018年的预算数和县财政局下达的预算进行</w:t>
      </w:r>
      <w:r>
        <w:rPr>
          <w:rStyle w:val="6"/>
          <w:rFonts w:hint="eastAsia" w:ascii="仿宋" w:hAnsi="仿宋" w:eastAsia="仿宋"/>
          <w:kern w:val="0"/>
          <w:sz w:val="32"/>
          <w:szCs w:val="32"/>
          <w:lang w:eastAsia="zh-CN"/>
        </w:rPr>
        <w:t>拨付</w:t>
      </w:r>
      <w:r>
        <w:rPr>
          <w:rStyle w:val="6"/>
          <w:rFonts w:ascii="仿宋" w:hAnsi="仿宋" w:eastAsia="仿宋"/>
          <w:kern w:val="0"/>
          <w:sz w:val="32"/>
          <w:szCs w:val="32"/>
        </w:rPr>
        <w:t>，主要支出如下：1、工资福利包括基本工资、津贴补贴、奖金、绩效工资、社会保险费等2、对个人和家庭的补助支出包括遗属生活费、住房公积金、公务员医疗补助等3、商品和服务的支出按照县财政局下达公务经费定额标准、分类科目、结合实际开支，尽量不超预算</w:t>
      </w:r>
    </w:p>
    <w:p>
      <w:pPr>
        <w:spacing w:line="600" w:lineRule="exact"/>
        <w:ind w:firstLine="643" w:firstLineChars="200"/>
        <w:rPr>
          <w:rStyle w:val="6"/>
          <w:rFonts w:ascii="黑体" w:eastAsia="黑体"/>
          <w:b/>
          <w:bCs/>
          <w:color w:val="000000"/>
          <w:sz w:val="32"/>
          <w:szCs w:val="32"/>
        </w:rPr>
      </w:pPr>
      <w:r>
        <w:rPr>
          <w:rStyle w:val="6"/>
          <w:rFonts w:ascii="黑体" w:eastAsia="黑体"/>
          <w:b/>
          <w:bCs/>
          <w:color w:val="000000"/>
          <w:sz w:val="32"/>
          <w:szCs w:val="32"/>
        </w:rPr>
        <w:t>三、一般公共预算财政拨款支出决算情况</w:t>
      </w:r>
    </w:p>
    <w:p>
      <w:pPr>
        <w:spacing w:line="500" w:lineRule="exact"/>
        <w:ind w:firstLine="900" w:firstLineChars="300"/>
        <w:rPr>
          <w:rStyle w:val="6"/>
          <w:rFonts w:ascii="仿宋_GB2312" w:eastAsia="仿宋_GB2312"/>
          <w:sz w:val="30"/>
          <w:szCs w:val="30"/>
        </w:rPr>
      </w:pPr>
      <w:r>
        <w:rPr>
          <w:rStyle w:val="6"/>
          <w:rFonts w:ascii="仿宋_GB2312" w:eastAsia="仿宋_GB2312"/>
          <w:color w:val="000000"/>
          <w:sz w:val="30"/>
          <w:szCs w:val="30"/>
        </w:rPr>
        <w:t>金川县供销社2018年一般公共预算财政拨款收入情况337.05万元，支出117.16万元，年初结转结余3万元，其中：人员经111.01万元，主要包括：</w:t>
      </w:r>
      <w:r>
        <w:rPr>
          <w:rStyle w:val="6"/>
          <w:rFonts w:ascii="仿宋_GB2312" w:eastAsia="仿宋_GB2312"/>
          <w:sz w:val="30"/>
          <w:szCs w:val="30"/>
        </w:rPr>
        <w:t>行政基本工资21.17</w:t>
      </w:r>
      <w:r>
        <w:rPr>
          <w:rStyle w:val="6"/>
          <w:rFonts w:ascii="仿宋_GB2312" w:hAnsi="仿宋_GB2312" w:eastAsia="仿宋_GB2312" w:cs="仿宋_GB2312"/>
          <w:bCs/>
          <w:sz w:val="30"/>
          <w:szCs w:val="30"/>
        </w:rPr>
        <w:t>万</w:t>
      </w:r>
      <w:r>
        <w:rPr>
          <w:rStyle w:val="6"/>
          <w:rFonts w:ascii="仿宋_GB2312" w:eastAsia="仿宋_GB2312"/>
          <w:sz w:val="30"/>
          <w:szCs w:val="30"/>
        </w:rPr>
        <w:t>元、津贴补贴28.84</w:t>
      </w:r>
      <w:r>
        <w:rPr>
          <w:rStyle w:val="6"/>
          <w:rFonts w:ascii="仿宋_GB2312" w:hAnsi="仿宋_GB2312" w:eastAsia="仿宋_GB2312" w:cs="仿宋_GB2312"/>
          <w:bCs/>
          <w:sz w:val="30"/>
          <w:szCs w:val="30"/>
        </w:rPr>
        <w:t>万</w:t>
      </w:r>
      <w:r>
        <w:rPr>
          <w:rStyle w:val="6"/>
          <w:rFonts w:ascii="仿宋_GB2312" w:eastAsia="仿宋_GB2312"/>
          <w:sz w:val="30"/>
          <w:szCs w:val="30"/>
        </w:rPr>
        <w:t>元、年终一次性奖金2.14</w:t>
      </w:r>
      <w:r>
        <w:rPr>
          <w:rStyle w:val="6"/>
          <w:rFonts w:ascii="仿宋_GB2312" w:hAnsi="仿宋_GB2312" w:eastAsia="仿宋_GB2312" w:cs="仿宋_GB2312"/>
          <w:bCs/>
          <w:sz w:val="30"/>
          <w:szCs w:val="30"/>
        </w:rPr>
        <w:t>万</w:t>
      </w:r>
      <w:r>
        <w:rPr>
          <w:rStyle w:val="6"/>
          <w:rFonts w:ascii="仿宋_GB2312" w:eastAsia="仿宋_GB2312"/>
          <w:sz w:val="30"/>
          <w:szCs w:val="30"/>
        </w:rPr>
        <w:t>元，其他社会保障缴费0.18</w:t>
      </w:r>
      <w:r>
        <w:rPr>
          <w:rStyle w:val="6"/>
          <w:rFonts w:ascii="仿宋_GB2312" w:hAnsi="仿宋_GB2312" w:eastAsia="仿宋_GB2312" w:cs="仿宋_GB2312"/>
          <w:bCs/>
          <w:sz w:val="30"/>
          <w:szCs w:val="30"/>
        </w:rPr>
        <w:t>万</w:t>
      </w:r>
      <w:r>
        <w:rPr>
          <w:rStyle w:val="6"/>
          <w:rFonts w:ascii="仿宋_GB2312" w:eastAsia="仿宋_GB2312"/>
          <w:sz w:val="30"/>
          <w:szCs w:val="30"/>
        </w:rPr>
        <w:t>元，机关事业单位基本养老保险费9.40万元，机关事业单位职业年金3.77万元，离休费0</w:t>
      </w:r>
      <w:r>
        <w:rPr>
          <w:rStyle w:val="6"/>
          <w:rFonts w:ascii="仿宋_GB2312" w:hAnsi="仿宋_GB2312" w:eastAsia="仿宋_GB2312" w:cs="仿宋_GB2312"/>
          <w:bCs/>
          <w:sz w:val="30"/>
          <w:szCs w:val="30"/>
        </w:rPr>
        <w:t>万</w:t>
      </w:r>
      <w:r>
        <w:rPr>
          <w:rStyle w:val="6"/>
          <w:rFonts w:ascii="仿宋_GB2312" w:eastAsia="仿宋_GB2312"/>
          <w:sz w:val="30"/>
          <w:szCs w:val="30"/>
        </w:rPr>
        <w:t>元，抚恤金34.67万元，生活补助0</w:t>
      </w:r>
      <w:r>
        <w:rPr>
          <w:rStyle w:val="6"/>
          <w:rFonts w:ascii="仿宋_GB2312" w:hAnsi="仿宋_GB2312" w:eastAsia="仿宋_GB2312" w:cs="仿宋_GB2312"/>
          <w:bCs/>
          <w:sz w:val="30"/>
          <w:szCs w:val="30"/>
        </w:rPr>
        <w:t>万</w:t>
      </w:r>
      <w:r>
        <w:rPr>
          <w:rStyle w:val="6"/>
          <w:rFonts w:ascii="仿宋_GB2312" w:eastAsia="仿宋_GB2312"/>
          <w:sz w:val="30"/>
          <w:szCs w:val="30"/>
        </w:rPr>
        <w:t>元，奖励金13.5</w:t>
      </w:r>
      <w:r>
        <w:rPr>
          <w:rStyle w:val="6"/>
          <w:rFonts w:ascii="仿宋_GB2312" w:hAnsi="仿宋_GB2312" w:eastAsia="仿宋_GB2312" w:cs="仿宋_GB2312"/>
          <w:bCs/>
          <w:sz w:val="30"/>
          <w:szCs w:val="30"/>
        </w:rPr>
        <w:t>万</w:t>
      </w:r>
      <w:r>
        <w:rPr>
          <w:rStyle w:val="6"/>
          <w:rFonts w:ascii="仿宋_GB2312" w:eastAsia="仿宋_GB2312"/>
          <w:sz w:val="30"/>
          <w:szCs w:val="30"/>
        </w:rPr>
        <w:t>元，住房保障6.43</w:t>
      </w:r>
      <w:r>
        <w:rPr>
          <w:rStyle w:val="6"/>
          <w:rFonts w:ascii="仿宋_GB2312" w:hAnsi="仿宋_GB2312" w:eastAsia="仿宋_GB2312" w:cs="仿宋_GB2312"/>
          <w:bCs/>
          <w:sz w:val="30"/>
          <w:szCs w:val="30"/>
        </w:rPr>
        <w:t>万</w:t>
      </w:r>
      <w:r>
        <w:rPr>
          <w:rStyle w:val="6"/>
          <w:rFonts w:ascii="仿宋_GB2312" w:eastAsia="仿宋_GB2312"/>
          <w:sz w:val="30"/>
          <w:szCs w:val="30"/>
        </w:rPr>
        <w:t>元，行政单位医疗4.41</w:t>
      </w:r>
      <w:r>
        <w:rPr>
          <w:rStyle w:val="6"/>
          <w:rFonts w:ascii="仿宋_GB2312" w:hAnsi="仿宋_GB2312" w:eastAsia="仿宋_GB2312" w:cs="仿宋_GB2312"/>
          <w:bCs/>
          <w:sz w:val="30"/>
          <w:szCs w:val="30"/>
        </w:rPr>
        <w:t>万</w:t>
      </w:r>
      <w:r>
        <w:rPr>
          <w:rStyle w:val="6"/>
          <w:rFonts w:ascii="仿宋_GB2312" w:eastAsia="仿宋_GB2312"/>
          <w:sz w:val="30"/>
          <w:szCs w:val="30"/>
        </w:rPr>
        <w:t>元，公务员医疗补助0万元。</w:t>
      </w:r>
    </w:p>
    <w:p>
      <w:pPr>
        <w:spacing w:line="500" w:lineRule="exact"/>
        <w:ind w:firstLine="645"/>
        <w:rPr>
          <w:rStyle w:val="6"/>
          <w:rFonts w:ascii="仿宋_GB2312" w:eastAsia="仿宋_GB2312"/>
          <w:sz w:val="30"/>
          <w:szCs w:val="30"/>
        </w:rPr>
      </w:pPr>
      <w:r>
        <w:rPr>
          <w:rStyle w:val="6"/>
          <w:rFonts w:ascii="仿宋_GB2312" w:eastAsia="仿宋_GB2312"/>
          <w:color w:val="000000"/>
          <w:sz w:val="30"/>
          <w:szCs w:val="30"/>
        </w:rPr>
        <w:t>公用经费6.15万元，</w:t>
      </w:r>
      <w:r>
        <w:rPr>
          <w:rStyle w:val="6"/>
          <w:rFonts w:ascii="仿宋_GB2312" w:eastAsia="仿宋_GB2312"/>
          <w:sz w:val="30"/>
          <w:szCs w:val="30"/>
        </w:rPr>
        <w:t>其中办公费1.08</w:t>
      </w:r>
      <w:r>
        <w:rPr>
          <w:rStyle w:val="6"/>
          <w:rFonts w:ascii="仿宋_GB2312" w:hAnsi="仿宋_GB2312" w:eastAsia="仿宋_GB2312" w:cs="仿宋_GB2312"/>
          <w:bCs/>
          <w:sz w:val="30"/>
          <w:szCs w:val="30"/>
        </w:rPr>
        <w:t>万</w:t>
      </w:r>
      <w:r>
        <w:rPr>
          <w:rStyle w:val="6"/>
          <w:rFonts w:ascii="仿宋_GB2312" w:eastAsia="仿宋_GB2312"/>
          <w:sz w:val="30"/>
          <w:szCs w:val="30"/>
        </w:rPr>
        <w:t>元、印刷费0</w:t>
      </w:r>
      <w:r>
        <w:rPr>
          <w:rStyle w:val="6"/>
          <w:rFonts w:ascii="仿宋_GB2312" w:hAnsi="仿宋_GB2312" w:eastAsia="仿宋_GB2312" w:cs="仿宋_GB2312"/>
          <w:bCs/>
          <w:sz w:val="30"/>
          <w:szCs w:val="30"/>
        </w:rPr>
        <w:t>万</w:t>
      </w:r>
      <w:r>
        <w:rPr>
          <w:rStyle w:val="6"/>
          <w:rFonts w:ascii="仿宋_GB2312" w:eastAsia="仿宋_GB2312"/>
          <w:sz w:val="30"/>
          <w:szCs w:val="30"/>
        </w:rPr>
        <w:t>元、手续费0</w:t>
      </w:r>
      <w:r>
        <w:rPr>
          <w:rStyle w:val="6"/>
          <w:rFonts w:ascii="仿宋_GB2312" w:hAnsi="仿宋_GB2312" w:eastAsia="仿宋_GB2312" w:cs="仿宋_GB2312"/>
          <w:bCs/>
          <w:sz w:val="30"/>
          <w:szCs w:val="30"/>
        </w:rPr>
        <w:t>万</w:t>
      </w:r>
      <w:r>
        <w:rPr>
          <w:rStyle w:val="6"/>
          <w:rFonts w:ascii="仿宋_GB2312" w:eastAsia="仿宋_GB2312"/>
          <w:sz w:val="30"/>
          <w:szCs w:val="30"/>
        </w:rPr>
        <w:t>元、水费0.00</w:t>
      </w:r>
      <w:r>
        <w:rPr>
          <w:rStyle w:val="6"/>
          <w:rFonts w:ascii="仿宋_GB2312" w:hAnsi="仿宋_GB2312" w:eastAsia="仿宋_GB2312" w:cs="仿宋_GB2312"/>
          <w:bCs/>
          <w:sz w:val="30"/>
          <w:szCs w:val="30"/>
        </w:rPr>
        <w:t>万</w:t>
      </w:r>
      <w:r>
        <w:rPr>
          <w:rStyle w:val="6"/>
          <w:rFonts w:ascii="仿宋_GB2312" w:eastAsia="仿宋_GB2312"/>
          <w:sz w:val="30"/>
          <w:szCs w:val="30"/>
        </w:rPr>
        <w:t>元，电费0.15</w:t>
      </w:r>
      <w:r>
        <w:rPr>
          <w:rStyle w:val="6"/>
          <w:rFonts w:ascii="仿宋_GB2312" w:hAnsi="仿宋_GB2312" w:eastAsia="仿宋_GB2312" w:cs="仿宋_GB2312"/>
          <w:bCs/>
          <w:sz w:val="30"/>
          <w:szCs w:val="30"/>
        </w:rPr>
        <w:t>万</w:t>
      </w:r>
      <w:r>
        <w:rPr>
          <w:rStyle w:val="6"/>
          <w:rFonts w:ascii="仿宋_GB2312" w:eastAsia="仿宋_GB2312"/>
          <w:sz w:val="30"/>
          <w:szCs w:val="30"/>
        </w:rPr>
        <w:t>元、邮电费0.45</w:t>
      </w:r>
      <w:r>
        <w:rPr>
          <w:rStyle w:val="6"/>
          <w:rFonts w:ascii="仿宋_GB2312" w:hAnsi="仿宋_GB2312" w:eastAsia="仿宋_GB2312" w:cs="仿宋_GB2312"/>
          <w:bCs/>
          <w:sz w:val="30"/>
          <w:szCs w:val="30"/>
        </w:rPr>
        <w:t>万</w:t>
      </w:r>
      <w:r>
        <w:rPr>
          <w:rStyle w:val="6"/>
          <w:rFonts w:ascii="仿宋_GB2312" w:eastAsia="仿宋_GB2312"/>
          <w:sz w:val="30"/>
          <w:szCs w:val="30"/>
        </w:rPr>
        <w:t>元、</w:t>
      </w:r>
      <w:r>
        <w:rPr>
          <w:rStyle w:val="6"/>
          <w:rFonts w:hint="eastAsia" w:ascii="仿宋_GB2312" w:eastAsia="仿宋_GB2312"/>
          <w:sz w:val="30"/>
          <w:szCs w:val="30"/>
          <w:lang w:eastAsia="zh-CN"/>
        </w:rPr>
        <w:t>取暖费</w:t>
      </w:r>
      <w:r>
        <w:rPr>
          <w:rStyle w:val="6"/>
          <w:rFonts w:ascii="仿宋_GB2312" w:eastAsia="仿宋_GB2312"/>
          <w:sz w:val="30"/>
          <w:szCs w:val="30"/>
        </w:rPr>
        <w:t>0万元，物业管理费0.13</w:t>
      </w:r>
      <w:r>
        <w:rPr>
          <w:rStyle w:val="6"/>
          <w:rFonts w:ascii="仿宋_GB2312" w:hAnsi="仿宋_GB2312" w:eastAsia="仿宋_GB2312" w:cs="仿宋_GB2312"/>
          <w:bCs/>
          <w:sz w:val="30"/>
          <w:szCs w:val="30"/>
        </w:rPr>
        <w:t>万</w:t>
      </w:r>
      <w:r>
        <w:rPr>
          <w:rStyle w:val="6"/>
          <w:rFonts w:ascii="仿宋_GB2312" w:eastAsia="仿宋_GB2312"/>
          <w:sz w:val="30"/>
          <w:szCs w:val="30"/>
        </w:rPr>
        <w:t>元、差旅费3.34</w:t>
      </w:r>
      <w:r>
        <w:rPr>
          <w:rStyle w:val="6"/>
          <w:rFonts w:ascii="仿宋_GB2312" w:hAnsi="仿宋_GB2312" w:eastAsia="仿宋_GB2312" w:cs="仿宋_GB2312"/>
          <w:bCs/>
          <w:sz w:val="30"/>
          <w:szCs w:val="30"/>
        </w:rPr>
        <w:t>万</w:t>
      </w:r>
      <w:r>
        <w:rPr>
          <w:rStyle w:val="6"/>
          <w:rFonts w:ascii="仿宋_GB2312" w:eastAsia="仿宋_GB2312"/>
          <w:sz w:val="30"/>
          <w:szCs w:val="30"/>
        </w:rPr>
        <w:t>元、因公出国（境）费用0万元，维修费0</w:t>
      </w:r>
      <w:r>
        <w:rPr>
          <w:rStyle w:val="6"/>
          <w:rFonts w:ascii="仿宋_GB2312" w:hAnsi="仿宋_GB2312" w:eastAsia="仿宋_GB2312" w:cs="仿宋_GB2312"/>
          <w:bCs/>
          <w:sz w:val="30"/>
          <w:szCs w:val="30"/>
        </w:rPr>
        <w:t>万</w:t>
      </w:r>
      <w:r>
        <w:rPr>
          <w:rStyle w:val="6"/>
          <w:rFonts w:ascii="仿宋_GB2312" w:eastAsia="仿宋_GB2312"/>
          <w:sz w:val="30"/>
          <w:szCs w:val="30"/>
        </w:rPr>
        <w:t>元、租赁费0</w:t>
      </w:r>
      <w:r>
        <w:rPr>
          <w:rStyle w:val="6"/>
          <w:rFonts w:ascii="仿宋_GB2312" w:hAnsi="仿宋_GB2312" w:eastAsia="仿宋_GB2312" w:cs="仿宋_GB2312"/>
          <w:bCs/>
          <w:sz w:val="30"/>
          <w:szCs w:val="30"/>
        </w:rPr>
        <w:t>万</w:t>
      </w:r>
      <w:r>
        <w:rPr>
          <w:rStyle w:val="6"/>
          <w:rFonts w:ascii="仿宋_GB2312" w:eastAsia="仿宋_GB2312"/>
          <w:sz w:val="30"/>
          <w:szCs w:val="30"/>
        </w:rPr>
        <w:t>元、公务接待费0</w:t>
      </w:r>
      <w:r>
        <w:rPr>
          <w:rStyle w:val="6"/>
          <w:rFonts w:ascii="仿宋_GB2312" w:hAnsi="仿宋_GB2312" w:eastAsia="仿宋_GB2312" w:cs="仿宋_GB2312"/>
          <w:bCs/>
          <w:sz w:val="30"/>
          <w:szCs w:val="30"/>
        </w:rPr>
        <w:t>万</w:t>
      </w:r>
      <w:r>
        <w:rPr>
          <w:rStyle w:val="6"/>
          <w:rFonts w:ascii="仿宋_GB2312" w:eastAsia="仿宋_GB2312"/>
          <w:sz w:val="30"/>
          <w:szCs w:val="30"/>
        </w:rPr>
        <w:t>元、劳务费0</w:t>
      </w:r>
      <w:r>
        <w:rPr>
          <w:rStyle w:val="6"/>
          <w:rFonts w:ascii="仿宋_GB2312" w:hAnsi="仿宋_GB2312" w:eastAsia="仿宋_GB2312" w:cs="仿宋_GB2312"/>
          <w:bCs/>
          <w:sz w:val="30"/>
          <w:szCs w:val="30"/>
        </w:rPr>
        <w:t>万</w:t>
      </w:r>
      <w:r>
        <w:rPr>
          <w:rStyle w:val="6"/>
          <w:rFonts w:ascii="仿宋_GB2312" w:eastAsia="仿宋_GB2312"/>
          <w:sz w:val="30"/>
          <w:szCs w:val="30"/>
        </w:rPr>
        <w:t>元、公务用车运行维护费0</w:t>
      </w:r>
      <w:r>
        <w:rPr>
          <w:rStyle w:val="6"/>
          <w:rFonts w:ascii="仿宋_GB2312" w:hAnsi="仿宋_GB2312" w:eastAsia="仿宋_GB2312" w:cs="仿宋_GB2312"/>
          <w:bCs/>
          <w:sz w:val="30"/>
          <w:szCs w:val="30"/>
        </w:rPr>
        <w:t>万</w:t>
      </w:r>
      <w:r>
        <w:rPr>
          <w:rStyle w:val="6"/>
          <w:rFonts w:ascii="仿宋_GB2312" w:eastAsia="仿宋_GB2312"/>
          <w:sz w:val="30"/>
          <w:szCs w:val="30"/>
        </w:rPr>
        <w:t>元，其他交通费用1万元，信息网络及软件购置和更新0万元。</w:t>
      </w:r>
    </w:p>
    <w:p>
      <w:pPr>
        <w:spacing w:line="600" w:lineRule="exact"/>
        <w:ind w:firstLine="640"/>
        <w:rPr>
          <w:rStyle w:val="6"/>
          <w:rFonts w:ascii="仿宋_GB2312" w:eastAsia="仿宋_GB2312"/>
          <w:sz w:val="30"/>
          <w:szCs w:val="30"/>
        </w:rPr>
      </w:pPr>
      <w:r>
        <w:rPr>
          <w:rStyle w:val="6"/>
          <w:rFonts w:ascii="仿宋_GB2312" w:eastAsia="仿宋_GB2312"/>
          <w:sz w:val="30"/>
          <w:szCs w:val="30"/>
        </w:rPr>
        <w:t>项目支出0万元。</w:t>
      </w:r>
    </w:p>
    <w:p>
      <w:pPr>
        <w:spacing w:line="600" w:lineRule="exact"/>
        <w:ind w:firstLine="640"/>
        <w:rPr>
          <w:rStyle w:val="6"/>
          <w:rFonts w:ascii="黑体" w:eastAsia="黑体"/>
          <w:b/>
          <w:bCs/>
          <w:color w:val="000000"/>
          <w:sz w:val="32"/>
          <w:szCs w:val="32"/>
        </w:rPr>
      </w:pPr>
      <w:r>
        <w:rPr>
          <w:rStyle w:val="6"/>
          <w:rFonts w:ascii="黑体" w:eastAsia="黑体"/>
          <w:b/>
          <w:bCs/>
          <w:color w:val="000000"/>
          <w:sz w:val="32"/>
          <w:szCs w:val="32"/>
        </w:rPr>
        <w:t>四、“三公”经费财政拨款支出决算情况</w:t>
      </w:r>
    </w:p>
    <w:p>
      <w:pPr>
        <w:spacing w:line="600" w:lineRule="exact"/>
        <w:ind w:firstLine="640"/>
        <w:rPr>
          <w:rStyle w:val="6"/>
          <w:rFonts w:ascii="楷体" w:hAnsi="楷体" w:eastAsia="楷体"/>
          <w:b/>
          <w:color w:val="000000"/>
          <w:sz w:val="30"/>
          <w:szCs w:val="30"/>
        </w:rPr>
      </w:pPr>
      <w:r>
        <w:rPr>
          <w:rStyle w:val="6"/>
          <w:rFonts w:ascii="楷体" w:hAnsi="楷体" w:eastAsia="楷体"/>
          <w:b/>
          <w:color w:val="000000"/>
          <w:sz w:val="30"/>
          <w:szCs w:val="30"/>
        </w:rPr>
        <w:t>（一）“三公”经费财政拨款支出决算总体情况说明</w:t>
      </w:r>
    </w:p>
    <w:p>
      <w:pPr>
        <w:spacing w:line="600" w:lineRule="exact"/>
        <w:ind w:firstLine="640"/>
        <w:rPr>
          <w:rStyle w:val="6"/>
          <w:rFonts w:ascii="仿宋_GB2312" w:eastAsia="仿宋_GB2312"/>
          <w:color w:val="333333"/>
          <w:sz w:val="30"/>
          <w:szCs w:val="30"/>
        </w:rPr>
      </w:pPr>
      <w:r>
        <w:rPr>
          <w:rStyle w:val="6"/>
          <w:rFonts w:ascii="仿宋_GB2312" w:eastAsia="仿宋_GB2312"/>
          <w:color w:val="000000"/>
          <w:sz w:val="30"/>
          <w:szCs w:val="30"/>
        </w:rPr>
        <w:t>金川县供销社</w:t>
      </w:r>
      <w:r>
        <w:rPr>
          <w:rStyle w:val="6"/>
          <w:rFonts w:ascii="仿宋_GB2312" w:eastAsia="仿宋_GB2312"/>
          <w:color w:val="333333"/>
          <w:sz w:val="30"/>
          <w:szCs w:val="30"/>
        </w:rPr>
        <w:t>2018年度“三公”经费财政拨款支出决算为0万元，完成预算0%，其中：因公出国（境）费支出0万元；公务用车购置及运行维护费支出决算为0万元，完成预算100%；公务接待费支出决算为0万元，完成预算0%。</w:t>
      </w:r>
    </w:p>
    <w:p>
      <w:pPr>
        <w:spacing w:line="600" w:lineRule="exact"/>
        <w:ind w:firstLine="602" w:firstLineChars="200"/>
        <w:rPr>
          <w:rStyle w:val="6"/>
          <w:rFonts w:ascii="楷体" w:hAnsi="楷体" w:eastAsia="楷体"/>
          <w:b/>
          <w:color w:val="333333"/>
          <w:sz w:val="30"/>
          <w:szCs w:val="30"/>
        </w:rPr>
      </w:pPr>
      <w:r>
        <w:rPr>
          <w:rStyle w:val="6"/>
          <w:rFonts w:ascii="楷体" w:hAnsi="楷体" w:eastAsia="楷体"/>
          <w:b/>
          <w:color w:val="333333"/>
          <w:sz w:val="30"/>
          <w:szCs w:val="30"/>
        </w:rPr>
        <w:t>（二）“三公”经费财政拨款支出决算具体情况说明</w:t>
      </w:r>
    </w:p>
    <w:p>
      <w:pPr>
        <w:spacing w:line="600" w:lineRule="exact"/>
        <w:ind w:firstLine="640"/>
        <w:rPr>
          <w:rStyle w:val="6"/>
          <w:rFonts w:ascii="仿宋_GB2312" w:eastAsia="仿宋_GB2312"/>
          <w:b/>
          <w:color w:val="000000"/>
          <w:sz w:val="32"/>
          <w:szCs w:val="32"/>
        </w:rPr>
      </w:pPr>
      <w:r>
        <w:rPr>
          <w:rStyle w:val="6"/>
          <w:rFonts w:ascii="仿宋_GB2312" w:eastAsia="仿宋_GB2312"/>
          <w:color w:val="333333"/>
          <w:sz w:val="30"/>
          <w:szCs w:val="30"/>
        </w:rPr>
        <w:t>2018年度“三公”经费财政拨款支出决算中，因公出国（境）费0万元；公务用车购置及运行维护费支出决算0万元；公务接待费支出决算0万元</w:t>
      </w:r>
      <w:r>
        <w:rPr>
          <w:rStyle w:val="6"/>
          <w:rFonts w:ascii="仿宋_GB2312" w:eastAsia="仿宋_GB2312"/>
          <w:color w:val="000000"/>
          <w:sz w:val="30"/>
          <w:szCs w:val="30"/>
        </w:rPr>
        <w:t>。</w:t>
      </w:r>
    </w:p>
    <w:p>
      <w:pPr>
        <w:spacing w:line="600" w:lineRule="exact"/>
        <w:ind w:firstLine="640"/>
        <w:rPr>
          <w:rStyle w:val="6"/>
          <w:rFonts w:ascii="楷体" w:hAnsi="楷体" w:eastAsia="楷体"/>
          <w:b/>
          <w:color w:val="000000"/>
          <w:sz w:val="30"/>
          <w:szCs w:val="30"/>
        </w:rPr>
      </w:pPr>
      <w:r>
        <w:rPr>
          <w:rStyle w:val="6"/>
          <w:rFonts w:ascii="楷体" w:hAnsi="楷体" w:eastAsia="楷体"/>
          <w:b/>
          <w:color w:val="000000"/>
          <w:sz w:val="30"/>
          <w:szCs w:val="30"/>
        </w:rPr>
        <w:t>1.因公出国（境）经费</w:t>
      </w:r>
    </w:p>
    <w:p>
      <w:pPr>
        <w:spacing w:line="600" w:lineRule="exact"/>
        <w:ind w:firstLine="640"/>
        <w:rPr>
          <w:rStyle w:val="6"/>
          <w:rFonts w:ascii="仿宋_GB2312" w:eastAsia="仿宋_GB2312"/>
          <w:color w:val="000000"/>
          <w:sz w:val="30"/>
          <w:szCs w:val="30"/>
        </w:rPr>
      </w:pPr>
      <w:r>
        <w:rPr>
          <w:rStyle w:val="6"/>
          <w:rFonts w:ascii="仿宋_GB2312" w:eastAsia="仿宋_GB2312"/>
          <w:color w:val="000000"/>
          <w:sz w:val="30"/>
          <w:szCs w:val="30"/>
        </w:rPr>
        <w:t>2018年因公出国（境）费0万元。</w:t>
      </w:r>
    </w:p>
    <w:p>
      <w:pPr>
        <w:spacing w:line="600" w:lineRule="exact"/>
        <w:ind w:firstLine="602" w:firstLineChars="200"/>
        <w:rPr>
          <w:rStyle w:val="6"/>
          <w:rFonts w:ascii="楷体" w:hAnsi="楷体" w:eastAsia="楷体"/>
          <w:b/>
          <w:color w:val="000000"/>
          <w:sz w:val="30"/>
          <w:szCs w:val="30"/>
        </w:rPr>
      </w:pPr>
      <w:r>
        <w:rPr>
          <w:rStyle w:val="6"/>
          <w:rFonts w:ascii="楷体" w:hAnsi="楷体" w:eastAsia="楷体"/>
          <w:b/>
          <w:color w:val="000000"/>
          <w:sz w:val="30"/>
          <w:szCs w:val="30"/>
        </w:rPr>
        <w:t>2.公务用车购置及运行维护费</w:t>
      </w:r>
    </w:p>
    <w:p>
      <w:pPr>
        <w:spacing w:line="600" w:lineRule="exact"/>
        <w:ind w:firstLine="640"/>
        <w:rPr>
          <w:rStyle w:val="6"/>
          <w:rFonts w:ascii="仿宋_GB2312" w:eastAsia="仿宋_GB2312"/>
          <w:color w:val="000000"/>
          <w:sz w:val="30"/>
          <w:szCs w:val="30"/>
        </w:rPr>
      </w:pPr>
      <w:r>
        <w:rPr>
          <w:rStyle w:val="6"/>
          <w:rFonts w:ascii="仿宋_GB2312" w:eastAsia="仿宋_GB2312"/>
          <w:bCs/>
          <w:color w:val="000000"/>
          <w:sz w:val="30"/>
          <w:szCs w:val="30"/>
        </w:rPr>
        <w:t>2018年公务用车购置及运行维护费0</w:t>
      </w:r>
      <w:r>
        <w:rPr>
          <w:rStyle w:val="6"/>
          <w:rFonts w:ascii="仿宋_GB2312" w:eastAsia="仿宋_GB2312"/>
          <w:color w:val="000000"/>
          <w:sz w:val="30"/>
          <w:szCs w:val="30"/>
        </w:rPr>
        <w:t>万元。</w:t>
      </w:r>
    </w:p>
    <w:p>
      <w:pPr>
        <w:spacing w:line="600" w:lineRule="exact"/>
        <w:ind w:firstLine="640"/>
        <w:rPr>
          <w:rStyle w:val="6"/>
          <w:rFonts w:ascii="楷体" w:hAnsi="楷体" w:eastAsia="楷体"/>
          <w:b/>
          <w:color w:val="000000"/>
          <w:sz w:val="30"/>
          <w:szCs w:val="30"/>
        </w:rPr>
      </w:pPr>
      <w:r>
        <w:rPr>
          <w:rStyle w:val="6"/>
          <w:rFonts w:ascii="楷体" w:hAnsi="楷体" w:eastAsia="楷体"/>
          <w:b/>
          <w:color w:val="000000"/>
          <w:sz w:val="30"/>
          <w:szCs w:val="30"/>
        </w:rPr>
        <w:t>3.公务接待费</w:t>
      </w:r>
    </w:p>
    <w:p>
      <w:pPr>
        <w:spacing w:line="600" w:lineRule="exact"/>
        <w:ind w:firstLine="640"/>
        <w:rPr>
          <w:rStyle w:val="6"/>
          <w:rFonts w:ascii="仿宋_GB2312" w:eastAsia="仿宋_GB2312"/>
          <w:color w:val="000000"/>
          <w:sz w:val="30"/>
          <w:szCs w:val="30"/>
        </w:rPr>
      </w:pPr>
      <w:r>
        <w:rPr>
          <w:rStyle w:val="6"/>
          <w:rFonts w:ascii="仿宋_GB2312" w:eastAsia="仿宋_GB2312"/>
          <w:color w:val="000000"/>
          <w:sz w:val="30"/>
          <w:szCs w:val="30"/>
        </w:rPr>
        <w:t>2018年公务接待费0万元。</w:t>
      </w:r>
    </w:p>
    <w:p>
      <w:pPr>
        <w:snapToGrid w:val="0"/>
        <w:spacing w:line="520" w:lineRule="exact"/>
        <w:ind w:firstLine="640" w:firstLineChars="200"/>
        <w:rPr>
          <w:rStyle w:val="6"/>
          <w:rFonts w:ascii="黑体" w:hAnsi="黑体" w:eastAsia="黑体"/>
          <w:sz w:val="32"/>
          <w:szCs w:val="32"/>
        </w:rPr>
      </w:pPr>
      <w:r>
        <w:rPr>
          <w:rStyle w:val="6"/>
          <w:rFonts w:ascii="黑体" w:hAnsi="黑体" w:eastAsia="黑体"/>
          <w:sz w:val="32"/>
          <w:szCs w:val="32"/>
        </w:rPr>
        <w:t>五、资产负债情况分析</w:t>
      </w:r>
    </w:p>
    <w:p>
      <w:pPr>
        <w:snapToGrid w:val="0"/>
        <w:spacing w:line="520" w:lineRule="exact"/>
        <w:ind w:firstLine="640" w:firstLineChars="200"/>
        <w:rPr>
          <w:rStyle w:val="6"/>
          <w:rFonts w:ascii="仿宋_GB2312" w:hAnsi="仿宋" w:eastAsia="仿宋_GB2312"/>
          <w:sz w:val="32"/>
          <w:szCs w:val="32"/>
        </w:rPr>
      </w:pPr>
      <w:r>
        <w:rPr>
          <w:rStyle w:val="6"/>
          <w:rFonts w:ascii="仿宋_GB2312" w:hAnsi="仿宋" w:eastAsia="仿宋_GB2312"/>
          <w:sz w:val="32"/>
          <w:szCs w:val="32"/>
        </w:rPr>
        <w:t>2018年年末固定资产总数11.09万元与2018年持平。负债基本情况：2018年负债0元。</w:t>
      </w:r>
    </w:p>
    <w:p>
      <w:pPr>
        <w:snapToGrid w:val="0"/>
        <w:spacing w:line="520" w:lineRule="exact"/>
        <w:ind w:firstLine="640" w:firstLineChars="200"/>
        <w:rPr>
          <w:rStyle w:val="6"/>
          <w:rFonts w:ascii="仿宋_GB2312" w:hAnsi="仿宋" w:eastAsia="仿宋_GB2312"/>
          <w:sz w:val="32"/>
          <w:szCs w:val="32"/>
        </w:rPr>
      </w:pPr>
    </w:p>
    <w:p>
      <w:pPr>
        <w:spacing w:line="600" w:lineRule="exact"/>
        <w:ind w:firstLine="640" w:firstLineChars="200"/>
        <w:rPr>
          <w:rStyle w:val="6"/>
          <w:rFonts w:ascii="仿宋_GB2312" w:eastAsia="仿宋_GB2312"/>
          <w:color w:val="000000"/>
          <w:sz w:val="32"/>
          <w:szCs w:val="32"/>
        </w:rPr>
      </w:pPr>
    </w:p>
    <w:p>
      <w:pPr>
        <w:spacing w:line="600" w:lineRule="exact"/>
        <w:ind w:firstLine="640" w:firstLineChars="200"/>
        <w:rPr>
          <w:rStyle w:val="6"/>
          <w:rFonts w:ascii="仿宋_GB2312" w:eastAsia="仿宋_GB2312"/>
          <w:color w:val="000000"/>
          <w:sz w:val="32"/>
          <w:szCs w:val="32"/>
        </w:rPr>
      </w:pPr>
    </w:p>
    <w:p>
      <w:pPr>
        <w:spacing w:line="600" w:lineRule="exact"/>
        <w:ind w:firstLine="640" w:firstLineChars="200"/>
        <w:rPr>
          <w:rStyle w:val="6"/>
          <w:rFonts w:ascii="仿宋_GB2312" w:eastAsia="仿宋_GB2312"/>
          <w:color w:val="000000"/>
          <w:sz w:val="32"/>
          <w:szCs w:val="32"/>
        </w:rPr>
      </w:pPr>
    </w:p>
    <w:p>
      <w:pPr>
        <w:spacing w:line="600" w:lineRule="exact"/>
        <w:rPr>
          <w:rStyle w:val="6"/>
          <w:rFonts w:ascii="仿宋_GB2312" w:eastAsia="仿宋_GB2312"/>
          <w:color w:val="000000"/>
          <w:sz w:val="32"/>
          <w:szCs w:val="32"/>
        </w:rPr>
      </w:pPr>
    </w:p>
    <w:p>
      <w:pPr>
        <w:spacing w:line="600" w:lineRule="exact"/>
        <w:ind w:firstLine="420" w:firstLineChars="200"/>
        <w:rPr>
          <w:rStyle w:val="6"/>
          <w:rFonts w:ascii="仿宋_GB2312" w:eastAsia="仿宋_GB2312"/>
          <w:color w:val="000000"/>
          <w:sz w:val="32"/>
          <w:szCs w:val="32"/>
        </w:rPr>
      </w:pPr>
      <w:r>
        <w:pict>
          <v:shape id="_x0000_s1040" o:spid="_x0000_s1040" o:spt="75" type="#_x0000_t75" style="position:absolute;left:0pt;margin-left:25.5pt;margin-top:-596pt;height:217.5pt;width:361.5pt;mso-wrap-distance-left:9pt;mso-wrap-distance-right:9pt;z-index:-251657216;mso-width-relative:page;mso-height-relative:page;" filled="f" stroked="f" coordsize="21600,21600" wrapcoords="21591 -2 0 0 0 21600 21591 21602 8 21602 21599 21600 21599 0 8 -2 21591 -2">
            <v:path/>
            <v:fill on="f" focussize="0,0"/>
            <v:stroke on="f"/>
            <v:imagedata r:id="rId5" o:title="image1"/>
            <o:lock v:ext="edit"/>
            <w10:wrap type="tight"/>
          </v:shape>
        </w:pict>
      </w:r>
    </w:p>
    <w:p>
      <w:pPr>
        <w:spacing w:line="600" w:lineRule="exact"/>
        <w:ind w:firstLine="640" w:firstLineChars="200"/>
        <w:rPr>
          <w:rStyle w:val="6"/>
          <w:rFonts w:ascii="仿宋_GB2312" w:eastAsia="仿宋_GB2312"/>
          <w:color w:val="000000"/>
          <w:sz w:val="32"/>
          <w:szCs w:val="32"/>
        </w:rPr>
      </w:pPr>
    </w:p>
    <w:p>
      <w:pPr>
        <w:spacing w:line="600" w:lineRule="exact"/>
        <w:ind w:firstLine="640" w:firstLineChars="200"/>
        <w:rPr>
          <w:rStyle w:val="6"/>
          <w:rFonts w:ascii="仿宋_GB2312" w:eastAsia="仿宋_GB2312"/>
          <w:color w:val="000000"/>
          <w:sz w:val="32"/>
          <w:szCs w:val="32"/>
        </w:rPr>
      </w:pPr>
    </w:p>
    <w:p>
      <w:pPr>
        <w:snapToGrid w:val="0"/>
        <w:spacing w:line="520" w:lineRule="exact"/>
        <w:rPr>
          <w:rStyle w:val="6"/>
          <w:rFonts w:ascii="仿宋_GB2312" w:hAnsi="仿宋" w:eastAsia="仿宋_GB2312"/>
          <w:sz w:val="32"/>
          <w:szCs w:val="32"/>
        </w:rPr>
      </w:pPr>
    </w:p>
    <w:p>
      <w:pPr>
        <w:snapToGrid w:val="0"/>
        <w:spacing w:line="520" w:lineRule="exact"/>
        <w:rPr>
          <w:rStyle w:val="6"/>
          <w:rFonts w:ascii="仿宋_GB2312" w:hAnsi="仿宋" w:eastAsia="仿宋_GB2312"/>
          <w:sz w:val="32"/>
          <w:szCs w:val="32"/>
        </w:rPr>
      </w:pPr>
    </w:p>
    <w:p>
      <w:pPr>
        <w:snapToGrid w:val="0"/>
        <w:spacing w:line="520" w:lineRule="exact"/>
        <w:rPr>
          <w:rStyle w:val="6"/>
          <w:rFonts w:ascii="仿宋_GB2312" w:hAnsi="仿宋" w:eastAsia="仿宋_GB2312"/>
          <w:sz w:val="32"/>
          <w:szCs w:val="32"/>
        </w:rPr>
      </w:pPr>
    </w:p>
    <w:p>
      <w:pPr>
        <w:spacing w:line="600" w:lineRule="exact"/>
        <w:ind w:firstLine="640"/>
        <w:rPr>
          <w:rStyle w:val="6"/>
          <w:rFonts w:ascii="黑体" w:hAnsi="黑体" w:eastAsia="黑体" w:cs="黑体"/>
          <w:b/>
          <w:bCs/>
          <w:color w:val="000000"/>
          <w:sz w:val="32"/>
          <w:szCs w:val="32"/>
        </w:rPr>
      </w:pPr>
      <w:r>
        <w:rPr>
          <w:rStyle w:val="6"/>
          <w:rFonts w:ascii="黑体" w:hAnsi="黑体" w:eastAsia="黑体" w:cs="黑体"/>
          <w:b/>
          <w:bCs/>
          <w:color w:val="000000"/>
          <w:sz w:val="32"/>
          <w:szCs w:val="32"/>
        </w:rPr>
        <w:t>六、政府性基金预算财政拨款支出决算情况</w:t>
      </w:r>
    </w:p>
    <w:p>
      <w:pPr>
        <w:spacing w:line="600" w:lineRule="exact"/>
        <w:ind w:firstLine="866" w:firstLineChars="321"/>
        <w:rPr>
          <w:rStyle w:val="6"/>
          <w:rFonts w:ascii="仿宋_GB2312" w:eastAsia="仿宋_GB2312"/>
          <w:color w:val="000000"/>
          <w:w w:val="90"/>
          <w:sz w:val="30"/>
          <w:szCs w:val="30"/>
        </w:rPr>
      </w:pPr>
      <w:r>
        <w:rPr>
          <w:rStyle w:val="6"/>
          <w:rFonts w:ascii="仿宋_GB2312" w:eastAsia="仿宋_GB2312"/>
          <w:color w:val="000000"/>
          <w:w w:val="90"/>
          <w:sz w:val="30"/>
          <w:szCs w:val="30"/>
        </w:rPr>
        <w:t>金川县供销社2018年无政府性基金预算财政拨款支出。</w:t>
      </w:r>
    </w:p>
    <w:p>
      <w:pPr>
        <w:spacing w:line="600" w:lineRule="exact"/>
        <w:ind w:firstLine="643" w:firstLineChars="200"/>
        <w:rPr>
          <w:rStyle w:val="6"/>
          <w:rFonts w:ascii="黑体" w:eastAsia="黑体"/>
          <w:b/>
          <w:bCs/>
          <w:color w:val="000000"/>
          <w:sz w:val="32"/>
          <w:szCs w:val="32"/>
        </w:rPr>
      </w:pPr>
      <w:r>
        <w:rPr>
          <w:rStyle w:val="6"/>
          <w:rFonts w:ascii="黑体" w:eastAsia="黑体"/>
          <w:b/>
          <w:bCs/>
          <w:color w:val="000000"/>
          <w:sz w:val="32"/>
          <w:szCs w:val="32"/>
        </w:rPr>
        <w:t>七、其他重要事项的情况说明</w:t>
      </w:r>
    </w:p>
    <w:p>
      <w:pPr>
        <w:spacing w:line="600" w:lineRule="exact"/>
        <w:ind w:firstLine="602" w:firstLineChars="200"/>
        <w:rPr>
          <w:rStyle w:val="6"/>
          <w:rFonts w:ascii="楷体" w:hAnsi="楷体" w:eastAsia="楷体"/>
          <w:b/>
          <w:color w:val="000000"/>
          <w:sz w:val="30"/>
          <w:szCs w:val="30"/>
        </w:rPr>
      </w:pPr>
      <w:r>
        <w:rPr>
          <w:rStyle w:val="6"/>
          <w:rFonts w:ascii="楷体" w:hAnsi="楷体" w:eastAsia="楷体"/>
          <w:b/>
          <w:color w:val="000000"/>
          <w:sz w:val="30"/>
          <w:szCs w:val="30"/>
        </w:rPr>
        <w:t>（一）机关运行经费支出情况</w:t>
      </w:r>
    </w:p>
    <w:p>
      <w:pPr>
        <w:spacing w:line="600" w:lineRule="exact"/>
        <w:ind w:firstLine="750" w:firstLineChars="250"/>
        <w:rPr>
          <w:rStyle w:val="6"/>
          <w:rFonts w:ascii="仿宋_GB2312" w:eastAsia="仿宋_GB2312"/>
          <w:color w:val="000000"/>
          <w:sz w:val="30"/>
          <w:szCs w:val="30"/>
        </w:rPr>
      </w:pPr>
      <w:r>
        <w:rPr>
          <w:rStyle w:val="6"/>
          <w:rFonts w:ascii="仿宋_GB2312" w:eastAsia="仿宋_GB2312"/>
          <w:color w:val="000000"/>
          <w:sz w:val="30"/>
          <w:szCs w:val="30"/>
        </w:rPr>
        <w:t>2018年度，金川县供销社机关运行经费</w:t>
      </w:r>
      <w:r>
        <w:rPr>
          <w:rStyle w:val="6"/>
          <w:rFonts w:ascii="仿宋_GB2312" w:eastAsia="仿宋_GB2312"/>
          <w:sz w:val="30"/>
          <w:szCs w:val="30"/>
        </w:rPr>
        <w:t>6.15</w:t>
      </w:r>
      <w:r>
        <w:rPr>
          <w:rStyle w:val="6"/>
          <w:rFonts w:ascii="仿宋_GB2312" w:eastAsia="仿宋_GB2312"/>
          <w:color w:val="000000"/>
          <w:sz w:val="30"/>
          <w:szCs w:val="30"/>
        </w:rPr>
        <w:t>万元。</w:t>
      </w:r>
    </w:p>
    <w:p>
      <w:pPr>
        <w:spacing w:line="600" w:lineRule="exact"/>
        <w:ind w:firstLine="602" w:firstLineChars="200"/>
        <w:jc w:val="left"/>
        <w:rPr>
          <w:rStyle w:val="6"/>
          <w:rFonts w:ascii="楷体" w:hAnsi="楷体" w:eastAsia="楷体"/>
          <w:b/>
          <w:color w:val="000000"/>
          <w:sz w:val="30"/>
          <w:szCs w:val="30"/>
        </w:rPr>
      </w:pPr>
      <w:r>
        <w:rPr>
          <w:rStyle w:val="6"/>
          <w:rFonts w:ascii="楷体" w:hAnsi="楷体" w:eastAsia="楷体"/>
          <w:b/>
          <w:color w:val="000000"/>
          <w:sz w:val="30"/>
          <w:szCs w:val="30"/>
        </w:rPr>
        <w:t>（二）政府采购支出情况</w:t>
      </w:r>
    </w:p>
    <w:p>
      <w:pPr>
        <w:spacing w:line="600" w:lineRule="exact"/>
        <w:ind w:firstLine="750" w:firstLineChars="250"/>
        <w:rPr>
          <w:rStyle w:val="6"/>
          <w:rFonts w:ascii="仿宋_GB2312" w:eastAsia="仿宋_GB2312"/>
          <w:color w:val="000000"/>
          <w:sz w:val="30"/>
          <w:szCs w:val="30"/>
        </w:rPr>
      </w:pPr>
      <w:r>
        <w:rPr>
          <w:rStyle w:val="6"/>
          <w:rFonts w:ascii="仿宋_GB2312" w:eastAsia="仿宋_GB2312"/>
          <w:color w:val="000000"/>
          <w:sz w:val="30"/>
          <w:szCs w:val="30"/>
        </w:rPr>
        <w:t>金川县供销社无政府采购项目。</w:t>
      </w:r>
    </w:p>
    <w:p>
      <w:pPr>
        <w:spacing w:line="600" w:lineRule="exact"/>
        <w:ind w:firstLine="602" w:firstLineChars="200"/>
        <w:jc w:val="left"/>
        <w:rPr>
          <w:rStyle w:val="6"/>
          <w:rFonts w:ascii="楷体" w:hAnsi="楷体" w:eastAsia="楷体"/>
          <w:b/>
          <w:color w:val="000000"/>
          <w:sz w:val="30"/>
          <w:szCs w:val="30"/>
        </w:rPr>
      </w:pPr>
      <w:r>
        <w:rPr>
          <w:rStyle w:val="6"/>
          <w:rFonts w:ascii="楷体" w:hAnsi="楷体" w:eastAsia="楷体"/>
          <w:b/>
          <w:color w:val="000000"/>
          <w:sz w:val="30"/>
          <w:szCs w:val="30"/>
        </w:rPr>
        <w:t>（三）国有资产占有使用情况</w:t>
      </w:r>
    </w:p>
    <w:p>
      <w:pPr>
        <w:spacing w:line="600" w:lineRule="exact"/>
        <w:ind w:firstLine="600" w:firstLineChars="200"/>
        <w:jc w:val="left"/>
        <w:rPr>
          <w:rStyle w:val="6"/>
          <w:rFonts w:ascii="仿宋_GB2312" w:eastAsia="仿宋_GB2312"/>
          <w:color w:val="000000"/>
          <w:sz w:val="30"/>
          <w:szCs w:val="30"/>
        </w:rPr>
      </w:pPr>
      <w:r>
        <w:rPr>
          <w:rStyle w:val="6"/>
          <w:rFonts w:ascii="仿宋_GB2312" w:eastAsia="仿宋_GB2312"/>
          <w:color w:val="000000"/>
          <w:sz w:val="30"/>
          <w:szCs w:val="30"/>
        </w:rPr>
        <w:t>截至2018年12月31日，我办有公务用车辆0辆；无单价50万元以上通用设备，无单价100万元以上专用设备。</w:t>
      </w:r>
    </w:p>
    <w:p>
      <w:pPr>
        <w:spacing w:line="600" w:lineRule="exact"/>
        <w:ind w:firstLine="643" w:firstLineChars="200"/>
        <w:jc w:val="left"/>
        <w:rPr>
          <w:rStyle w:val="6"/>
          <w:rFonts w:ascii="楷体" w:hAnsi="楷体" w:eastAsia="楷体"/>
          <w:b/>
          <w:color w:val="000000"/>
          <w:sz w:val="32"/>
          <w:szCs w:val="32"/>
        </w:rPr>
      </w:pPr>
      <w:r>
        <w:rPr>
          <w:rStyle w:val="6"/>
          <w:rFonts w:ascii="楷体" w:hAnsi="楷体" w:eastAsia="楷体"/>
          <w:b/>
          <w:color w:val="000000"/>
          <w:sz w:val="32"/>
          <w:szCs w:val="32"/>
        </w:rPr>
        <w:t>（四）预算绩效情况</w:t>
      </w:r>
    </w:p>
    <w:p>
      <w:pPr>
        <w:spacing w:line="600" w:lineRule="atLeast"/>
        <w:ind w:firstLine="600" w:firstLineChars="200"/>
        <w:rPr>
          <w:rStyle w:val="6"/>
          <w:rFonts w:ascii="仿宋_GB2312" w:eastAsia="仿宋_GB2312"/>
          <w:sz w:val="30"/>
          <w:szCs w:val="30"/>
        </w:rPr>
      </w:pPr>
      <w:r>
        <w:rPr>
          <w:rStyle w:val="6"/>
          <w:rFonts w:ascii="仿宋_GB2312" w:eastAsia="仿宋_GB2312"/>
          <w:sz w:val="30"/>
          <w:szCs w:val="30"/>
        </w:rPr>
        <w:t>按照预算绩效管理要求，本部门对2018年一般公共预算项目支出开展了绩效目标管理，编制绩效目标，涉及财政资金0万元。</w:t>
      </w:r>
    </w:p>
    <w:p>
      <w:pPr>
        <w:spacing w:line="600" w:lineRule="atLeast"/>
        <w:ind w:firstLine="602" w:firstLineChars="200"/>
        <w:rPr>
          <w:rStyle w:val="6"/>
          <w:rFonts w:ascii="楷体" w:hAnsi="楷体" w:eastAsia="楷体" w:cs="楷体"/>
          <w:b/>
          <w:bCs/>
          <w:sz w:val="30"/>
          <w:szCs w:val="30"/>
        </w:rPr>
      </w:pPr>
      <w:r>
        <w:rPr>
          <w:rStyle w:val="6"/>
          <w:rFonts w:ascii="楷体" w:hAnsi="楷体" w:eastAsia="楷体" w:cs="楷体"/>
          <w:b/>
          <w:bCs/>
          <w:sz w:val="30"/>
          <w:szCs w:val="30"/>
        </w:rPr>
        <w:t>1、评价结论</w:t>
      </w:r>
    </w:p>
    <w:p>
      <w:pPr>
        <w:spacing w:line="600" w:lineRule="atLeast"/>
        <w:ind w:firstLine="600" w:firstLineChars="200"/>
        <w:rPr>
          <w:rStyle w:val="6"/>
          <w:rFonts w:ascii="仿宋_GB2312" w:eastAsia="仿宋_GB2312"/>
          <w:sz w:val="30"/>
          <w:szCs w:val="30"/>
        </w:rPr>
      </w:pPr>
      <w:r>
        <w:rPr>
          <w:rStyle w:val="6"/>
          <w:rFonts w:ascii="仿宋_GB2312" w:eastAsia="仿宋_GB2312"/>
          <w:sz w:val="30"/>
          <w:szCs w:val="30"/>
        </w:rPr>
        <w:t>部门预算执行情况良好，无不良记录及违规违纪行为，预算支出和决算支出基本情况相符。</w:t>
      </w:r>
    </w:p>
    <w:p>
      <w:pPr>
        <w:spacing w:line="600" w:lineRule="atLeast"/>
        <w:ind w:firstLine="602" w:firstLineChars="200"/>
        <w:rPr>
          <w:rStyle w:val="6"/>
          <w:rFonts w:ascii="楷体" w:hAnsi="楷体" w:eastAsia="楷体" w:cs="楷体"/>
          <w:b/>
          <w:bCs/>
          <w:sz w:val="30"/>
          <w:szCs w:val="30"/>
        </w:rPr>
      </w:pPr>
      <w:r>
        <w:rPr>
          <w:rStyle w:val="6"/>
          <w:rFonts w:ascii="楷体" w:hAnsi="楷体" w:eastAsia="楷体" w:cs="楷体"/>
          <w:b/>
          <w:bCs/>
          <w:sz w:val="30"/>
          <w:szCs w:val="30"/>
        </w:rPr>
        <w:t>2、存在问题</w:t>
      </w:r>
    </w:p>
    <w:p>
      <w:pPr>
        <w:spacing w:line="600" w:lineRule="atLeast"/>
        <w:ind w:firstLine="600" w:firstLineChars="200"/>
        <w:rPr>
          <w:rStyle w:val="6"/>
          <w:rFonts w:ascii="仿宋_GB2312" w:eastAsia="仿宋_GB2312"/>
          <w:sz w:val="30"/>
          <w:szCs w:val="30"/>
        </w:rPr>
      </w:pPr>
      <w:r>
        <w:rPr>
          <w:rStyle w:val="6"/>
          <w:rFonts w:ascii="仿宋_GB2312" w:eastAsia="仿宋_GB2312"/>
          <w:sz w:val="30"/>
          <w:szCs w:val="30"/>
        </w:rPr>
        <w:t>一是预算经费支出进度较快；二是部门决算上报处理效率还需继续提升。</w:t>
      </w:r>
    </w:p>
    <w:p>
      <w:pPr>
        <w:spacing w:line="600" w:lineRule="atLeast"/>
        <w:ind w:firstLine="602" w:firstLineChars="200"/>
        <w:rPr>
          <w:rStyle w:val="6"/>
          <w:rFonts w:ascii="楷体" w:hAnsi="楷体" w:eastAsia="楷体" w:cs="楷体"/>
          <w:b/>
          <w:bCs/>
          <w:sz w:val="30"/>
          <w:szCs w:val="30"/>
        </w:rPr>
      </w:pPr>
      <w:r>
        <w:rPr>
          <w:rStyle w:val="6"/>
          <w:rFonts w:ascii="楷体" w:hAnsi="楷体" w:eastAsia="楷体" w:cs="楷体"/>
          <w:b/>
          <w:bCs/>
          <w:sz w:val="30"/>
          <w:szCs w:val="30"/>
        </w:rPr>
        <w:t>3、改进建议</w:t>
      </w:r>
    </w:p>
    <w:p>
      <w:pPr>
        <w:spacing w:line="600" w:lineRule="atLeast"/>
        <w:ind w:firstLine="600" w:firstLineChars="200"/>
        <w:rPr>
          <w:rStyle w:val="6"/>
          <w:rFonts w:ascii="仿宋_GB2312" w:eastAsia="仿宋_GB2312"/>
          <w:sz w:val="30"/>
          <w:szCs w:val="30"/>
        </w:rPr>
      </w:pPr>
      <w:r>
        <w:rPr>
          <w:rStyle w:val="6"/>
          <w:rFonts w:ascii="仿宋_GB2312" w:eastAsia="仿宋_GB2312"/>
          <w:sz w:val="30"/>
          <w:szCs w:val="30"/>
        </w:rPr>
        <w:t>加快完成机关财务管理规章制度建设、加强会计核算和财务管理能力，及时与财政局相关科室对接工作，提升工作效率。</w:t>
      </w:r>
    </w:p>
    <w:p>
      <w:pPr>
        <w:spacing w:line="600" w:lineRule="exact"/>
        <w:ind w:firstLine="643" w:firstLineChars="200"/>
        <w:jc w:val="left"/>
        <w:rPr>
          <w:rStyle w:val="6"/>
          <w:rFonts w:ascii="黑体" w:eastAsia="黑体"/>
          <w:b/>
          <w:bCs/>
          <w:color w:val="000000"/>
          <w:sz w:val="32"/>
          <w:szCs w:val="32"/>
        </w:rPr>
      </w:pPr>
      <w:r>
        <w:rPr>
          <w:rStyle w:val="6"/>
          <w:rFonts w:ascii="黑体" w:eastAsia="黑体"/>
          <w:b/>
          <w:bCs/>
          <w:color w:val="000000"/>
          <w:sz w:val="32"/>
          <w:szCs w:val="32"/>
        </w:rPr>
        <w:t>八、名词解释</w:t>
      </w:r>
    </w:p>
    <w:p>
      <w:pPr>
        <w:pStyle w:val="17"/>
        <w:spacing w:line="560" w:lineRule="exact"/>
        <w:ind w:firstLine="600" w:firstLineChars="200"/>
        <w:jc w:val="both"/>
        <w:rPr>
          <w:rStyle w:val="6"/>
          <w:rFonts w:ascii="仿宋_GB2312" w:eastAsia="仿宋_GB2312"/>
          <w:sz w:val="30"/>
          <w:szCs w:val="30"/>
        </w:rPr>
      </w:pPr>
      <w:r>
        <w:rPr>
          <w:rStyle w:val="6"/>
          <w:rFonts w:ascii="仿宋_GB2312" w:eastAsia="仿宋_GB2312"/>
          <w:sz w:val="30"/>
          <w:szCs w:val="30"/>
        </w:rPr>
        <w:t xml:space="preserve">1.财政拨款收入：指县级财政当年拨付的资金。 </w:t>
      </w:r>
    </w:p>
    <w:p>
      <w:pPr>
        <w:pStyle w:val="17"/>
        <w:spacing w:line="560" w:lineRule="exact"/>
        <w:ind w:firstLine="600" w:firstLineChars="200"/>
        <w:jc w:val="both"/>
        <w:rPr>
          <w:rStyle w:val="6"/>
          <w:rFonts w:ascii="仿宋_GB2312" w:eastAsia="仿宋_GB2312"/>
          <w:sz w:val="30"/>
          <w:szCs w:val="30"/>
        </w:rPr>
      </w:pPr>
      <w:r>
        <w:rPr>
          <w:rStyle w:val="6"/>
          <w:rFonts w:ascii="仿宋_GB2312" w:eastAsia="仿宋_GB2312"/>
          <w:sz w:val="30"/>
          <w:szCs w:val="30"/>
        </w:rPr>
        <w:t xml:space="preserve">2.年初结转和结余：指以前年度尚未完成、结转到本年按有关规定继续使用的资金。 </w:t>
      </w:r>
    </w:p>
    <w:p>
      <w:pPr>
        <w:ind w:firstLine="600" w:firstLineChars="200"/>
        <w:rPr>
          <w:rStyle w:val="6"/>
          <w:rFonts w:ascii="仿宋_GB2312" w:eastAsia="仿宋_GB2312"/>
          <w:color w:val="000000"/>
          <w:sz w:val="30"/>
          <w:szCs w:val="30"/>
        </w:rPr>
      </w:pPr>
      <w:r>
        <w:rPr>
          <w:rStyle w:val="6"/>
          <w:rFonts w:ascii="仿宋_GB2312" w:eastAsia="仿宋_GB2312"/>
          <w:color w:val="000000"/>
          <w:sz w:val="30"/>
          <w:szCs w:val="30"/>
        </w:rPr>
        <w:t>3. 一般公共服务201（类）党委办公厅（室）及相关机构事务31（款）行政运行01（项）：指反映行政人员的基本支出。</w:t>
      </w:r>
    </w:p>
    <w:p>
      <w:pPr>
        <w:ind w:firstLine="600" w:firstLineChars="200"/>
        <w:rPr>
          <w:rStyle w:val="6"/>
          <w:rFonts w:ascii="仿宋_GB2312" w:eastAsia="仿宋_GB2312"/>
          <w:color w:val="000000"/>
          <w:w w:val="90"/>
          <w:sz w:val="30"/>
          <w:szCs w:val="30"/>
        </w:rPr>
      </w:pPr>
      <w:r>
        <w:rPr>
          <w:rStyle w:val="6"/>
          <w:rFonts w:ascii="仿宋_GB2312" w:eastAsia="仿宋_GB2312"/>
          <w:color w:val="000000"/>
          <w:sz w:val="30"/>
          <w:szCs w:val="30"/>
        </w:rPr>
        <w:t>4.一般公共服务201（类）其他一般公共服务99（款）其他</w:t>
      </w:r>
      <w:r>
        <w:rPr>
          <w:rStyle w:val="6"/>
          <w:rFonts w:ascii="仿宋_GB2312" w:eastAsia="仿宋_GB2312"/>
          <w:color w:val="000000"/>
          <w:w w:val="90"/>
          <w:sz w:val="30"/>
          <w:szCs w:val="30"/>
        </w:rPr>
        <w:t>一般公共服务99（项）</w:t>
      </w:r>
      <w:r>
        <w:rPr>
          <w:rStyle w:val="6"/>
          <w:rFonts w:ascii="仿宋_GB2312" w:eastAsia="仿宋_GB2312"/>
          <w:w w:val="90"/>
          <w:sz w:val="30"/>
          <w:szCs w:val="30"/>
        </w:rPr>
        <w:t>：</w:t>
      </w:r>
      <w:r>
        <w:rPr>
          <w:rStyle w:val="6"/>
          <w:rFonts w:ascii="仿宋_GB2312" w:eastAsia="仿宋_GB2312"/>
          <w:color w:val="000000"/>
          <w:w w:val="90"/>
          <w:sz w:val="30"/>
          <w:szCs w:val="30"/>
        </w:rPr>
        <w:t>指反映县级领导全州绩效考核后的目标奖。</w:t>
      </w:r>
    </w:p>
    <w:p>
      <w:pPr>
        <w:ind w:firstLine="600" w:firstLineChars="200"/>
        <w:rPr>
          <w:rStyle w:val="6"/>
          <w:rFonts w:ascii="仿宋_GB2312" w:eastAsia="仿宋_GB2312"/>
          <w:color w:val="000000"/>
          <w:sz w:val="30"/>
          <w:szCs w:val="30"/>
        </w:rPr>
      </w:pPr>
      <w:r>
        <w:rPr>
          <w:rStyle w:val="6"/>
          <w:rFonts w:ascii="仿宋_GB2312" w:eastAsia="仿宋_GB2312"/>
          <w:color w:val="000000"/>
          <w:sz w:val="30"/>
          <w:szCs w:val="30"/>
        </w:rPr>
        <w:t>5.社会保障和就业208行政事业单位离退休05机关事业单位基本养老保险缴费支出05：指机关事业单位实施养老保险制度由单位缴纳的基本养老保险费支出。</w:t>
      </w:r>
    </w:p>
    <w:p>
      <w:pPr>
        <w:ind w:firstLine="600" w:firstLineChars="200"/>
        <w:rPr>
          <w:rStyle w:val="6"/>
          <w:rFonts w:ascii="仿宋_GB2312" w:eastAsia="仿宋_GB2312"/>
          <w:color w:val="000000"/>
          <w:sz w:val="30"/>
          <w:szCs w:val="30"/>
        </w:rPr>
      </w:pPr>
      <w:r>
        <w:rPr>
          <w:rStyle w:val="6"/>
          <w:rFonts w:ascii="仿宋_GB2312" w:eastAsia="仿宋_GB2312"/>
          <w:color w:val="000000"/>
          <w:sz w:val="30"/>
          <w:szCs w:val="30"/>
        </w:rPr>
        <w:t>6.社会保障和就业208行政事业单位离退休05机关事业单位职业年金缴费支出06：指机关事业单位实施养老保险制度由单位缴纳的职业年金支出。</w:t>
      </w:r>
    </w:p>
    <w:p>
      <w:pPr>
        <w:ind w:firstLine="600" w:firstLineChars="200"/>
        <w:rPr>
          <w:rStyle w:val="6"/>
          <w:rFonts w:ascii="仿宋_GB2312" w:eastAsia="仿宋_GB2312"/>
          <w:color w:val="000000"/>
          <w:sz w:val="30"/>
          <w:szCs w:val="30"/>
        </w:rPr>
      </w:pPr>
      <w:r>
        <w:rPr>
          <w:rStyle w:val="6"/>
          <w:rFonts w:ascii="仿宋_GB2312" w:eastAsia="仿宋_GB2312"/>
          <w:color w:val="000000"/>
          <w:sz w:val="30"/>
          <w:szCs w:val="30"/>
        </w:rPr>
        <w:t>7.医疗卫生与计划生育支出210医疗保障05行政单位医疗01：指行政单位基本医疗保险缴费。</w:t>
      </w:r>
    </w:p>
    <w:p>
      <w:pPr>
        <w:ind w:firstLine="600" w:firstLineChars="200"/>
        <w:rPr>
          <w:rStyle w:val="6"/>
          <w:rFonts w:ascii="仿宋_GB2312" w:eastAsia="仿宋_GB2312"/>
          <w:color w:val="000000"/>
          <w:sz w:val="30"/>
          <w:szCs w:val="30"/>
        </w:rPr>
      </w:pPr>
      <w:r>
        <w:rPr>
          <w:rStyle w:val="6"/>
          <w:rFonts w:ascii="仿宋_GB2312" w:eastAsia="仿宋_GB2312"/>
          <w:color w:val="000000"/>
          <w:sz w:val="30"/>
          <w:szCs w:val="30"/>
        </w:rPr>
        <w:t>8.住房保障支出221住房改革支出02住房公积金01：指反映行政事业单位按人力资源和社会保障部、财政部规定的基本工资和津贴补贴以及规定比例为职工缴纳的住房公积金。</w:t>
      </w:r>
    </w:p>
    <w:p>
      <w:pPr>
        <w:ind w:firstLine="600" w:firstLineChars="200"/>
        <w:rPr>
          <w:rStyle w:val="6"/>
          <w:rFonts w:ascii="仿宋_GB2312" w:eastAsia="仿宋_GB2312"/>
          <w:color w:val="000000"/>
          <w:sz w:val="30"/>
          <w:szCs w:val="30"/>
        </w:rPr>
      </w:pPr>
      <w:r>
        <w:rPr>
          <w:rStyle w:val="6"/>
          <w:rFonts w:ascii="仿宋_GB2312" w:eastAsia="仿宋_GB2312"/>
          <w:color w:val="000000"/>
          <w:sz w:val="30"/>
          <w:szCs w:val="30"/>
        </w:rPr>
        <w:t>9.其他支出229其他支出99其他支出01：指其他不能划分到具体功能科目中的支出项目。</w:t>
      </w:r>
    </w:p>
    <w:p>
      <w:pPr>
        <w:ind w:firstLine="600" w:firstLineChars="200"/>
        <w:rPr>
          <w:rStyle w:val="6"/>
          <w:rFonts w:ascii="仿宋_GB2312" w:eastAsia="仿宋_GB2312"/>
          <w:color w:val="000000"/>
          <w:sz w:val="30"/>
          <w:szCs w:val="30"/>
        </w:rPr>
      </w:pPr>
      <w:r>
        <w:rPr>
          <w:rStyle w:val="6"/>
          <w:rFonts w:ascii="仿宋_GB2312" w:eastAsia="仿宋_GB2312"/>
          <w:color w:val="000000"/>
          <w:sz w:val="30"/>
          <w:szCs w:val="30"/>
        </w:rPr>
        <w:t>10.年末结转和结余：指本年度或以前年度预算安排、因客观条件发生变化无法按原计划实施，需延迟到以后年度按有关规定继续使用的资金。</w:t>
      </w:r>
    </w:p>
    <w:p>
      <w:pPr>
        <w:ind w:firstLine="600" w:firstLineChars="200"/>
        <w:rPr>
          <w:rStyle w:val="6"/>
          <w:rFonts w:ascii="仿宋_GB2312" w:eastAsia="仿宋_GB2312"/>
          <w:color w:val="000000"/>
          <w:sz w:val="30"/>
          <w:szCs w:val="30"/>
        </w:rPr>
      </w:pPr>
      <w:r>
        <w:rPr>
          <w:rStyle w:val="6"/>
          <w:rFonts w:ascii="仿宋_GB2312" w:eastAsia="仿宋_GB2312"/>
          <w:color w:val="000000"/>
          <w:sz w:val="30"/>
          <w:szCs w:val="30"/>
        </w:rPr>
        <w:t>11.基本支出：指为保障机构正常运转、完成日常工作任务而发生的人员支出和公用支出。</w:t>
      </w:r>
    </w:p>
    <w:p>
      <w:pPr>
        <w:ind w:firstLine="600" w:firstLineChars="200"/>
        <w:rPr>
          <w:rStyle w:val="6"/>
          <w:rFonts w:ascii="仿宋_GB2312" w:eastAsia="仿宋_GB2312"/>
          <w:color w:val="000000"/>
          <w:sz w:val="30"/>
          <w:szCs w:val="30"/>
        </w:rPr>
      </w:pPr>
      <w:r>
        <w:rPr>
          <w:rStyle w:val="6"/>
          <w:rFonts w:ascii="仿宋_GB2312" w:eastAsia="仿宋_GB2312"/>
          <w:color w:val="000000"/>
          <w:sz w:val="30"/>
          <w:szCs w:val="30"/>
        </w:rPr>
        <w:t xml:space="preserve">12.项目支出：指在基本支出之外为完成特定行政任务和事业发展目标所发生的支出。 </w:t>
      </w:r>
    </w:p>
    <w:p>
      <w:pPr>
        <w:pStyle w:val="17"/>
        <w:spacing w:line="560" w:lineRule="exact"/>
        <w:ind w:firstLine="600" w:firstLineChars="200"/>
        <w:jc w:val="both"/>
        <w:rPr>
          <w:rStyle w:val="6"/>
          <w:rFonts w:ascii="仿宋_GB2312" w:eastAsia="仿宋_GB2312"/>
          <w:sz w:val="30"/>
          <w:szCs w:val="30"/>
        </w:rPr>
      </w:pPr>
      <w:r>
        <w:rPr>
          <w:rStyle w:val="6"/>
          <w:rFonts w:ascii="仿宋_GB2312" w:eastAsia="仿宋_GB2312"/>
          <w:sz w:val="30"/>
          <w:szCs w:val="30"/>
        </w:rPr>
        <w:t>13.“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17"/>
        <w:spacing w:line="560" w:lineRule="exact"/>
        <w:ind w:firstLine="600" w:firstLineChars="200"/>
        <w:jc w:val="both"/>
        <w:rPr>
          <w:rStyle w:val="6"/>
          <w:rFonts w:ascii="仿宋_GB2312" w:eastAsia="仿宋_GB2312"/>
          <w:sz w:val="30"/>
          <w:szCs w:val="30"/>
        </w:rPr>
      </w:pPr>
      <w:r>
        <w:rPr>
          <w:rStyle w:val="6"/>
          <w:rFonts w:ascii="仿宋_GB2312" w:eastAsia="仿宋_GB2312"/>
          <w:sz w:val="30"/>
          <w:szCs w:val="30"/>
        </w:rPr>
        <w:t>14.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17"/>
        <w:spacing w:line="560" w:lineRule="exact"/>
        <w:ind w:firstLine="600" w:firstLineChars="200"/>
        <w:jc w:val="both"/>
        <w:rPr>
          <w:rStyle w:val="6"/>
          <w:rFonts w:ascii="仿宋_GB2312" w:eastAsia="仿宋_GB2312"/>
          <w:sz w:val="30"/>
          <w:szCs w:val="30"/>
        </w:rPr>
      </w:pPr>
    </w:p>
    <w:p>
      <w:pPr>
        <w:spacing w:line="500" w:lineRule="exact"/>
        <w:rPr>
          <w:rStyle w:val="6"/>
          <w:rFonts w:ascii="仿宋_GB2312" w:eastAsia="仿宋_GB2312"/>
          <w:b/>
          <w:i/>
          <w:color w:val="404040"/>
          <w:sz w:val="30"/>
          <w:szCs w:val="30"/>
        </w:rPr>
      </w:pPr>
    </w:p>
    <w:p>
      <w:pPr>
        <w:spacing w:line="460" w:lineRule="exact"/>
        <w:rPr>
          <w:rStyle w:val="6"/>
          <w:rFonts w:ascii="仿宋_GB2312" w:hAnsi="Calibri" w:eastAsia="仿宋_GB2312"/>
          <w:color w:val="000000"/>
          <w:kern w:val="0"/>
          <w:sz w:val="30"/>
          <w:szCs w:val="30"/>
        </w:rPr>
      </w:pPr>
      <w:r>
        <w:rPr>
          <w:rStyle w:val="6"/>
          <w:rFonts w:ascii="仿宋_GB2312" w:hAnsi="仿宋_GB2312" w:eastAsia="仿宋_GB2312"/>
          <w:b/>
          <w:sz w:val="30"/>
          <w:szCs w:val="30"/>
        </w:rPr>
        <w:t xml:space="preserve">                                 </w:t>
      </w:r>
      <w:r>
        <w:rPr>
          <w:rStyle w:val="6"/>
          <w:rFonts w:ascii="仿宋_GB2312" w:hAnsi="Calibri" w:eastAsia="仿宋_GB2312"/>
          <w:color w:val="000000"/>
          <w:kern w:val="0"/>
          <w:sz w:val="30"/>
          <w:szCs w:val="30"/>
        </w:rPr>
        <w:t xml:space="preserve">     </w:t>
      </w:r>
    </w:p>
    <w:p>
      <w:pPr>
        <w:spacing w:line="460" w:lineRule="exact"/>
        <w:rPr>
          <w:rStyle w:val="6"/>
          <w:rFonts w:ascii="仿宋_GB2312" w:hAnsi="Calibri" w:eastAsia="仿宋_GB2312"/>
          <w:color w:val="000000"/>
          <w:kern w:val="0"/>
          <w:sz w:val="30"/>
          <w:szCs w:val="30"/>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jc w:val="both"/>
      <w:rPr>
        <w:rStyle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83897A"/>
    <w:multiLevelType w:val="singleLevel"/>
    <w:tmpl w:val="5683897A"/>
    <w:lvl w:ilvl="0" w:tentative="0">
      <w:start w:val="1"/>
      <w:numFmt w:val="chineseCounting"/>
      <w:suff w:val="nothing"/>
      <w:lvlText w:val="%1、"/>
      <w:lvlJc w:val="left"/>
      <w:pPr>
        <w:widowControl/>
        <w:textAlignment w:val="baseline"/>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isplayHorizontalDrawingGridEvery w:val="0"/>
  <w:displayVerticalDrawingGridEvery w:val="2"/>
  <w:doNotUseMarginsForDrawingGridOrigin w:val="1"/>
  <w:drawingGridHorizontalOrigin w:val="1800"/>
  <w:drawingGridVerticalOrigin w:val="1440"/>
  <w:noPunctuationKerning w:val="1"/>
  <w:characterSpacingControl w:val="doNotCompress"/>
  <w:compat>
    <w:balanceSingleByteDoubleByteWidth/>
    <w:doNotLeaveBackslashAlon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ompatSetting w:name="compatibilityMode" w:uri="http://schemas.microsoft.com/office/word" w:val="12"/>
  </w:compat>
  <w:rsids>
    <w:rsidRoot w:val="00EA7520"/>
    <w:rsid w:val="00535515"/>
    <w:rsid w:val="008C77E5"/>
    <w:rsid w:val="00A574F2"/>
    <w:rsid w:val="00B461A4"/>
    <w:rsid w:val="00EA7520"/>
    <w:rsid w:val="34B230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jc w:val="both"/>
      <w:textAlignment w:val="baseline"/>
    </w:pPr>
    <w:rPr>
      <w:rFonts w:ascii="Times New Roman" w:hAnsi="Times New Roman" w:eastAsia="宋体" w:cs="Times New Roman"/>
      <w:kern w:val="2"/>
      <w:sz w:val="21"/>
      <w:szCs w:val="24"/>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character" w:styleId="4">
    <w:name w:val="Strong"/>
    <w:qFormat/>
    <w:uiPriority w:val="0"/>
    <w:rPr>
      <w:rFonts w:cs="Times New Roman"/>
      <w:b/>
      <w:bCs/>
    </w:rPr>
  </w:style>
  <w:style w:type="character" w:styleId="5">
    <w:name w:val="Hyperlink"/>
    <w:basedOn w:val="6"/>
    <w:qFormat/>
    <w:uiPriority w:val="0"/>
    <w:rPr>
      <w:color w:val="0000FF"/>
      <w:u w:val="single"/>
    </w:rPr>
  </w:style>
  <w:style w:type="character" w:customStyle="1" w:styleId="6">
    <w:name w:val="NormalCharacter"/>
    <w:semiHidden/>
    <w:qFormat/>
    <w:uiPriority w:val="0"/>
  </w:style>
  <w:style w:type="paragraph" w:customStyle="1" w:styleId="7">
    <w:name w:val="Heading1"/>
    <w:basedOn w:val="1"/>
    <w:next w:val="1"/>
    <w:qFormat/>
    <w:uiPriority w:val="0"/>
    <w:pPr>
      <w:keepNext/>
      <w:keepLines/>
      <w:spacing w:before="340" w:after="330" w:line="578" w:lineRule="auto"/>
    </w:pPr>
    <w:rPr>
      <w:b/>
      <w:bCs/>
      <w:kern w:val="44"/>
      <w:sz w:val="44"/>
      <w:szCs w:val="44"/>
    </w:rPr>
  </w:style>
  <w:style w:type="table" w:customStyle="1" w:styleId="8">
    <w:name w:val="TableNormal"/>
    <w:semiHidden/>
    <w:qFormat/>
    <w:uiPriority w:val="0"/>
    <w:tblPr>
      <w:tblCellMar>
        <w:top w:w="0" w:type="dxa"/>
        <w:left w:w="0" w:type="dxa"/>
        <w:bottom w:w="0" w:type="dxa"/>
        <w:right w:w="0" w:type="dxa"/>
      </w:tblCellMar>
    </w:tblPr>
  </w:style>
  <w:style w:type="character" w:customStyle="1" w:styleId="9">
    <w:name w:val="UserStyle_0"/>
    <w:link w:val="10"/>
    <w:qFormat/>
    <w:uiPriority w:val="0"/>
    <w:rPr>
      <w:rFonts w:ascii="仿宋_GB2312" w:eastAsia="仿宋_GB2312"/>
      <w:sz w:val="30"/>
      <w:szCs w:val="24"/>
      <w:lang w:bidi="ar-SA"/>
    </w:rPr>
  </w:style>
  <w:style w:type="paragraph" w:customStyle="1" w:styleId="10">
    <w:name w:val="BodyText"/>
    <w:basedOn w:val="1"/>
    <w:link w:val="9"/>
    <w:qFormat/>
    <w:uiPriority w:val="0"/>
    <w:pPr>
      <w:spacing w:before="93"/>
    </w:pPr>
    <w:rPr>
      <w:rFonts w:ascii="仿宋_GB2312" w:eastAsia="仿宋_GB2312"/>
      <w:kern w:val="0"/>
      <w:sz w:val="30"/>
    </w:rPr>
  </w:style>
  <w:style w:type="character" w:customStyle="1" w:styleId="11">
    <w:name w:val="UserStyle_1"/>
    <w:basedOn w:val="6"/>
    <w:qFormat/>
    <w:uiPriority w:val="0"/>
    <w:rPr>
      <w:rFonts w:eastAsia="仿宋_GB2312"/>
      <w:sz w:val="32"/>
    </w:rPr>
  </w:style>
  <w:style w:type="paragraph" w:customStyle="1" w:styleId="12">
    <w:name w:val="TOC2"/>
    <w:basedOn w:val="1"/>
    <w:next w:val="1"/>
    <w:qFormat/>
    <w:uiPriority w:val="0"/>
    <w:pPr>
      <w:tabs>
        <w:tab w:val="right" w:leader="dot" w:pos="8296"/>
      </w:tabs>
      <w:ind w:left="420" w:leftChars="200"/>
    </w:pPr>
  </w:style>
  <w:style w:type="paragraph" w:customStyle="1" w:styleId="13">
    <w:name w:val="Footer"/>
    <w:basedOn w:val="1"/>
    <w:qFormat/>
    <w:uiPriority w:val="0"/>
    <w:pPr>
      <w:tabs>
        <w:tab w:val="center" w:pos="4153"/>
        <w:tab w:val="right" w:pos="8306"/>
      </w:tabs>
      <w:snapToGrid w:val="0"/>
      <w:jc w:val="left"/>
    </w:pPr>
    <w:rPr>
      <w:sz w:val="18"/>
      <w:szCs w:val="18"/>
    </w:rPr>
  </w:style>
  <w:style w:type="paragraph" w:customStyle="1" w:styleId="14">
    <w:name w:val="TOC1"/>
    <w:basedOn w:val="1"/>
    <w:next w:val="1"/>
    <w:qFormat/>
    <w:uiPriority w:val="0"/>
    <w:pPr>
      <w:tabs>
        <w:tab w:val="right" w:leader="dot" w:pos="8296"/>
      </w:tabs>
      <w:spacing w:before="93"/>
      <w:jc w:val="center"/>
    </w:pPr>
    <w:rPr>
      <w:rFonts w:ascii="仿宋" w:hAnsi="仿宋" w:eastAsia="仿宋"/>
      <w:sz w:val="28"/>
      <w:szCs w:val="28"/>
    </w:rPr>
  </w:style>
  <w:style w:type="paragraph" w:customStyle="1" w:styleId="15">
    <w:name w:val="UserStyle_2"/>
    <w:qFormat/>
    <w:uiPriority w:val="0"/>
    <w:pPr>
      <w:textAlignment w:val="baseline"/>
    </w:pPr>
    <w:rPr>
      <w:rFonts w:ascii="Times New Roman" w:hAnsi="Times New Roman" w:eastAsia="宋体" w:cs="Times New Roman"/>
      <w:lang w:val="en-US" w:eastAsia="zh-CN" w:bidi="ar-SA"/>
    </w:rPr>
  </w:style>
  <w:style w:type="paragraph" w:customStyle="1" w:styleId="16">
    <w:name w:val="Header"/>
    <w:basedOn w:val="1"/>
    <w:qFormat/>
    <w:uiPriority w:val="0"/>
    <w:pPr>
      <w:pBdr>
        <w:bottom w:val="single" w:color="000000" w:sz="6" w:space="1"/>
      </w:pBdr>
      <w:tabs>
        <w:tab w:val="center" w:pos="4153"/>
        <w:tab w:val="right" w:pos="8306"/>
      </w:tabs>
      <w:snapToGrid w:val="0"/>
      <w:jc w:val="center"/>
    </w:pPr>
    <w:rPr>
      <w:sz w:val="18"/>
      <w:szCs w:val="18"/>
    </w:rPr>
  </w:style>
  <w:style w:type="paragraph" w:customStyle="1" w:styleId="17">
    <w:name w:val="UserStyle_3"/>
    <w:qFormat/>
    <w:uiPriority w:val="0"/>
    <w:pPr>
      <w:textAlignment w:val="baseline"/>
    </w:pPr>
    <w:rPr>
      <w:rFonts w:ascii="仿宋" w:hAnsi="Calibri" w:eastAsia="仿宋" w:cs="Times New Roman"/>
      <w:color w:val="000000"/>
      <w:sz w:val="24"/>
      <w:szCs w:val="24"/>
      <w:lang w:val="en-US" w:eastAsia="zh-CN" w:bidi="ar-SA"/>
    </w:rPr>
  </w:style>
  <w:style w:type="paragraph" w:customStyle="1" w:styleId="18">
    <w:name w:val="UserStyle_4"/>
    <w:qFormat/>
    <w:uiPriority w:val="0"/>
    <w:pPr>
      <w:ind w:left="400" w:leftChars="400"/>
      <w:textAlignment w:val="baseline"/>
    </w:pPr>
    <w:rPr>
      <w:rFonts w:ascii="Times New Roman" w:hAnsi="Times New Roman" w:eastAsia="宋体" w:cs="Times New Roman"/>
      <w:lang w:val="en-US" w:eastAsia="zh-CN" w:bidi="ar-SA"/>
    </w:rPr>
  </w:style>
  <w:style w:type="paragraph" w:customStyle="1" w:styleId="19">
    <w:name w:val="UserStyle_5"/>
    <w:qFormat/>
    <w:uiPriority w:val="0"/>
    <w:pPr>
      <w:ind w:left="200" w:leftChars="200"/>
      <w:textAlignment w:val="baseline"/>
    </w:pPr>
    <w:rPr>
      <w:rFonts w:ascii="Times New Roman" w:hAnsi="Times New Roman" w:eastAsia="宋体" w:cs="Times New Roman"/>
      <w:lang w:val="en-US" w:eastAsia="zh-CN" w:bidi="ar-SA"/>
    </w:rPr>
  </w:style>
  <w:style w:type="table" w:customStyle="1" w:styleId="20">
    <w:name w:val="TableGrid"/>
    <w:basedOn w:val="8"/>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4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492</Words>
  <Characters>2807</Characters>
  <Lines>23</Lines>
  <Paragraphs>6</Paragraphs>
  <TotalTime>1</TotalTime>
  <ScaleCrop>false</ScaleCrop>
  <LinksUpToDate>false</LinksUpToDate>
  <CharactersWithSpaces>3293</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2021-06-03T01:31:00Z</dcterms:created>
  <dc:creator>Administrator</dc:creator>
  <cp:lastModifiedBy>不改</cp:lastModifiedBy>
  <dcterms:modified xsi:type="dcterms:W3CDTF">2021-06-07T03:17:12Z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889AA57626F641988085B5263814AB19</vt:lpwstr>
  </property>
</Properties>
</file>